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79484583"/>
        <w:docPartObj>
          <w:docPartGallery w:val="Cover Pages"/>
          <w:docPartUnique/>
        </w:docPartObj>
      </w:sdtPr>
      <w:sdtEndPr>
        <w:rPr>
          <w:sz w:val="28"/>
          <w:szCs w:val="28"/>
          <w:lang w:val="es-DO"/>
        </w:rPr>
      </w:sdtEndPr>
      <w:sdtContent>
        <w:p w14:paraId="281BD89B" w14:textId="77777777" w:rsidR="009D4904" w:rsidRDefault="009D4904"/>
        <w:p w14:paraId="4F5173B8" w14:textId="77777777" w:rsidR="00D07D05" w:rsidRPr="00D07D05" w:rsidRDefault="009D4904" w:rsidP="00D07D05">
          <w:pPr>
            <w:rPr>
              <w:rStyle w:val="nfasis"/>
              <w:i w:val="0"/>
              <w:iCs w:val="0"/>
              <w:sz w:val="28"/>
              <w:szCs w:val="28"/>
              <w:lang w:val="es-DO"/>
            </w:rPr>
          </w:pPr>
          <w:r>
            <w:rPr>
              <w:noProof/>
              <w:lang w:val="es-DO" w:eastAsia="es-DO"/>
            </w:rPr>
            <mc:AlternateContent>
              <mc:Choice Requires="wps">
                <w:drawing>
                  <wp:anchor distT="0" distB="0" distL="114300" distR="114300" simplePos="0" relativeHeight="251661312" behindDoc="0" locked="0" layoutInCell="1" allowOverlap="1" wp14:anchorId="3B2A9CF0" wp14:editId="6CD38544">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8419465</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aps/>
                                    <w:color w:val="262626" w:themeColor="text1" w:themeTint="D9"/>
                                    <w:sz w:val="28"/>
                                    <w:szCs w:val="28"/>
                                    <w:lang w:val="es-ES"/>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6EDCDA41" w14:textId="77777777" w:rsidR="009D4904" w:rsidRPr="00983D1C" w:rsidRDefault="00D07D05">
                                    <w:pPr>
                                      <w:pStyle w:val="Sinespaciado"/>
                                      <w:jc w:val="right"/>
                                      <w:rPr>
                                        <w:rFonts w:ascii="Arial" w:hAnsi="Arial" w:cs="Arial"/>
                                        <w:b/>
                                        <w:bCs/>
                                        <w:caps/>
                                        <w:color w:val="262626" w:themeColor="text1" w:themeTint="D9"/>
                                        <w:sz w:val="28"/>
                                        <w:szCs w:val="28"/>
                                        <w:lang w:val="es-ES"/>
                                      </w:rPr>
                                    </w:pPr>
                                    <w:r>
                                      <w:rPr>
                                        <w:rFonts w:ascii="Arial" w:hAnsi="Arial" w:cs="Arial"/>
                                        <w:b/>
                                        <w:bCs/>
                                        <w:caps/>
                                        <w:color w:val="262626" w:themeColor="text1" w:themeTint="D9"/>
                                        <w:sz w:val="28"/>
                                        <w:szCs w:val="28"/>
                                        <w:lang w:val="es-ES"/>
                                      </w:rPr>
                                      <w:t>Comisión de defensa comercial</w:t>
                                    </w:r>
                                  </w:p>
                                </w:sdtContent>
                              </w:sdt>
                              <w:p w14:paraId="29ADE2DB" w14:textId="77777777" w:rsidR="009D4904" w:rsidRPr="00D07D05" w:rsidRDefault="00000000">
                                <w:pPr>
                                  <w:pStyle w:val="Sinespaciado"/>
                                  <w:jc w:val="right"/>
                                  <w:rPr>
                                    <w:rFonts w:ascii="Arial" w:hAnsi="Arial" w:cs="Arial"/>
                                    <w:caps/>
                                    <w:color w:val="262626" w:themeColor="text1" w:themeTint="D9"/>
                                    <w:sz w:val="20"/>
                                    <w:szCs w:val="20"/>
                                    <w:lang w:val="es-ES"/>
                                  </w:rPr>
                                </w:pPr>
                                <w:sdt>
                                  <w:sdtPr>
                                    <w:rPr>
                                      <w:rFonts w:ascii="Arial" w:hAnsi="Arial" w:cs="Arial"/>
                                      <w:caps/>
                                      <w:color w:val="262626" w:themeColor="text1" w:themeTint="D9"/>
                                      <w:sz w:val="20"/>
                                      <w:szCs w:val="20"/>
                                      <w:lang w:val="es-ES"/>
                                    </w:rPr>
                                    <w:alias w:val="Company"/>
                                    <w:tag w:val=""/>
                                    <w:id w:val="-661235724"/>
                                    <w:dataBinding w:prefixMappings="xmlns:ns0='http://schemas.openxmlformats.org/officeDocument/2006/extended-properties' " w:xpath="/ns0:Properties[1]/ns0:Company[1]" w:storeItemID="{6668398D-A668-4E3E-A5EB-62B293D839F1}"/>
                                    <w:text/>
                                  </w:sdtPr>
                                  <w:sdtContent>
                                    <w:r w:rsidR="00983D1C" w:rsidRPr="00D07D05">
                                      <w:rPr>
                                        <w:rFonts w:ascii="Arial" w:hAnsi="Arial" w:cs="Arial"/>
                                        <w:caps/>
                                        <w:color w:val="262626" w:themeColor="text1" w:themeTint="D9"/>
                                        <w:sz w:val="20"/>
                                        <w:szCs w:val="20"/>
                                        <w:lang w:val="es-ES"/>
                                      </w:rPr>
                                      <w:t>Santo domingo, rep. dom.</w:t>
                                    </w:r>
                                  </w:sdtContent>
                                </w:sdt>
                              </w:p>
                              <w:p w14:paraId="0EE4AD20" w14:textId="54405C28" w:rsidR="009D4904" w:rsidRPr="005D332F" w:rsidRDefault="00000000">
                                <w:pPr>
                                  <w:pStyle w:val="Sinespaciado"/>
                                  <w:jc w:val="right"/>
                                  <w:rPr>
                                    <w:rFonts w:ascii="Arial" w:hAnsi="Arial" w:cs="Arial"/>
                                    <w:caps/>
                                    <w:color w:val="262626" w:themeColor="text1" w:themeTint="D9"/>
                                    <w:sz w:val="20"/>
                                    <w:szCs w:val="20"/>
                                    <w:lang w:val="es-DO"/>
                                  </w:rPr>
                                </w:pPr>
                                <w:sdt>
                                  <w:sdtPr>
                                    <w:rPr>
                                      <w:rFonts w:ascii="Arial" w:hAnsi="Arial" w:cs="Arial"/>
                                      <w:color w:val="262626" w:themeColor="text1" w:themeTint="D9"/>
                                      <w:sz w:val="20"/>
                                      <w:szCs w:val="20"/>
                                      <w:lang w:val="es-DO"/>
                                    </w:rPr>
                                    <w:alias w:val="Address"/>
                                    <w:tag w:val=""/>
                                    <w:id w:val="171227497"/>
                                    <w:dataBinding w:prefixMappings="xmlns:ns0='http://schemas.microsoft.com/office/2006/coverPageProps' " w:xpath="/ns0:CoverPageProperties[1]/ns0:CompanyAddress[1]" w:storeItemID="{55AF091B-3C7A-41E3-B477-F2FDAA23CFDA}"/>
                                    <w:text/>
                                  </w:sdtPr>
                                  <w:sdtContent>
                                    <w:r w:rsidR="005D332F" w:rsidRPr="005D332F">
                                      <w:rPr>
                                        <w:rFonts w:ascii="Arial" w:hAnsi="Arial" w:cs="Arial"/>
                                        <w:color w:val="262626" w:themeColor="text1" w:themeTint="D9"/>
                                        <w:sz w:val="20"/>
                                        <w:szCs w:val="20"/>
                                        <w:lang w:val="es-DO"/>
                                      </w:rPr>
                                      <w:t>Calle Manuel de Jesús T</w:t>
                                    </w:r>
                                    <w:r w:rsidR="005D332F">
                                      <w:rPr>
                                        <w:rFonts w:ascii="Arial" w:hAnsi="Arial" w:cs="Arial"/>
                                        <w:color w:val="262626" w:themeColor="text1" w:themeTint="D9"/>
                                        <w:sz w:val="20"/>
                                        <w:szCs w:val="20"/>
                                        <w:lang w:val="es-DO"/>
                                      </w:rPr>
                                      <w:t>roncoso, No. 18, Ensa</w:t>
                                    </w:r>
                                    <w:r w:rsidR="00E0393E">
                                      <w:rPr>
                                        <w:rFonts w:ascii="Arial" w:hAnsi="Arial" w:cs="Arial"/>
                                        <w:color w:val="262626" w:themeColor="text1" w:themeTint="D9"/>
                                        <w:sz w:val="20"/>
                                        <w:szCs w:val="20"/>
                                        <w:lang w:val="es-DO"/>
                                      </w:rPr>
                                      <w:t>n</w:t>
                                    </w:r>
                                    <w:r w:rsidR="005D332F">
                                      <w:rPr>
                                        <w:rFonts w:ascii="Arial" w:hAnsi="Arial" w:cs="Arial"/>
                                        <w:color w:val="262626" w:themeColor="text1" w:themeTint="D9"/>
                                        <w:sz w:val="20"/>
                                        <w:szCs w:val="20"/>
                                        <w:lang w:val="es-DO"/>
                                      </w:rPr>
                                      <w:t>che Para</w:t>
                                    </w:r>
                                    <w:r w:rsidR="00E0393E">
                                      <w:rPr>
                                        <w:rFonts w:ascii="Arial" w:hAnsi="Arial" w:cs="Arial"/>
                                        <w:color w:val="262626" w:themeColor="text1" w:themeTint="D9"/>
                                        <w:sz w:val="20"/>
                                        <w:szCs w:val="20"/>
                                        <w:lang w:val="es-DO"/>
                                      </w:rPr>
                                      <w:t>í</w:t>
                                    </w:r>
                                    <w:r w:rsidR="005D332F">
                                      <w:rPr>
                                        <w:rFonts w:ascii="Arial" w:hAnsi="Arial" w:cs="Arial"/>
                                        <w:color w:val="262626" w:themeColor="text1" w:themeTint="D9"/>
                                        <w:sz w:val="20"/>
                                        <w:szCs w:val="20"/>
                                        <w:lang w:val="es-DO"/>
                                      </w:rPr>
                                      <w:t>so.</w:t>
                                    </w:r>
                                  </w:sdtContent>
                                </w:sdt>
                                <w:r w:rsidR="009D4904" w:rsidRPr="005D332F">
                                  <w:rPr>
                                    <w:rFonts w:ascii="Arial" w:hAnsi="Arial" w:cs="Arial"/>
                                    <w:color w:val="262626" w:themeColor="text1" w:themeTint="D9"/>
                                    <w:sz w:val="20"/>
                                    <w:szCs w:val="20"/>
                                    <w:lang w:val="es-DO"/>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3B2A9CF0" id="_x0000_t202" coordsize="21600,21600" o:spt="202" path="m,l,21600r21600,l21600,xe">
                    <v:stroke joinstyle="miter"/>
                    <v:path gradientshapeok="t" o:connecttype="rect"/>
                  </v:shapetype>
                  <v:shape id="Text Box 112" o:spid="_x0000_s1026"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1RXgIAAC0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" filled="f" stroked="f" strokeweight=".5pt">
                    <v:textbox inset="0,0,0,0">
                      <w:txbxContent>
                        <w:sdt>
                          <w:sdtPr>
                            <w:rPr>
                              <w:rFonts w:ascii="Arial" w:hAnsi="Arial" w:cs="Arial"/>
                              <w:b/>
                              <w:bCs/>
                              <w:caps/>
                              <w:color w:val="262626" w:themeColor="text1" w:themeTint="D9"/>
                              <w:sz w:val="28"/>
                              <w:szCs w:val="28"/>
                              <w:lang w:val="es-ES"/>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6EDCDA41" w14:textId="77777777" w:rsidR="009D4904" w:rsidRPr="00983D1C" w:rsidRDefault="00D07D05">
                              <w:pPr>
                                <w:pStyle w:val="Sinespaciado"/>
                                <w:jc w:val="right"/>
                                <w:rPr>
                                  <w:rFonts w:ascii="Arial" w:hAnsi="Arial" w:cs="Arial"/>
                                  <w:b/>
                                  <w:bCs/>
                                  <w:caps/>
                                  <w:color w:val="262626" w:themeColor="text1" w:themeTint="D9"/>
                                  <w:sz w:val="28"/>
                                  <w:szCs w:val="28"/>
                                  <w:lang w:val="es-ES"/>
                                </w:rPr>
                              </w:pPr>
                              <w:r>
                                <w:rPr>
                                  <w:rFonts w:ascii="Arial" w:hAnsi="Arial" w:cs="Arial"/>
                                  <w:b/>
                                  <w:bCs/>
                                  <w:caps/>
                                  <w:color w:val="262626" w:themeColor="text1" w:themeTint="D9"/>
                                  <w:sz w:val="28"/>
                                  <w:szCs w:val="28"/>
                                  <w:lang w:val="es-ES"/>
                                </w:rPr>
                                <w:t>Comisión de defensa comercial</w:t>
                              </w:r>
                            </w:p>
                          </w:sdtContent>
                        </w:sdt>
                        <w:p w14:paraId="29ADE2DB" w14:textId="77777777" w:rsidR="009D4904" w:rsidRPr="00D07D05" w:rsidRDefault="00580984">
                          <w:pPr>
                            <w:pStyle w:val="Sinespaciado"/>
                            <w:jc w:val="right"/>
                            <w:rPr>
                              <w:rFonts w:ascii="Arial" w:hAnsi="Arial" w:cs="Arial"/>
                              <w:caps/>
                              <w:color w:val="262626" w:themeColor="text1" w:themeTint="D9"/>
                              <w:sz w:val="20"/>
                              <w:szCs w:val="20"/>
                              <w:lang w:val="es-ES"/>
                            </w:rPr>
                          </w:pPr>
                          <w:sdt>
                            <w:sdtPr>
                              <w:rPr>
                                <w:rFonts w:ascii="Arial" w:hAnsi="Arial" w:cs="Arial"/>
                                <w:caps/>
                                <w:color w:val="262626" w:themeColor="text1" w:themeTint="D9"/>
                                <w:sz w:val="20"/>
                                <w:szCs w:val="20"/>
                                <w:lang w:val="es-ES"/>
                              </w:rPr>
                              <w:alias w:val="Company"/>
                              <w:tag w:val=""/>
                              <w:id w:val="-661235724"/>
                              <w:dataBinding w:prefixMappings="xmlns:ns0='http://schemas.openxmlformats.org/officeDocument/2006/extended-properties' " w:xpath="/ns0:Properties[1]/ns0:Company[1]" w:storeItemID="{6668398D-A668-4E3E-A5EB-62B293D839F1}"/>
                              <w:text/>
                            </w:sdtPr>
                            <w:sdtEndPr/>
                            <w:sdtContent>
                              <w:r w:rsidR="00983D1C" w:rsidRPr="00D07D05">
                                <w:rPr>
                                  <w:rFonts w:ascii="Arial" w:hAnsi="Arial" w:cs="Arial"/>
                                  <w:caps/>
                                  <w:color w:val="262626" w:themeColor="text1" w:themeTint="D9"/>
                                  <w:sz w:val="20"/>
                                  <w:szCs w:val="20"/>
                                  <w:lang w:val="es-ES"/>
                                </w:rPr>
                                <w:t>Santo domingo, rep. dom.</w:t>
                              </w:r>
                            </w:sdtContent>
                          </w:sdt>
                        </w:p>
                        <w:p w14:paraId="0EE4AD20" w14:textId="54405C28" w:rsidR="009D4904" w:rsidRPr="005D332F" w:rsidRDefault="00580984">
                          <w:pPr>
                            <w:pStyle w:val="Sinespaciado"/>
                            <w:jc w:val="right"/>
                            <w:rPr>
                              <w:rFonts w:ascii="Arial" w:hAnsi="Arial" w:cs="Arial"/>
                              <w:caps/>
                              <w:color w:val="262626" w:themeColor="text1" w:themeTint="D9"/>
                              <w:sz w:val="20"/>
                              <w:szCs w:val="20"/>
                              <w:lang w:val="es-DO"/>
                            </w:rPr>
                          </w:pPr>
                          <w:sdt>
                            <w:sdtPr>
                              <w:rPr>
                                <w:rFonts w:ascii="Arial" w:hAnsi="Arial" w:cs="Arial"/>
                                <w:color w:val="262626" w:themeColor="text1" w:themeTint="D9"/>
                                <w:sz w:val="20"/>
                                <w:szCs w:val="20"/>
                                <w:lang w:val="es-DO"/>
                              </w:rPr>
                              <w:alias w:val="Address"/>
                              <w:tag w:val=""/>
                              <w:id w:val="171227497"/>
                              <w:dataBinding w:prefixMappings="xmlns:ns0='http://schemas.microsoft.com/office/2006/coverPageProps' " w:xpath="/ns0:CoverPageProperties[1]/ns0:CompanyAddress[1]" w:storeItemID="{55AF091B-3C7A-41E3-B477-F2FDAA23CFDA}"/>
                              <w:text/>
                            </w:sdtPr>
                            <w:sdtEndPr/>
                            <w:sdtContent>
                              <w:r w:rsidR="005D332F" w:rsidRPr="005D332F">
                                <w:rPr>
                                  <w:rFonts w:ascii="Arial" w:hAnsi="Arial" w:cs="Arial"/>
                                  <w:color w:val="262626" w:themeColor="text1" w:themeTint="D9"/>
                                  <w:sz w:val="20"/>
                                  <w:szCs w:val="20"/>
                                  <w:lang w:val="es-DO"/>
                                </w:rPr>
                                <w:t>Calle Manuel de Jesús T</w:t>
                              </w:r>
                              <w:r w:rsidR="005D332F">
                                <w:rPr>
                                  <w:rFonts w:ascii="Arial" w:hAnsi="Arial" w:cs="Arial"/>
                                  <w:color w:val="262626" w:themeColor="text1" w:themeTint="D9"/>
                                  <w:sz w:val="20"/>
                                  <w:szCs w:val="20"/>
                                  <w:lang w:val="es-DO"/>
                                </w:rPr>
                                <w:t>roncoso, No. 18, Ensa</w:t>
                              </w:r>
                              <w:r w:rsidR="00E0393E">
                                <w:rPr>
                                  <w:rFonts w:ascii="Arial" w:hAnsi="Arial" w:cs="Arial"/>
                                  <w:color w:val="262626" w:themeColor="text1" w:themeTint="D9"/>
                                  <w:sz w:val="20"/>
                                  <w:szCs w:val="20"/>
                                  <w:lang w:val="es-DO"/>
                                </w:rPr>
                                <w:t>n</w:t>
                              </w:r>
                              <w:r w:rsidR="005D332F">
                                <w:rPr>
                                  <w:rFonts w:ascii="Arial" w:hAnsi="Arial" w:cs="Arial"/>
                                  <w:color w:val="262626" w:themeColor="text1" w:themeTint="D9"/>
                                  <w:sz w:val="20"/>
                                  <w:szCs w:val="20"/>
                                  <w:lang w:val="es-DO"/>
                                </w:rPr>
                                <w:t>che Para</w:t>
                              </w:r>
                              <w:r w:rsidR="00E0393E">
                                <w:rPr>
                                  <w:rFonts w:ascii="Arial" w:hAnsi="Arial" w:cs="Arial"/>
                                  <w:color w:val="262626" w:themeColor="text1" w:themeTint="D9"/>
                                  <w:sz w:val="20"/>
                                  <w:szCs w:val="20"/>
                                  <w:lang w:val="es-DO"/>
                                </w:rPr>
                                <w:t>í</w:t>
                              </w:r>
                              <w:r w:rsidR="005D332F">
                                <w:rPr>
                                  <w:rFonts w:ascii="Arial" w:hAnsi="Arial" w:cs="Arial"/>
                                  <w:color w:val="262626" w:themeColor="text1" w:themeTint="D9"/>
                                  <w:sz w:val="20"/>
                                  <w:szCs w:val="20"/>
                                  <w:lang w:val="es-DO"/>
                                </w:rPr>
                                <w:t>so.</w:t>
                              </w:r>
                            </w:sdtContent>
                          </w:sdt>
                          <w:r w:rsidR="009D4904" w:rsidRPr="005D332F">
                            <w:rPr>
                              <w:rFonts w:ascii="Arial" w:hAnsi="Arial" w:cs="Arial"/>
                              <w:color w:val="262626" w:themeColor="text1" w:themeTint="D9"/>
                              <w:sz w:val="20"/>
                              <w:szCs w:val="20"/>
                              <w:lang w:val="es-DO"/>
                            </w:rPr>
                            <w:t xml:space="preserve"> </w:t>
                          </w:r>
                        </w:p>
                      </w:txbxContent>
                    </v:textbox>
                    <w10:wrap type="square" anchorx="page" anchory="page"/>
                  </v:shape>
                </w:pict>
              </mc:Fallback>
            </mc:AlternateContent>
          </w:r>
          <w:r>
            <w:rPr>
              <w:noProof/>
              <w:lang w:val="es-DO" w:eastAsia="es-DO"/>
            </w:rPr>
            <mc:AlternateContent>
              <mc:Choice Requires="wpg">
                <w:drawing>
                  <wp:anchor distT="0" distB="0" distL="114300" distR="114300" simplePos="0" relativeHeight="251659264" behindDoc="0" locked="0" layoutInCell="1" allowOverlap="1" wp14:anchorId="09AC78FE" wp14:editId="38AA6258">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rgbClr val="4358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rgbClr val="B007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F14918B"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" fillcolor="#435881"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" fillcolor="#b0073c" stroked="f" strokeweight="1pt">
                      <o:lock v:ext="edit" aspectratio="t"/>
                    </v:rect>
                    <w10:wrap anchorx="page" anchory="page"/>
                  </v:group>
                </w:pict>
              </mc:Fallback>
            </mc:AlternateContent>
          </w:r>
        </w:p>
      </w:sdtContent>
    </w:sdt>
    <w:p w14:paraId="02D149A4" w14:textId="77777777" w:rsidR="00D07D05" w:rsidRPr="00C83F77" w:rsidRDefault="00D07D05" w:rsidP="00D07D05">
      <w:pPr>
        <w:jc w:val="both"/>
        <w:rPr>
          <w:rFonts w:ascii="Arial" w:hAnsi="Arial" w:cs="Arial"/>
          <w:sz w:val="28"/>
          <w:szCs w:val="22"/>
          <w:lang w:val="es-DO"/>
        </w:rPr>
      </w:pPr>
    </w:p>
    <w:p w14:paraId="3202CC5B" w14:textId="69AB2391" w:rsidR="00D07D05" w:rsidRPr="00C83F77" w:rsidRDefault="00D07D05" w:rsidP="00D07D05">
      <w:pPr>
        <w:jc w:val="both"/>
        <w:rPr>
          <w:rFonts w:ascii="Arial" w:hAnsi="Arial" w:cs="Arial"/>
          <w:sz w:val="28"/>
          <w:szCs w:val="22"/>
          <w:lang w:val="es-DO"/>
        </w:rPr>
      </w:pPr>
    </w:p>
    <w:p w14:paraId="6838D86E" w14:textId="77777777" w:rsidR="00D07D05" w:rsidRPr="00C83F77" w:rsidRDefault="00D07D05" w:rsidP="00D07D05">
      <w:pPr>
        <w:tabs>
          <w:tab w:val="left" w:pos="5909"/>
        </w:tabs>
        <w:rPr>
          <w:rFonts w:ascii="Arial" w:hAnsi="Arial" w:cs="Arial"/>
          <w:sz w:val="32"/>
          <w:lang w:val="es-DO"/>
        </w:rPr>
      </w:pPr>
      <w:r w:rsidRPr="00C83F77">
        <w:rPr>
          <w:rFonts w:ascii="Arial" w:hAnsi="Arial" w:cs="Arial"/>
          <w:sz w:val="32"/>
          <w:lang w:val="es-DO"/>
        </w:rPr>
        <w:tab/>
      </w:r>
    </w:p>
    <w:p w14:paraId="67D3E0FB" w14:textId="77777777" w:rsidR="005D332F" w:rsidRDefault="00F25615" w:rsidP="00F25615">
      <w:pPr>
        <w:tabs>
          <w:tab w:val="left" w:pos="5909"/>
        </w:tabs>
        <w:rPr>
          <w:sz w:val="32"/>
          <w:lang w:val="es-DO"/>
        </w:rPr>
      </w:pPr>
      <w:r w:rsidRPr="00A5232D">
        <w:rPr>
          <w:sz w:val="32"/>
          <w:lang w:val="es-DO"/>
        </w:rPr>
        <w:tab/>
      </w:r>
    </w:p>
    <w:p w14:paraId="466AE209" w14:textId="06905AF7" w:rsidR="005D332F" w:rsidRDefault="00D3398A">
      <w:pPr>
        <w:rPr>
          <w:sz w:val="32"/>
          <w:lang w:val="es-DO"/>
        </w:rPr>
      </w:pPr>
      <w:r>
        <w:rPr>
          <w:noProof/>
          <w:lang w:val="es-DO" w:eastAsia="es-DO"/>
        </w:rPr>
        <mc:AlternateContent>
          <mc:Choice Requires="wps">
            <w:drawing>
              <wp:anchor distT="0" distB="0" distL="114300" distR="114300" simplePos="0" relativeHeight="251660288" behindDoc="0" locked="0" layoutInCell="1" allowOverlap="1" wp14:anchorId="7B8B9B0A" wp14:editId="486C9CBC">
                <wp:simplePos x="0" y="0"/>
                <wp:positionH relativeFrom="margin">
                  <wp:align>right</wp:align>
                </wp:positionH>
                <wp:positionV relativeFrom="page">
                  <wp:posOffset>3048000</wp:posOffset>
                </wp:positionV>
                <wp:extent cx="5734050" cy="2266950"/>
                <wp:effectExtent l="0" t="0" r="0" b="0"/>
                <wp:wrapSquare wrapText="bothSides"/>
                <wp:docPr id="113" name="Text Box 113"/>
                <wp:cNvGraphicFramePr/>
                <a:graphic xmlns:a="http://schemas.openxmlformats.org/drawingml/2006/main">
                  <a:graphicData uri="http://schemas.microsoft.com/office/word/2010/wordprocessingShape">
                    <wps:wsp>
                      <wps:cNvSpPr txBox="1"/>
                      <wps:spPr>
                        <a:xfrm>
                          <a:off x="0" y="0"/>
                          <a:ext cx="5734050" cy="2266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BD363" w14:textId="5AE17E95" w:rsidR="009D4904" w:rsidRPr="00E0393E" w:rsidRDefault="00000000" w:rsidP="00E0393E">
                            <w:pPr>
                              <w:pStyle w:val="Sinespaciado"/>
                              <w:jc w:val="center"/>
                              <w:rPr>
                                <w:rFonts w:ascii="Arial" w:eastAsiaTheme="minorHAnsi" w:hAnsi="Arial" w:cs="Arial"/>
                                <w:b/>
                                <w:bCs/>
                                <w:color w:val="002060"/>
                                <w:sz w:val="28"/>
                                <w:szCs w:val="28"/>
                                <w:lang w:val="es-ES" w:eastAsia="en-US"/>
                              </w:rPr>
                            </w:pPr>
                            <w:sdt>
                              <w:sdtPr>
                                <w:rPr>
                                  <w:rFonts w:ascii="Arial" w:eastAsiaTheme="minorHAnsi" w:hAnsi="Arial" w:cs="Arial"/>
                                  <w:b/>
                                  <w:bCs/>
                                  <w:color w:val="002060"/>
                                  <w:sz w:val="28"/>
                                  <w:szCs w:val="28"/>
                                  <w:lang w:val="es-ES" w:eastAsia="en-US"/>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E0393E">
                                  <w:rPr>
                                    <w:rFonts w:ascii="Arial" w:eastAsiaTheme="minorHAnsi" w:hAnsi="Arial" w:cs="Arial"/>
                                    <w:b/>
                                    <w:bCs/>
                                    <w:color w:val="002060"/>
                                    <w:sz w:val="28"/>
                                    <w:szCs w:val="28"/>
                                    <w:lang w:val="es-ES" w:eastAsia="en-US"/>
                                  </w:rPr>
                                  <w:t>Informe</w:t>
                                </w:r>
                                <w:r w:rsidR="00FC4092">
                                  <w:rPr>
                                    <w:rFonts w:ascii="Arial" w:eastAsiaTheme="minorHAnsi" w:hAnsi="Arial" w:cs="Arial"/>
                                    <w:b/>
                                    <w:bCs/>
                                    <w:color w:val="002060"/>
                                    <w:sz w:val="28"/>
                                    <w:szCs w:val="28"/>
                                    <w:lang w:val="es-ES" w:eastAsia="en-US"/>
                                  </w:rPr>
                                  <w:t xml:space="preserve"> enero-diciembre </w:t>
                                </w:r>
                                <w:r w:rsidR="00E0393E">
                                  <w:rPr>
                                    <w:rFonts w:ascii="Arial" w:eastAsiaTheme="minorHAnsi" w:hAnsi="Arial" w:cs="Arial"/>
                                    <w:b/>
                                    <w:bCs/>
                                    <w:color w:val="002060"/>
                                    <w:sz w:val="28"/>
                                    <w:szCs w:val="28"/>
                                    <w:lang w:val="es-ES" w:eastAsia="en-US"/>
                                  </w:rPr>
                                  <w:t>2023</w:t>
                                </w:r>
                              </w:sdtContent>
                            </w:sdt>
                          </w:p>
                          <w:p w14:paraId="2629AEA9" w14:textId="0BB594C6" w:rsidR="00E0393E" w:rsidRPr="00E0393E" w:rsidRDefault="00E0393E" w:rsidP="00E0393E">
                            <w:pPr>
                              <w:pStyle w:val="Sinespaciado"/>
                              <w:jc w:val="center"/>
                              <w:rPr>
                                <w:rFonts w:ascii="Arial" w:eastAsiaTheme="minorHAnsi" w:hAnsi="Arial" w:cs="Arial"/>
                                <w:b/>
                                <w:bCs/>
                                <w:color w:val="002060"/>
                                <w:sz w:val="28"/>
                                <w:szCs w:val="28"/>
                                <w:lang w:val="es-ES" w:eastAsia="en-US"/>
                              </w:rPr>
                            </w:pPr>
                            <w:r w:rsidRPr="00E0393E">
                              <w:rPr>
                                <w:rFonts w:ascii="Arial" w:eastAsiaTheme="minorHAnsi" w:hAnsi="Arial" w:cs="Arial"/>
                                <w:b/>
                                <w:bCs/>
                                <w:color w:val="002060"/>
                                <w:sz w:val="28"/>
                                <w:szCs w:val="28"/>
                                <w:lang w:val="es-ES" w:eastAsia="en-US"/>
                              </w:rPr>
                              <w:t>Oficina de Acceso a la Información Pública</w:t>
                            </w:r>
                          </w:p>
                          <w:p w14:paraId="7297F11A" w14:textId="77777777" w:rsidR="00E0393E" w:rsidRDefault="00E0393E" w:rsidP="003E3C70">
                            <w:pPr>
                              <w:pStyle w:val="Sinespaciado"/>
                              <w:jc w:val="both"/>
                              <w:rPr>
                                <w:rFonts w:ascii="Arial" w:eastAsiaTheme="minorHAnsi" w:hAnsi="Arial" w:cs="Arial"/>
                                <w:b/>
                                <w:bCs/>
                                <w:color w:val="002060"/>
                                <w:sz w:val="24"/>
                                <w:szCs w:val="24"/>
                                <w:lang w:val="es-ES" w:eastAsia="en-US"/>
                              </w:rPr>
                            </w:pPr>
                          </w:p>
                          <w:p w14:paraId="687750ED" w14:textId="77777777" w:rsidR="00E0393E" w:rsidRPr="00E70856" w:rsidRDefault="00E0393E" w:rsidP="003E3C70">
                            <w:pPr>
                              <w:pStyle w:val="Sinespaciado"/>
                              <w:jc w:val="both"/>
                              <w:rPr>
                                <w:rFonts w:ascii="Arial" w:hAnsi="Arial" w:cs="Arial"/>
                                <w:caps/>
                                <w:color w:val="323E4F" w:themeColor="text2" w:themeShade="BF"/>
                                <w:sz w:val="48"/>
                                <w:szCs w:val="52"/>
                                <w:lang w:val="es-DO"/>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8B9B0A" id="Text Box 113" o:spid="_x0000_s1027" type="#_x0000_t202" style="position:absolute;margin-left:400.3pt;margin-top:240pt;width:451.5pt;height:17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" filled="f" stroked="f" strokeweight=".5pt">
                <v:textbox inset="0,0,0,0">
                  <w:txbxContent>
                    <w:p w14:paraId="212BD363" w14:textId="5AE17E95" w:rsidR="009D4904" w:rsidRPr="00E0393E" w:rsidRDefault="00580984" w:rsidP="00E0393E">
                      <w:pPr>
                        <w:pStyle w:val="Sinespaciado"/>
                        <w:jc w:val="center"/>
                        <w:rPr>
                          <w:rFonts w:ascii="Arial" w:eastAsiaTheme="minorHAnsi" w:hAnsi="Arial" w:cs="Arial"/>
                          <w:b/>
                          <w:bCs/>
                          <w:color w:val="002060"/>
                          <w:sz w:val="28"/>
                          <w:szCs w:val="28"/>
                          <w:lang w:val="es-ES" w:eastAsia="en-US"/>
                        </w:rPr>
                      </w:pPr>
                      <w:sdt>
                        <w:sdtPr>
                          <w:rPr>
                            <w:rFonts w:ascii="Arial" w:eastAsiaTheme="minorHAnsi" w:hAnsi="Arial" w:cs="Arial"/>
                            <w:b/>
                            <w:bCs/>
                            <w:color w:val="002060"/>
                            <w:sz w:val="28"/>
                            <w:szCs w:val="28"/>
                            <w:lang w:val="es-ES" w:eastAsia="en-US"/>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E0393E">
                            <w:rPr>
                              <w:rFonts w:ascii="Arial" w:eastAsiaTheme="minorHAnsi" w:hAnsi="Arial" w:cs="Arial"/>
                              <w:b/>
                              <w:bCs/>
                              <w:color w:val="002060"/>
                              <w:sz w:val="28"/>
                              <w:szCs w:val="28"/>
                              <w:lang w:val="es-ES" w:eastAsia="en-US"/>
                            </w:rPr>
                            <w:t>Informe</w:t>
                          </w:r>
                          <w:r w:rsidR="00FC4092">
                            <w:rPr>
                              <w:rFonts w:ascii="Arial" w:eastAsiaTheme="minorHAnsi" w:hAnsi="Arial" w:cs="Arial"/>
                              <w:b/>
                              <w:bCs/>
                              <w:color w:val="002060"/>
                              <w:sz w:val="28"/>
                              <w:szCs w:val="28"/>
                              <w:lang w:val="es-ES" w:eastAsia="en-US"/>
                            </w:rPr>
                            <w:t xml:space="preserve"> enero-diciembre </w:t>
                          </w:r>
                          <w:r w:rsidR="00E0393E">
                            <w:rPr>
                              <w:rFonts w:ascii="Arial" w:eastAsiaTheme="minorHAnsi" w:hAnsi="Arial" w:cs="Arial"/>
                              <w:b/>
                              <w:bCs/>
                              <w:color w:val="002060"/>
                              <w:sz w:val="28"/>
                              <w:szCs w:val="28"/>
                              <w:lang w:val="es-ES" w:eastAsia="en-US"/>
                            </w:rPr>
                            <w:t>2023</w:t>
                          </w:r>
                        </w:sdtContent>
                      </w:sdt>
                    </w:p>
                    <w:p w14:paraId="2629AEA9" w14:textId="0BB594C6" w:rsidR="00E0393E" w:rsidRPr="00E0393E" w:rsidRDefault="00E0393E" w:rsidP="00E0393E">
                      <w:pPr>
                        <w:pStyle w:val="Sinespaciado"/>
                        <w:jc w:val="center"/>
                        <w:rPr>
                          <w:rFonts w:ascii="Arial" w:eastAsiaTheme="minorHAnsi" w:hAnsi="Arial" w:cs="Arial"/>
                          <w:b/>
                          <w:bCs/>
                          <w:color w:val="002060"/>
                          <w:sz w:val="28"/>
                          <w:szCs w:val="28"/>
                          <w:lang w:val="es-ES" w:eastAsia="en-US"/>
                        </w:rPr>
                      </w:pPr>
                      <w:r w:rsidRPr="00E0393E">
                        <w:rPr>
                          <w:rFonts w:ascii="Arial" w:eastAsiaTheme="minorHAnsi" w:hAnsi="Arial" w:cs="Arial"/>
                          <w:b/>
                          <w:bCs/>
                          <w:color w:val="002060"/>
                          <w:sz w:val="28"/>
                          <w:szCs w:val="28"/>
                          <w:lang w:val="es-ES" w:eastAsia="en-US"/>
                        </w:rPr>
                        <w:t>Oficina de Acceso a la Información Pública</w:t>
                      </w:r>
                    </w:p>
                    <w:p w14:paraId="7297F11A" w14:textId="77777777" w:rsidR="00E0393E" w:rsidRDefault="00E0393E" w:rsidP="003E3C70">
                      <w:pPr>
                        <w:pStyle w:val="Sinespaciado"/>
                        <w:jc w:val="both"/>
                        <w:rPr>
                          <w:rFonts w:ascii="Arial" w:eastAsiaTheme="minorHAnsi" w:hAnsi="Arial" w:cs="Arial"/>
                          <w:b/>
                          <w:bCs/>
                          <w:color w:val="002060"/>
                          <w:sz w:val="24"/>
                          <w:szCs w:val="24"/>
                          <w:lang w:val="es-ES" w:eastAsia="en-US"/>
                        </w:rPr>
                      </w:pPr>
                    </w:p>
                    <w:p w14:paraId="687750ED" w14:textId="77777777" w:rsidR="00E0393E" w:rsidRPr="00E70856" w:rsidRDefault="00E0393E" w:rsidP="003E3C70">
                      <w:pPr>
                        <w:pStyle w:val="Sinespaciado"/>
                        <w:jc w:val="both"/>
                        <w:rPr>
                          <w:rFonts w:ascii="Arial" w:hAnsi="Arial" w:cs="Arial"/>
                          <w:caps/>
                          <w:color w:val="323E4F" w:themeColor="text2" w:themeShade="BF"/>
                          <w:sz w:val="48"/>
                          <w:szCs w:val="52"/>
                          <w:lang w:val="es-DO"/>
                        </w:rPr>
                      </w:pPr>
                    </w:p>
                  </w:txbxContent>
                </v:textbox>
                <w10:wrap type="square" anchorx="margin" anchory="page"/>
              </v:shape>
            </w:pict>
          </mc:Fallback>
        </mc:AlternateContent>
      </w:r>
      <w:r w:rsidR="005D332F">
        <w:rPr>
          <w:sz w:val="32"/>
          <w:lang w:val="es-DO"/>
        </w:rPr>
        <w:br w:type="page"/>
      </w:r>
    </w:p>
    <w:p w14:paraId="538438A6" w14:textId="271159F1" w:rsidR="00E0393E" w:rsidRPr="005F0F70" w:rsidRDefault="00E0393E" w:rsidP="00FC4092">
      <w:pPr>
        <w:pStyle w:val="Encabezado"/>
        <w:numPr>
          <w:ilvl w:val="0"/>
          <w:numId w:val="7"/>
        </w:numPr>
        <w:jc w:val="both"/>
        <w:rPr>
          <w:rFonts w:ascii="Arial" w:hAnsi="Arial" w:cs="Arial"/>
          <w:b/>
          <w:bCs/>
          <w:lang w:val="es-US"/>
        </w:rPr>
      </w:pPr>
      <w:r w:rsidRPr="005F0F70">
        <w:rPr>
          <w:rFonts w:ascii="Arial" w:hAnsi="Arial" w:cs="Arial"/>
          <w:b/>
          <w:bCs/>
          <w:lang w:val="es-US"/>
        </w:rPr>
        <w:lastRenderedPageBreak/>
        <w:t>Oficina de Acceso a la Información (OAI)</w:t>
      </w:r>
    </w:p>
    <w:p w14:paraId="0CDAE0F7" w14:textId="77777777" w:rsidR="00E0393E" w:rsidRPr="005F0F70" w:rsidRDefault="00E0393E" w:rsidP="00B405B5">
      <w:pPr>
        <w:pStyle w:val="Encabezado"/>
        <w:jc w:val="both"/>
        <w:rPr>
          <w:rFonts w:ascii="Arial" w:hAnsi="Arial" w:cs="Arial"/>
          <w:sz w:val="22"/>
          <w:szCs w:val="22"/>
          <w:lang w:val="es-US"/>
        </w:rPr>
      </w:pPr>
    </w:p>
    <w:p w14:paraId="6878125A" w14:textId="6759E729" w:rsidR="00FC4092" w:rsidRPr="005F0F70" w:rsidRDefault="00FC4092" w:rsidP="00B405B5">
      <w:pPr>
        <w:pStyle w:val="Encabezado"/>
        <w:jc w:val="both"/>
        <w:rPr>
          <w:rFonts w:ascii="Arial" w:hAnsi="Arial" w:cs="Arial"/>
          <w:sz w:val="22"/>
          <w:szCs w:val="22"/>
          <w:lang w:val="es-US"/>
        </w:rPr>
      </w:pPr>
      <w:r w:rsidRPr="005F0F70">
        <w:rPr>
          <w:rFonts w:ascii="Arial" w:hAnsi="Arial" w:cs="Arial"/>
          <w:sz w:val="22"/>
          <w:szCs w:val="22"/>
          <w:lang w:val="es-US"/>
        </w:rPr>
        <w:t>La Oficina de Acceso a la Información (OAI), es un mandato de la Ley General de Libre Acceso a la Información Pública Ley 200-04 y el Decreto No. 130-05 que crea el reglamento de dicha ley, con el objetivo de apoyar a entidades y personas tanto públicas como privadas mediante las informaciones solicitadas.</w:t>
      </w:r>
    </w:p>
    <w:p w14:paraId="78D838FA" w14:textId="77777777" w:rsidR="00FC4092" w:rsidRPr="005F0F70" w:rsidRDefault="00FC4092" w:rsidP="00B405B5">
      <w:pPr>
        <w:pStyle w:val="Encabezado"/>
        <w:jc w:val="both"/>
        <w:rPr>
          <w:rFonts w:ascii="Arial" w:hAnsi="Arial" w:cs="Arial"/>
          <w:sz w:val="22"/>
          <w:szCs w:val="22"/>
          <w:lang w:val="es-US"/>
        </w:rPr>
      </w:pPr>
    </w:p>
    <w:p w14:paraId="64FDE675" w14:textId="77777777" w:rsidR="00FC4092" w:rsidRPr="005F0F70" w:rsidRDefault="00FC4092" w:rsidP="00B405B5">
      <w:pPr>
        <w:pStyle w:val="Encabezado"/>
        <w:jc w:val="both"/>
        <w:rPr>
          <w:rFonts w:ascii="Arial" w:hAnsi="Arial" w:cs="Arial"/>
          <w:sz w:val="22"/>
          <w:szCs w:val="22"/>
          <w:lang w:val="es-US"/>
        </w:rPr>
      </w:pPr>
      <w:r w:rsidRPr="005F0F70">
        <w:rPr>
          <w:rFonts w:ascii="Arial" w:hAnsi="Arial" w:cs="Arial"/>
          <w:sz w:val="22"/>
          <w:szCs w:val="22"/>
          <w:lang w:val="es-US"/>
        </w:rPr>
        <w:t>En el caso de esta Comisión Reguladora de Prácticas Desleales en el Comercio y sobre Medidas de Salvaguardias (Comisión de Defensa Comercial o CDC), l</w:t>
      </w:r>
      <w:r w:rsidR="00B405B5" w:rsidRPr="005F0F70">
        <w:rPr>
          <w:rFonts w:ascii="Arial" w:hAnsi="Arial" w:cs="Arial"/>
          <w:sz w:val="22"/>
          <w:szCs w:val="22"/>
          <w:lang w:val="es-US"/>
        </w:rPr>
        <w:t>a OAI</w:t>
      </w:r>
      <w:r w:rsidRPr="005F0F70">
        <w:rPr>
          <w:rFonts w:ascii="Arial" w:hAnsi="Arial" w:cs="Arial"/>
          <w:sz w:val="22"/>
          <w:szCs w:val="22"/>
          <w:lang w:val="es-US"/>
        </w:rPr>
        <w:t xml:space="preserve"> </w:t>
      </w:r>
      <w:r w:rsidR="00B405B5" w:rsidRPr="005F0F70">
        <w:rPr>
          <w:rFonts w:ascii="Arial" w:hAnsi="Arial" w:cs="Arial"/>
          <w:sz w:val="22"/>
          <w:szCs w:val="22"/>
          <w:lang w:val="es-US"/>
        </w:rPr>
        <w:t xml:space="preserve">está conformada por un </w:t>
      </w:r>
      <w:r w:rsidR="00281101" w:rsidRPr="005F0F70">
        <w:rPr>
          <w:rFonts w:ascii="Arial" w:hAnsi="Arial" w:cs="Arial"/>
          <w:sz w:val="22"/>
          <w:szCs w:val="22"/>
          <w:lang w:val="es-US"/>
        </w:rPr>
        <w:t>responsable</w:t>
      </w:r>
      <w:r w:rsidR="00B405B5" w:rsidRPr="005F0F70">
        <w:rPr>
          <w:rFonts w:ascii="Arial" w:hAnsi="Arial" w:cs="Arial"/>
          <w:sz w:val="22"/>
          <w:szCs w:val="22"/>
          <w:lang w:val="es-US"/>
        </w:rPr>
        <w:t xml:space="preserve"> de Acceso a la Información (RAI), con dependencia directa de la Máxima Autoridad de la Institución. </w:t>
      </w:r>
    </w:p>
    <w:p w14:paraId="53102C86" w14:textId="77777777" w:rsidR="00FC4092" w:rsidRPr="005F0F70" w:rsidRDefault="00FC4092" w:rsidP="00B405B5">
      <w:pPr>
        <w:pStyle w:val="Encabezado"/>
        <w:jc w:val="both"/>
        <w:rPr>
          <w:rFonts w:ascii="Arial" w:hAnsi="Arial" w:cs="Arial"/>
          <w:sz w:val="22"/>
          <w:szCs w:val="22"/>
          <w:lang w:val="es-US"/>
        </w:rPr>
      </w:pPr>
    </w:p>
    <w:p w14:paraId="2DB85925" w14:textId="2E88F0AA" w:rsidR="00B405B5" w:rsidRPr="005F0F70" w:rsidRDefault="00B405B5" w:rsidP="00B405B5">
      <w:pPr>
        <w:pStyle w:val="Encabezado"/>
        <w:jc w:val="both"/>
        <w:rPr>
          <w:rFonts w:ascii="Arial" w:hAnsi="Arial" w:cs="Arial"/>
          <w:sz w:val="22"/>
          <w:szCs w:val="22"/>
          <w:lang w:val="es-US"/>
        </w:rPr>
      </w:pPr>
      <w:r w:rsidRPr="005F0F70">
        <w:rPr>
          <w:rFonts w:ascii="Arial" w:hAnsi="Arial" w:cs="Arial"/>
          <w:sz w:val="22"/>
          <w:szCs w:val="22"/>
          <w:lang w:val="es-US"/>
        </w:rPr>
        <w:t>En observación al Art. 4 de la ley Núm. 200-04, esta oficina pone a la disposición de los ciudadanos, a través del Portal Transparencia, las informaciones relativas al presupuesto público, compras y contrataciones, nóminas de empleados, estadísticas institucionales y todos los servicios que ofrece la CDC. Asimismo, gestiona todas las solicitudes de informaciones que se reciben a través de los diferentes medios de comunicación, dando re</w:t>
      </w:r>
      <w:r w:rsidR="00FC4092" w:rsidRPr="005F0F70">
        <w:rPr>
          <w:rFonts w:ascii="Arial" w:hAnsi="Arial" w:cs="Arial"/>
          <w:sz w:val="22"/>
          <w:szCs w:val="22"/>
          <w:lang w:val="es-US"/>
        </w:rPr>
        <w:t>s</w:t>
      </w:r>
      <w:r w:rsidRPr="005F0F70">
        <w:rPr>
          <w:rFonts w:ascii="Arial" w:hAnsi="Arial" w:cs="Arial"/>
          <w:sz w:val="22"/>
          <w:szCs w:val="22"/>
          <w:lang w:val="es-US"/>
        </w:rPr>
        <w:t xml:space="preserve">puestas a éstas dentro del tiempo establecido por la ley. </w:t>
      </w:r>
    </w:p>
    <w:p w14:paraId="1C81A54D" w14:textId="77777777" w:rsidR="005F0F70" w:rsidRPr="005F0F70" w:rsidRDefault="005F0F70" w:rsidP="00B405B5">
      <w:pPr>
        <w:pStyle w:val="Encabezado"/>
        <w:jc w:val="both"/>
        <w:rPr>
          <w:rFonts w:ascii="Arial" w:hAnsi="Arial" w:cs="Arial"/>
          <w:lang w:val="es-US"/>
        </w:rPr>
      </w:pPr>
    </w:p>
    <w:p w14:paraId="2E3FEA24" w14:textId="3A59AD40" w:rsidR="00E0393E" w:rsidRPr="005F0F70" w:rsidRDefault="00E0393E" w:rsidP="00FC4092">
      <w:pPr>
        <w:pStyle w:val="Encabezado"/>
        <w:numPr>
          <w:ilvl w:val="0"/>
          <w:numId w:val="7"/>
        </w:numPr>
        <w:jc w:val="both"/>
        <w:rPr>
          <w:rFonts w:ascii="Arial" w:hAnsi="Arial" w:cs="Arial"/>
          <w:b/>
          <w:bCs/>
          <w:lang w:val="es-US"/>
        </w:rPr>
      </w:pPr>
      <w:r w:rsidRPr="005F0F70">
        <w:rPr>
          <w:rFonts w:ascii="Arial" w:hAnsi="Arial" w:cs="Arial"/>
          <w:b/>
          <w:bCs/>
          <w:lang w:val="es-US"/>
        </w:rPr>
        <w:t xml:space="preserve">Principales </w:t>
      </w:r>
      <w:r w:rsidR="00FC4092" w:rsidRPr="005F0F70">
        <w:rPr>
          <w:rFonts w:ascii="Arial" w:hAnsi="Arial" w:cs="Arial"/>
          <w:b/>
          <w:bCs/>
          <w:lang w:val="es-US"/>
        </w:rPr>
        <w:t>estadísticas del área</w:t>
      </w:r>
    </w:p>
    <w:p w14:paraId="540FCE87" w14:textId="77777777" w:rsidR="00FC4092" w:rsidRPr="005F0F70" w:rsidRDefault="00FC4092" w:rsidP="00B405B5">
      <w:pPr>
        <w:pStyle w:val="Encabezado"/>
        <w:jc w:val="both"/>
        <w:rPr>
          <w:rFonts w:ascii="Arial" w:hAnsi="Arial" w:cs="Arial"/>
          <w:sz w:val="22"/>
          <w:szCs w:val="22"/>
          <w:lang w:val="es-US"/>
        </w:rPr>
      </w:pPr>
    </w:p>
    <w:p w14:paraId="0D7184CC" w14:textId="27A025EF" w:rsidR="00B405B5" w:rsidRPr="005F0F70" w:rsidRDefault="00B405B5" w:rsidP="00B405B5">
      <w:pPr>
        <w:pStyle w:val="Encabezado"/>
        <w:jc w:val="both"/>
        <w:rPr>
          <w:rFonts w:ascii="Arial" w:hAnsi="Arial" w:cs="Arial"/>
          <w:sz w:val="22"/>
          <w:szCs w:val="22"/>
          <w:lang w:val="es-US"/>
        </w:rPr>
      </w:pPr>
      <w:r w:rsidRPr="005F0F70">
        <w:rPr>
          <w:rFonts w:ascii="Arial" w:hAnsi="Arial" w:cs="Arial"/>
          <w:sz w:val="22"/>
          <w:szCs w:val="22"/>
          <w:lang w:val="es-US"/>
        </w:rPr>
        <w:t xml:space="preserve">En </w:t>
      </w:r>
      <w:r w:rsidR="00FC4092" w:rsidRPr="005F0F70">
        <w:rPr>
          <w:rFonts w:ascii="Arial" w:hAnsi="Arial" w:cs="Arial"/>
          <w:sz w:val="22"/>
          <w:szCs w:val="22"/>
          <w:lang w:val="es-US"/>
        </w:rPr>
        <w:t xml:space="preserve">el periodo enero-diciembre 2023, </w:t>
      </w:r>
      <w:r w:rsidRPr="005F0F70">
        <w:rPr>
          <w:rFonts w:ascii="Arial" w:hAnsi="Arial" w:cs="Arial"/>
          <w:sz w:val="22"/>
          <w:szCs w:val="22"/>
          <w:lang w:val="es-US"/>
        </w:rPr>
        <w:t>mediante el RAI se gestionaron tres (3) solicitudes a través de Portal Único de Solicitud de Acceso a la Información Pública (SAIP). Dichas solicitudes fueron atendidas en un tiempo promedio de 10 días laborales.</w:t>
      </w:r>
    </w:p>
    <w:p w14:paraId="57002BDF" w14:textId="77777777" w:rsidR="00B405B5" w:rsidRPr="005F0F70" w:rsidRDefault="00B405B5" w:rsidP="00B405B5">
      <w:pPr>
        <w:pStyle w:val="Encabezado"/>
        <w:jc w:val="both"/>
        <w:rPr>
          <w:rFonts w:ascii="Arial" w:hAnsi="Arial" w:cs="Arial"/>
          <w:sz w:val="22"/>
          <w:szCs w:val="22"/>
          <w:lang w:val="es-US"/>
        </w:rPr>
      </w:pPr>
    </w:p>
    <w:p w14:paraId="3C9FF8D5" w14:textId="77777777" w:rsidR="00B405B5" w:rsidRPr="005F0F70" w:rsidRDefault="00B405B5" w:rsidP="00B405B5">
      <w:pPr>
        <w:pStyle w:val="Encabezado"/>
        <w:jc w:val="both"/>
        <w:rPr>
          <w:rFonts w:ascii="Arial" w:hAnsi="Arial" w:cs="Arial"/>
          <w:sz w:val="22"/>
          <w:szCs w:val="22"/>
          <w:lang w:val="es-US"/>
        </w:rPr>
      </w:pPr>
      <w:r w:rsidRPr="005F0F70">
        <w:rPr>
          <w:rFonts w:ascii="Arial" w:hAnsi="Arial" w:cs="Arial"/>
          <w:sz w:val="22"/>
          <w:szCs w:val="22"/>
          <w:lang w:val="es-US"/>
        </w:rPr>
        <w:t>Comportamiento de las Solicitudes de Acceso a la Información</w:t>
      </w:r>
    </w:p>
    <w:p w14:paraId="09E6D8CB" w14:textId="77777777" w:rsidR="00B405B5" w:rsidRPr="005F0F70" w:rsidRDefault="00B405B5" w:rsidP="00B405B5">
      <w:pPr>
        <w:pStyle w:val="Encabezado"/>
        <w:jc w:val="both"/>
        <w:rPr>
          <w:rFonts w:ascii="Arial" w:hAnsi="Arial" w:cs="Arial"/>
          <w:sz w:val="22"/>
          <w:szCs w:val="22"/>
          <w:lang w:val="es-US"/>
        </w:rPr>
      </w:pPr>
    </w:p>
    <w:tbl>
      <w:tblPr>
        <w:tblStyle w:val="Tablaconcuadrcula1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095"/>
      </w:tblGrid>
      <w:tr w:rsidR="00B405B5" w:rsidRPr="005F0F70" w14:paraId="5940366C" w14:textId="77777777" w:rsidTr="00350F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10" w:type="dxa"/>
            <w:gridSpan w:val="2"/>
            <w:tcBorders>
              <w:bottom w:val="none" w:sz="0" w:space="0" w:color="auto"/>
            </w:tcBorders>
            <w:shd w:val="clear" w:color="auto" w:fill="142F62"/>
          </w:tcPr>
          <w:p w14:paraId="6019CFA7" w14:textId="77777777" w:rsidR="00B405B5" w:rsidRPr="005F0F70" w:rsidRDefault="00B405B5" w:rsidP="00FC4092">
            <w:pPr>
              <w:pStyle w:val="Encabezado"/>
              <w:jc w:val="center"/>
              <w:rPr>
                <w:rFonts w:ascii="Arial" w:eastAsiaTheme="minorHAnsi" w:hAnsi="Arial" w:cs="Arial"/>
                <w:lang w:val="es-US"/>
              </w:rPr>
            </w:pPr>
            <w:r w:rsidRPr="005F0F70">
              <w:rPr>
                <w:rFonts w:ascii="Arial" w:eastAsiaTheme="minorHAnsi" w:hAnsi="Arial" w:cs="Arial"/>
                <w:lang w:val="es-US"/>
              </w:rPr>
              <w:t>Solicitudes SAIP</w:t>
            </w:r>
          </w:p>
        </w:tc>
      </w:tr>
      <w:tr w:rsidR="00B405B5" w:rsidRPr="005F0F70" w14:paraId="50BB2BA1" w14:textId="77777777" w:rsidTr="00350F71">
        <w:trPr>
          <w:jc w:val="center"/>
        </w:trPr>
        <w:tc>
          <w:tcPr>
            <w:cnfStyle w:val="001000000000" w:firstRow="0" w:lastRow="0" w:firstColumn="1" w:lastColumn="0" w:oddVBand="0" w:evenVBand="0" w:oddHBand="0" w:evenHBand="0" w:firstRowFirstColumn="0" w:firstRowLastColumn="0" w:lastRowFirstColumn="0" w:lastRowLastColumn="0"/>
            <w:tcW w:w="4815" w:type="dxa"/>
          </w:tcPr>
          <w:p w14:paraId="0F74B7A3" w14:textId="77777777" w:rsidR="00B405B5" w:rsidRPr="005F0F70" w:rsidRDefault="00B405B5" w:rsidP="00FC4092">
            <w:pPr>
              <w:pStyle w:val="Encabezado"/>
              <w:jc w:val="center"/>
              <w:rPr>
                <w:rFonts w:ascii="Arial" w:eastAsiaTheme="minorHAnsi" w:hAnsi="Arial" w:cs="Arial"/>
                <w:lang w:val="es-US"/>
              </w:rPr>
            </w:pPr>
            <w:r w:rsidRPr="005F0F70">
              <w:rPr>
                <w:rFonts w:ascii="Arial" w:eastAsiaTheme="minorHAnsi" w:hAnsi="Arial" w:cs="Arial"/>
                <w:lang w:val="es-US"/>
              </w:rPr>
              <w:t>Áreas</w:t>
            </w:r>
          </w:p>
        </w:tc>
        <w:tc>
          <w:tcPr>
            <w:tcW w:w="3095" w:type="dxa"/>
          </w:tcPr>
          <w:p w14:paraId="0BB598FF" w14:textId="77777777" w:rsidR="00B405B5" w:rsidRPr="005F0F70" w:rsidRDefault="00B405B5" w:rsidP="00FC4092">
            <w:pPr>
              <w:pStyle w:val="Encabezad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lang w:val="es-US"/>
              </w:rPr>
            </w:pPr>
            <w:r w:rsidRPr="005F0F70">
              <w:rPr>
                <w:rFonts w:ascii="Arial" w:eastAsiaTheme="minorHAnsi" w:hAnsi="Arial" w:cs="Arial"/>
                <w:b/>
                <w:bCs/>
                <w:lang w:val="es-US"/>
              </w:rPr>
              <w:t>Cantidad</w:t>
            </w:r>
          </w:p>
        </w:tc>
      </w:tr>
      <w:tr w:rsidR="00B405B5" w:rsidRPr="005F0F70" w14:paraId="393E57EB" w14:textId="77777777" w:rsidTr="00350F71">
        <w:trPr>
          <w:jc w:val="center"/>
        </w:trPr>
        <w:tc>
          <w:tcPr>
            <w:cnfStyle w:val="001000000000" w:firstRow="0" w:lastRow="0" w:firstColumn="1" w:lastColumn="0" w:oddVBand="0" w:evenVBand="0" w:oddHBand="0" w:evenHBand="0" w:firstRowFirstColumn="0" w:firstRowLastColumn="0" w:lastRowFirstColumn="0" w:lastRowLastColumn="0"/>
            <w:tcW w:w="4815" w:type="dxa"/>
          </w:tcPr>
          <w:p w14:paraId="378593C9" w14:textId="77777777" w:rsidR="00B405B5" w:rsidRPr="005F0F70" w:rsidRDefault="00B405B5" w:rsidP="00B405B5">
            <w:pPr>
              <w:pStyle w:val="Encabezado"/>
              <w:rPr>
                <w:rFonts w:ascii="Arial" w:eastAsiaTheme="minorHAnsi" w:hAnsi="Arial" w:cs="Arial"/>
                <w:b w:val="0"/>
                <w:bCs w:val="0"/>
                <w:lang w:val="es-US"/>
              </w:rPr>
            </w:pPr>
            <w:r w:rsidRPr="005F0F70">
              <w:rPr>
                <w:rFonts w:ascii="Arial" w:eastAsiaTheme="minorHAnsi" w:hAnsi="Arial" w:cs="Arial"/>
                <w:b w:val="0"/>
                <w:bCs w:val="0"/>
                <w:lang w:val="es-US"/>
              </w:rPr>
              <w:t>Analista Legal</w:t>
            </w:r>
          </w:p>
        </w:tc>
        <w:tc>
          <w:tcPr>
            <w:tcW w:w="3095" w:type="dxa"/>
            <w:vAlign w:val="center"/>
          </w:tcPr>
          <w:p w14:paraId="1A8346C3" w14:textId="77777777" w:rsidR="00B405B5" w:rsidRPr="005F0F70" w:rsidRDefault="00B405B5" w:rsidP="00B405B5">
            <w:pPr>
              <w:pStyle w:val="Encabezado"/>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val="es-US"/>
              </w:rPr>
            </w:pPr>
            <w:r w:rsidRPr="005F0F70">
              <w:rPr>
                <w:rFonts w:ascii="Arial" w:eastAsiaTheme="minorHAnsi" w:hAnsi="Arial" w:cs="Arial"/>
                <w:lang w:val="es-US"/>
              </w:rPr>
              <w:t>1</w:t>
            </w:r>
          </w:p>
        </w:tc>
      </w:tr>
      <w:tr w:rsidR="00B405B5" w:rsidRPr="005F0F70" w14:paraId="7E2D40B1" w14:textId="77777777" w:rsidTr="00350F71">
        <w:trPr>
          <w:jc w:val="center"/>
        </w:trPr>
        <w:tc>
          <w:tcPr>
            <w:cnfStyle w:val="001000000000" w:firstRow="0" w:lastRow="0" w:firstColumn="1" w:lastColumn="0" w:oddVBand="0" w:evenVBand="0" w:oddHBand="0" w:evenHBand="0" w:firstRowFirstColumn="0" w:firstRowLastColumn="0" w:lastRowFirstColumn="0" w:lastRowLastColumn="0"/>
            <w:tcW w:w="4815" w:type="dxa"/>
          </w:tcPr>
          <w:p w14:paraId="27BFAB3D" w14:textId="77777777" w:rsidR="00B405B5" w:rsidRPr="005F0F70" w:rsidRDefault="00B405B5" w:rsidP="00B405B5">
            <w:pPr>
              <w:pStyle w:val="Encabezado"/>
              <w:rPr>
                <w:rFonts w:ascii="Arial" w:eastAsiaTheme="minorHAnsi" w:hAnsi="Arial" w:cs="Arial"/>
                <w:b w:val="0"/>
                <w:bCs w:val="0"/>
                <w:lang w:val="es-US"/>
              </w:rPr>
            </w:pPr>
            <w:r w:rsidRPr="005F0F70">
              <w:rPr>
                <w:rFonts w:ascii="Arial" w:eastAsiaTheme="minorHAnsi" w:hAnsi="Arial" w:cs="Arial"/>
                <w:b w:val="0"/>
                <w:bCs w:val="0"/>
                <w:lang w:val="es-US"/>
              </w:rPr>
              <w:t>Departamento Administrativo y Financiero</w:t>
            </w:r>
          </w:p>
        </w:tc>
        <w:tc>
          <w:tcPr>
            <w:tcW w:w="3095" w:type="dxa"/>
            <w:vAlign w:val="center"/>
          </w:tcPr>
          <w:p w14:paraId="7F1906F7" w14:textId="77777777" w:rsidR="00B405B5" w:rsidRPr="005F0F70" w:rsidRDefault="00B405B5" w:rsidP="00B405B5">
            <w:pPr>
              <w:pStyle w:val="Encabezado"/>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val="es-US"/>
              </w:rPr>
            </w:pPr>
            <w:r w:rsidRPr="005F0F70">
              <w:rPr>
                <w:rFonts w:ascii="Arial" w:eastAsiaTheme="minorHAnsi" w:hAnsi="Arial" w:cs="Arial"/>
                <w:lang w:val="es-US"/>
              </w:rPr>
              <w:t>2</w:t>
            </w:r>
          </w:p>
        </w:tc>
      </w:tr>
    </w:tbl>
    <w:p w14:paraId="2917B605" w14:textId="77777777" w:rsidR="00B405B5" w:rsidRPr="005F0F70" w:rsidRDefault="00B405B5" w:rsidP="00B405B5">
      <w:pPr>
        <w:pStyle w:val="Encabezado"/>
        <w:jc w:val="both"/>
        <w:rPr>
          <w:rFonts w:ascii="Arial" w:hAnsi="Arial" w:cs="Arial"/>
          <w:sz w:val="22"/>
          <w:szCs w:val="22"/>
          <w:lang w:val="es-US"/>
        </w:rPr>
      </w:pPr>
    </w:p>
    <w:p w14:paraId="443BCDE9" w14:textId="77777777" w:rsidR="005F0F70" w:rsidRPr="005F0F70" w:rsidRDefault="005F0F70" w:rsidP="00FC4092">
      <w:pPr>
        <w:pStyle w:val="Encabezado"/>
        <w:jc w:val="both"/>
        <w:rPr>
          <w:rFonts w:ascii="Arial" w:hAnsi="Arial" w:cs="Arial"/>
          <w:b/>
          <w:bCs/>
          <w:sz w:val="22"/>
          <w:szCs w:val="22"/>
          <w:lang w:val="es-US"/>
        </w:rPr>
      </w:pPr>
    </w:p>
    <w:p w14:paraId="5CB46CFA" w14:textId="0FFDED7D" w:rsidR="00FC4092" w:rsidRPr="005F0F70" w:rsidRDefault="00FC4092" w:rsidP="00FC4092">
      <w:pPr>
        <w:pStyle w:val="Encabezado"/>
        <w:numPr>
          <w:ilvl w:val="0"/>
          <w:numId w:val="7"/>
        </w:numPr>
        <w:jc w:val="both"/>
        <w:rPr>
          <w:rFonts w:ascii="Arial" w:hAnsi="Arial" w:cs="Arial"/>
          <w:b/>
          <w:bCs/>
          <w:lang w:val="es-US"/>
        </w:rPr>
      </w:pPr>
      <w:r w:rsidRPr="005F0F70">
        <w:rPr>
          <w:rFonts w:ascii="Arial" w:hAnsi="Arial" w:cs="Arial"/>
          <w:b/>
          <w:bCs/>
          <w:lang w:val="es-US"/>
        </w:rPr>
        <w:t xml:space="preserve">Resultados Sistema </w:t>
      </w:r>
      <w:r w:rsidR="00647622" w:rsidRPr="005F0F70">
        <w:rPr>
          <w:rFonts w:ascii="Arial" w:hAnsi="Arial" w:cs="Arial"/>
          <w:b/>
          <w:bCs/>
          <w:lang w:val="es-US"/>
        </w:rPr>
        <w:t xml:space="preserve">de Quejas, Reclamos y Sugerencias - </w:t>
      </w:r>
      <w:r w:rsidRPr="005F0F70">
        <w:rPr>
          <w:rFonts w:ascii="Arial" w:hAnsi="Arial" w:cs="Arial"/>
          <w:b/>
          <w:bCs/>
          <w:lang w:val="es-US"/>
        </w:rPr>
        <w:t>Línea 3</w:t>
      </w:r>
      <w:r w:rsidR="00647622" w:rsidRPr="005F0F70">
        <w:rPr>
          <w:rFonts w:ascii="Arial" w:hAnsi="Arial" w:cs="Arial"/>
          <w:b/>
          <w:bCs/>
          <w:lang w:val="es-US"/>
        </w:rPr>
        <w:t>-</w:t>
      </w:r>
      <w:r w:rsidRPr="005F0F70">
        <w:rPr>
          <w:rFonts w:ascii="Arial" w:hAnsi="Arial" w:cs="Arial"/>
          <w:b/>
          <w:bCs/>
          <w:lang w:val="es-US"/>
        </w:rPr>
        <w:t>1</w:t>
      </w:r>
      <w:r w:rsidR="00647622" w:rsidRPr="005F0F70">
        <w:rPr>
          <w:rFonts w:ascii="Arial" w:hAnsi="Arial" w:cs="Arial"/>
          <w:b/>
          <w:bCs/>
          <w:lang w:val="es-US"/>
        </w:rPr>
        <w:t>-</w:t>
      </w:r>
      <w:r w:rsidRPr="005F0F70">
        <w:rPr>
          <w:rFonts w:ascii="Arial" w:hAnsi="Arial" w:cs="Arial"/>
          <w:b/>
          <w:bCs/>
          <w:lang w:val="es-US"/>
        </w:rPr>
        <w:t>1</w:t>
      </w:r>
    </w:p>
    <w:p w14:paraId="10C59B0D" w14:textId="77777777" w:rsidR="00FC4092" w:rsidRPr="005F0F70" w:rsidRDefault="00FC4092" w:rsidP="00FC4092">
      <w:pPr>
        <w:pStyle w:val="Encabezado"/>
        <w:jc w:val="both"/>
        <w:rPr>
          <w:rFonts w:ascii="Arial" w:hAnsi="Arial" w:cs="Arial"/>
          <w:sz w:val="22"/>
          <w:szCs w:val="22"/>
          <w:lang w:val="es-US"/>
        </w:rPr>
      </w:pPr>
    </w:p>
    <w:p w14:paraId="07D9FF3E" w14:textId="77777777" w:rsidR="00FC4092" w:rsidRPr="005F0F70" w:rsidRDefault="00FC4092" w:rsidP="00FC4092">
      <w:pPr>
        <w:pStyle w:val="Encabezado"/>
        <w:jc w:val="both"/>
        <w:rPr>
          <w:rFonts w:ascii="Arial" w:hAnsi="Arial" w:cs="Arial"/>
          <w:sz w:val="22"/>
          <w:szCs w:val="22"/>
          <w:lang w:val="es-US"/>
        </w:rPr>
      </w:pPr>
      <w:r w:rsidRPr="005F0F70">
        <w:rPr>
          <w:rFonts w:ascii="Arial" w:hAnsi="Arial" w:cs="Arial"/>
          <w:sz w:val="22"/>
          <w:szCs w:val="22"/>
          <w:lang w:val="es-US"/>
        </w:rPr>
        <w:t>El Sistema 3-1-1 tiene como finalidad poner a la disposición del ciudadano una herramienta para realizar sus denuncias, quejas, reclamaciones y/o sugerencias, relativas a cualquier entidad o servidor del gobierno de la República Dominicana, para que las mismas puedan ser canalizadas a los organismos correspondientes siendo este un canal directo.</w:t>
      </w:r>
    </w:p>
    <w:p w14:paraId="5121A5DE" w14:textId="77777777" w:rsidR="00FC4092" w:rsidRPr="005F0F70" w:rsidRDefault="00FC4092" w:rsidP="00FC4092">
      <w:pPr>
        <w:pStyle w:val="Encabezado"/>
        <w:jc w:val="both"/>
        <w:rPr>
          <w:rFonts w:ascii="Arial" w:hAnsi="Arial" w:cs="Arial"/>
          <w:sz w:val="22"/>
          <w:szCs w:val="22"/>
          <w:lang w:val="es-US"/>
        </w:rPr>
      </w:pPr>
    </w:p>
    <w:p w14:paraId="12E52645" w14:textId="39A14F2A" w:rsidR="00FC4092" w:rsidRPr="005F0F70" w:rsidRDefault="00FC4092" w:rsidP="00FC4092">
      <w:pPr>
        <w:pStyle w:val="Encabezado"/>
        <w:jc w:val="both"/>
        <w:rPr>
          <w:rFonts w:ascii="Arial" w:hAnsi="Arial" w:cs="Arial"/>
          <w:sz w:val="22"/>
          <w:szCs w:val="22"/>
          <w:lang w:val="es-US"/>
        </w:rPr>
      </w:pPr>
      <w:r w:rsidRPr="005F0F70">
        <w:rPr>
          <w:rFonts w:ascii="Arial" w:hAnsi="Arial" w:cs="Arial"/>
          <w:sz w:val="22"/>
          <w:szCs w:val="22"/>
          <w:lang w:val="es-US"/>
        </w:rPr>
        <w:t>Durante el periodo enero-diciembre 2023, no se recibieron solicitudes a través de la línea 311.</w:t>
      </w:r>
    </w:p>
    <w:p w14:paraId="24309CBD" w14:textId="77777777" w:rsidR="005F0F70" w:rsidRPr="005F0F70" w:rsidRDefault="005F0F70" w:rsidP="00B405B5">
      <w:pPr>
        <w:pStyle w:val="Encabezado"/>
        <w:jc w:val="both"/>
        <w:rPr>
          <w:rFonts w:ascii="Arial" w:hAnsi="Arial" w:cs="Arial"/>
          <w:sz w:val="28"/>
          <w:szCs w:val="28"/>
          <w:lang w:val="es-US"/>
        </w:rPr>
      </w:pPr>
    </w:p>
    <w:p w14:paraId="374E800B" w14:textId="5EE38341" w:rsidR="00B405B5" w:rsidRPr="005F0F70" w:rsidRDefault="00FC4092" w:rsidP="003800F8">
      <w:pPr>
        <w:pStyle w:val="Encabezado"/>
        <w:numPr>
          <w:ilvl w:val="0"/>
          <w:numId w:val="7"/>
        </w:numPr>
        <w:jc w:val="both"/>
        <w:rPr>
          <w:rFonts w:ascii="Arial" w:hAnsi="Arial" w:cs="Arial"/>
          <w:lang w:val="es-US"/>
        </w:rPr>
      </w:pPr>
      <w:r w:rsidRPr="005F0F70">
        <w:rPr>
          <w:rFonts w:ascii="Arial" w:hAnsi="Arial" w:cs="Arial"/>
          <w:b/>
          <w:bCs/>
          <w:lang w:val="es-US"/>
        </w:rPr>
        <w:t xml:space="preserve">Otras actividades realizadas </w:t>
      </w:r>
    </w:p>
    <w:p w14:paraId="08A1ECC9" w14:textId="77777777" w:rsidR="00FC4092" w:rsidRPr="005F0F70" w:rsidRDefault="00FC4092" w:rsidP="00B405B5">
      <w:pPr>
        <w:pStyle w:val="Encabezado"/>
        <w:jc w:val="both"/>
        <w:rPr>
          <w:rFonts w:ascii="Arial" w:hAnsi="Arial" w:cs="Arial"/>
          <w:b/>
          <w:bCs/>
          <w:sz w:val="22"/>
          <w:szCs w:val="22"/>
          <w:lang w:val="es-US"/>
        </w:rPr>
      </w:pPr>
    </w:p>
    <w:p w14:paraId="5992E576" w14:textId="440D5DCF" w:rsidR="00B405B5" w:rsidRPr="005F0F70" w:rsidRDefault="00FC4092" w:rsidP="00FC4092">
      <w:pPr>
        <w:pStyle w:val="Encabezado"/>
        <w:numPr>
          <w:ilvl w:val="0"/>
          <w:numId w:val="9"/>
        </w:numPr>
        <w:jc w:val="both"/>
        <w:rPr>
          <w:rFonts w:ascii="Arial" w:hAnsi="Arial" w:cs="Arial"/>
          <w:b/>
          <w:bCs/>
          <w:sz w:val="22"/>
          <w:szCs w:val="22"/>
          <w:lang w:val="es-US"/>
        </w:rPr>
      </w:pPr>
      <w:r w:rsidRPr="005F0F70">
        <w:rPr>
          <w:rFonts w:ascii="Arial" w:hAnsi="Arial" w:cs="Arial"/>
          <w:b/>
          <w:bCs/>
          <w:sz w:val="22"/>
          <w:szCs w:val="22"/>
          <w:lang w:val="es-US"/>
        </w:rPr>
        <w:t xml:space="preserve">Resultados mediciones Portal de </w:t>
      </w:r>
      <w:r w:rsidR="00B405B5" w:rsidRPr="005F0F70">
        <w:rPr>
          <w:rFonts w:ascii="Arial" w:hAnsi="Arial" w:cs="Arial"/>
          <w:b/>
          <w:bCs/>
          <w:sz w:val="22"/>
          <w:szCs w:val="22"/>
          <w:lang w:val="es-US"/>
        </w:rPr>
        <w:t>Transparencia.</w:t>
      </w:r>
    </w:p>
    <w:p w14:paraId="7379B3EF" w14:textId="77777777" w:rsidR="00B405B5" w:rsidRPr="005F0F70" w:rsidRDefault="00B405B5" w:rsidP="00B405B5">
      <w:pPr>
        <w:pStyle w:val="Encabezado"/>
        <w:jc w:val="both"/>
        <w:rPr>
          <w:rFonts w:ascii="Arial" w:hAnsi="Arial" w:cs="Arial"/>
          <w:sz w:val="22"/>
          <w:szCs w:val="22"/>
          <w:lang w:val="es-US"/>
        </w:rPr>
      </w:pPr>
    </w:p>
    <w:p w14:paraId="1EF8D063" w14:textId="247431FA" w:rsidR="00B405B5" w:rsidRPr="005F0F70" w:rsidRDefault="00B405B5" w:rsidP="00B405B5">
      <w:pPr>
        <w:pStyle w:val="Encabezado"/>
        <w:jc w:val="both"/>
        <w:rPr>
          <w:rFonts w:ascii="Arial" w:hAnsi="Arial" w:cs="Arial"/>
          <w:sz w:val="22"/>
          <w:szCs w:val="22"/>
          <w:lang w:val="es-US"/>
        </w:rPr>
      </w:pPr>
      <w:r w:rsidRPr="005F0F70">
        <w:rPr>
          <w:rFonts w:ascii="Arial" w:hAnsi="Arial" w:cs="Arial"/>
          <w:sz w:val="22"/>
          <w:szCs w:val="22"/>
          <w:lang w:val="es-US"/>
        </w:rPr>
        <w:t xml:space="preserve">La CDC realiza actualizaciones de información y contenido en el </w:t>
      </w:r>
      <w:proofErr w:type="spellStart"/>
      <w:r w:rsidRPr="005F0F70">
        <w:rPr>
          <w:rFonts w:ascii="Arial" w:hAnsi="Arial" w:cs="Arial"/>
          <w:sz w:val="22"/>
          <w:szCs w:val="22"/>
          <w:lang w:val="es-US"/>
        </w:rPr>
        <w:t>sub-portal</w:t>
      </w:r>
      <w:proofErr w:type="spellEnd"/>
      <w:r w:rsidRPr="005F0F70">
        <w:rPr>
          <w:rFonts w:ascii="Arial" w:hAnsi="Arial" w:cs="Arial"/>
          <w:sz w:val="22"/>
          <w:szCs w:val="22"/>
          <w:lang w:val="es-US"/>
        </w:rPr>
        <w:t xml:space="preserve"> de transparencia, colocando a disposición del ciudadano información respecto a su accionar, garantizando el cumplimiento de las normativas correspondientes a la Ley Núm. 200-04 sobre el Libre Acceso a la Información Pública y </w:t>
      </w:r>
      <w:r w:rsidRPr="005F0F70">
        <w:rPr>
          <w:rFonts w:ascii="Arial" w:hAnsi="Arial" w:cs="Arial"/>
          <w:sz w:val="22"/>
          <w:szCs w:val="22"/>
          <w:lang w:val="es-US"/>
        </w:rPr>
        <w:lastRenderedPageBreak/>
        <w:t xml:space="preserve">promoviendo la transparencia. Al respecto, en cuanto a la actualización y evaluación del </w:t>
      </w:r>
      <w:proofErr w:type="spellStart"/>
      <w:r w:rsidRPr="005F0F70">
        <w:rPr>
          <w:rFonts w:ascii="Arial" w:hAnsi="Arial" w:cs="Arial"/>
          <w:sz w:val="22"/>
          <w:szCs w:val="22"/>
          <w:lang w:val="es-US"/>
        </w:rPr>
        <w:t>sub-portal</w:t>
      </w:r>
      <w:proofErr w:type="spellEnd"/>
      <w:r w:rsidRPr="005F0F70">
        <w:rPr>
          <w:rFonts w:ascii="Arial" w:hAnsi="Arial" w:cs="Arial"/>
          <w:sz w:val="22"/>
          <w:szCs w:val="22"/>
          <w:lang w:val="es-US"/>
        </w:rPr>
        <w:t xml:space="preserve"> de transparencia, la CDC obtuvo una calificación promedio de un 95 % para el periodo comprendido de enero – diciembre 2023.    </w:t>
      </w:r>
    </w:p>
    <w:p w14:paraId="76409C52" w14:textId="77777777" w:rsidR="00B405B5" w:rsidRPr="005F0F70" w:rsidRDefault="00B405B5" w:rsidP="00B405B5">
      <w:pPr>
        <w:pStyle w:val="Encabezado"/>
        <w:jc w:val="both"/>
        <w:rPr>
          <w:rFonts w:ascii="Arial" w:hAnsi="Arial" w:cs="Arial"/>
          <w:sz w:val="22"/>
          <w:szCs w:val="22"/>
          <w:lang w:val="es-US"/>
        </w:rPr>
      </w:pPr>
    </w:p>
    <w:p w14:paraId="6D576B7C" w14:textId="49D44C1C" w:rsidR="00B405B5" w:rsidRPr="005F0F70" w:rsidRDefault="00647622" w:rsidP="00B405B5">
      <w:pPr>
        <w:pStyle w:val="Encabezado"/>
        <w:jc w:val="both"/>
        <w:rPr>
          <w:rFonts w:ascii="Arial" w:hAnsi="Arial" w:cs="Arial"/>
          <w:sz w:val="22"/>
          <w:szCs w:val="22"/>
          <w:lang w:val="es-US"/>
        </w:rPr>
      </w:pPr>
      <w:r w:rsidRPr="005F0F70">
        <w:rPr>
          <w:rFonts w:ascii="Arial" w:hAnsi="Arial" w:cs="Arial"/>
          <w:sz w:val="22"/>
          <w:szCs w:val="22"/>
          <w:lang w:val="es-US"/>
        </w:rPr>
        <w:t>A continuación, el detalle de las calificaciones obtenidas por mes, a saber:</w:t>
      </w:r>
    </w:p>
    <w:p w14:paraId="3E57C3BD" w14:textId="77777777" w:rsidR="00B405B5" w:rsidRPr="005F0F70" w:rsidRDefault="00B405B5" w:rsidP="00B405B5">
      <w:pPr>
        <w:pStyle w:val="Encabezado"/>
        <w:jc w:val="center"/>
        <w:rPr>
          <w:rFonts w:ascii="Arial" w:hAnsi="Arial" w:cs="Arial"/>
          <w:b/>
          <w:bCs/>
          <w:sz w:val="22"/>
          <w:szCs w:val="22"/>
          <w:lang w:val="es-US"/>
        </w:rPr>
      </w:pPr>
    </w:p>
    <w:p w14:paraId="3EE10465" w14:textId="5B78DEE4" w:rsidR="00B405B5" w:rsidRPr="005F0F70" w:rsidRDefault="00B405B5" w:rsidP="00B405B5">
      <w:pPr>
        <w:pStyle w:val="Encabezado"/>
        <w:jc w:val="center"/>
        <w:rPr>
          <w:rFonts w:ascii="Arial" w:hAnsi="Arial" w:cs="Arial"/>
          <w:b/>
          <w:bCs/>
          <w:sz w:val="22"/>
          <w:szCs w:val="22"/>
          <w:lang w:val="es-US"/>
        </w:rPr>
      </w:pPr>
      <w:r w:rsidRPr="005F0F70">
        <w:rPr>
          <w:rFonts w:ascii="Arial" w:hAnsi="Arial" w:cs="Arial"/>
          <w:b/>
          <w:bCs/>
          <w:sz w:val="22"/>
          <w:szCs w:val="22"/>
          <w:lang w:val="es-US"/>
        </w:rPr>
        <w:t>Resultados evaluaciones mensuales</w:t>
      </w:r>
      <w:r w:rsidR="00647622" w:rsidRPr="005F0F70">
        <w:rPr>
          <w:rFonts w:ascii="Arial" w:hAnsi="Arial" w:cs="Arial"/>
          <w:b/>
          <w:bCs/>
          <w:sz w:val="22"/>
          <w:szCs w:val="22"/>
          <w:lang w:val="es-US"/>
        </w:rPr>
        <w:t xml:space="preserve"> 2023</w:t>
      </w:r>
    </w:p>
    <w:tbl>
      <w:tblPr>
        <w:tblStyle w:val="Tablaconcuadrcula"/>
        <w:tblW w:w="8926" w:type="dxa"/>
        <w:jc w:val="center"/>
        <w:tblLook w:val="04A0" w:firstRow="1" w:lastRow="0" w:firstColumn="1" w:lastColumn="0" w:noHBand="0" w:noVBand="1"/>
      </w:tblPr>
      <w:tblGrid>
        <w:gridCol w:w="662"/>
        <w:gridCol w:w="595"/>
        <w:gridCol w:w="699"/>
        <w:gridCol w:w="760"/>
        <w:gridCol w:w="723"/>
        <w:gridCol w:w="772"/>
        <w:gridCol w:w="699"/>
        <w:gridCol w:w="638"/>
        <w:gridCol w:w="723"/>
        <w:gridCol w:w="705"/>
        <w:gridCol w:w="613"/>
        <w:gridCol w:w="650"/>
        <w:gridCol w:w="687"/>
      </w:tblGrid>
      <w:tr w:rsidR="00B405B5" w:rsidRPr="005F0F70" w14:paraId="5AEA8982" w14:textId="77777777" w:rsidTr="00350F71">
        <w:trPr>
          <w:trHeight w:val="179"/>
          <w:jc w:val="center"/>
        </w:trPr>
        <w:tc>
          <w:tcPr>
            <w:tcW w:w="662" w:type="dxa"/>
            <w:shd w:val="clear" w:color="auto" w:fill="142F62"/>
          </w:tcPr>
          <w:p w14:paraId="597260F2"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Mes</w:t>
            </w:r>
          </w:p>
        </w:tc>
        <w:tc>
          <w:tcPr>
            <w:tcW w:w="595" w:type="dxa"/>
            <w:shd w:val="clear" w:color="auto" w:fill="142F62"/>
          </w:tcPr>
          <w:p w14:paraId="13FDFDFB"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En.</w:t>
            </w:r>
          </w:p>
        </w:tc>
        <w:tc>
          <w:tcPr>
            <w:tcW w:w="699" w:type="dxa"/>
            <w:shd w:val="clear" w:color="auto" w:fill="142F62"/>
          </w:tcPr>
          <w:p w14:paraId="12054666"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Feb.</w:t>
            </w:r>
          </w:p>
        </w:tc>
        <w:tc>
          <w:tcPr>
            <w:tcW w:w="760" w:type="dxa"/>
            <w:shd w:val="clear" w:color="auto" w:fill="142F62"/>
          </w:tcPr>
          <w:p w14:paraId="6F6A8414"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Mar.</w:t>
            </w:r>
          </w:p>
        </w:tc>
        <w:tc>
          <w:tcPr>
            <w:tcW w:w="723" w:type="dxa"/>
            <w:shd w:val="clear" w:color="auto" w:fill="142F62"/>
          </w:tcPr>
          <w:p w14:paraId="6459E8FA"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Abr.</w:t>
            </w:r>
          </w:p>
        </w:tc>
        <w:tc>
          <w:tcPr>
            <w:tcW w:w="772" w:type="dxa"/>
            <w:shd w:val="clear" w:color="auto" w:fill="142F62"/>
          </w:tcPr>
          <w:p w14:paraId="684BA672"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May.</w:t>
            </w:r>
          </w:p>
        </w:tc>
        <w:tc>
          <w:tcPr>
            <w:tcW w:w="699" w:type="dxa"/>
            <w:shd w:val="clear" w:color="auto" w:fill="142F62"/>
          </w:tcPr>
          <w:p w14:paraId="393D4545"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Jun.</w:t>
            </w:r>
          </w:p>
        </w:tc>
        <w:tc>
          <w:tcPr>
            <w:tcW w:w="638" w:type="dxa"/>
            <w:shd w:val="clear" w:color="auto" w:fill="142F62"/>
          </w:tcPr>
          <w:p w14:paraId="7E974A72"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Jul.</w:t>
            </w:r>
          </w:p>
        </w:tc>
        <w:tc>
          <w:tcPr>
            <w:tcW w:w="723" w:type="dxa"/>
            <w:shd w:val="clear" w:color="auto" w:fill="142F62"/>
          </w:tcPr>
          <w:p w14:paraId="0D0FE437"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Ago.</w:t>
            </w:r>
          </w:p>
        </w:tc>
        <w:tc>
          <w:tcPr>
            <w:tcW w:w="705" w:type="dxa"/>
            <w:shd w:val="clear" w:color="auto" w:fill="142F62"/>
          </w:tcPr>
          <w:p w14:paraId="35B2BB91"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Sept</w:t>
            </w:r>
          </w:p>
        </w:tc>
        <w:tc>
          <w:tcPr>
            <w:tcW w:w="613" w:type="dxa"/>
            <w:shd w:val="clear" w:color="auto" w:fill="142F62"/>
          </w:tcPr>
          <w:p w14:paraId="24D27C40"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Oct</w:t>
            </w:r>
          </w:p>
        </w:tc>
        <w:tc>
          <w:tcPr>
            <w:tcW w:w="650" w:type="dxa"/>
            <w:shd w:val="clear" w:color="auto" w:fill="142F62"/>
          </w:tcPr>
          <w:p w14:paraId="39F55D2C"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Nov</w:t>
            </w:r>
          </w:p>
        </w:tc>
        <w:tc>
          <w:tcPr>
            <w:tcW w:w="687" w:type="dxa"/>
            <w:shd w:val="clear" w:color="auto" w:fill="142F62"/>
          </w:tcPr>
          <w:p w14:paraId="15042420"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Dic</w:t>
            </w:r>
          </w:p>
        </w:tc>
      </w:tr>
      <w:tr w:rsidR="00B405B5" w:rsidRPr="005F0F70" w14:paraId="36144A54" w14:textId="77777777" w:rsidTr="00350F71">
        <w:trPr>
          <w:trHeight w:val="326"/>
          <w:jc w:val="center"/>
        </w:trPr>
        <w:tc>
          <w:tcPr>
            <w:tcW w:w="662" w:type="dxa"/>
            <w:shd w:val="clear" w:color="auto" w:fill="142F62"/>
          </w:tcPr>
          <w:p w14:paraId="72AA2EAB"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w:t>
            </w:r>
          </w:p>
        </w:tc>
        <w:tc>
          <w:tcPr>
            <w:tcW w:w="595" w:type="dxa"/>
            <w:vAlign w:val="bottom"/>
          </w:tcPr>
          <w:p w14:paraId="05CD4C49"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94</w:t>
            </w:r>
          </w:p>
        </w:tc>
        <w:tc>
          <w:tcPr>
            <w:tcW w:w="699" w:type="dxa"/>
            <w:vAlign w:val="bottom"/>
          </w:tcPr>
          <w:p w14:paraId="2FF4513B"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94</w:t>
            </w:r>
          </w:p>
        </w:tc>
        <w:tc>
          <w:tcPr>
            <w:tcW w:w="760" w:type="dxa"/>
            <w:vAlign w:val="bottom"/>
          </w:tcPr>
          <w:p w14:paraId="4ADD0D90"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97</w:t>
            </w:r>
          </w:p>
        </w:tc>
        <w:tc>
          <w:tcPr>
            <w:tcW w:w="723" w:type="dxa"/>
            <w:vAlign w:val="bottom"/>
          </w:tcPr>
          <w:p w14:paraId="1D5E31F2"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98</w:t>
            </w:r>
          </w:p>
        </w:tc>
        <w:tc>
          <w:tcPr>
            <w:tcW w:w="772" w:type="dxa"/>
            <w:vAlign w:val="bottom"/>
          </w:tcPr>
          <w:p w14:paraId="41AEC238"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97</w:t>
            </w:r>
          </w:p>
        </w:tc>
        <w:tc>
          <w:tcPr>
            <w:tcW w:w="699" w:type="dxa"/>
            <w:vAlign w:val="bottom"/>
          </w:tcPr>
          <w:p w14:paraId="685DA5C0"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95</w:t>
            </w:r>
          </w:p>
        </w:tc>
        <w:tc>
          <w:tcPr>
            <w:tcW w:w="638" w:type="dxa"/>
            <w:vAlign w:val="bottom"/>
          </w:tcPr>
          <w:p w14:paraId="6BAC948F"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98</w:t>
            </w:r>
          </w:p>
        </w:tc>
        <w:tc>
          <w:tcPr>
            <w:tcW w:w="723" w:type="dxa"/>
            <w:vAlign w:val="bottom"/>
          </w:tcPr>
          <w:p w14:paraId="56CC1BAC"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98</w:t>
            </w:r>
          </w:p>
        </w:tc>
        <w:tc>
          <w:tcPr>
            <w:tcW w:w="705" w:type="dxa"/>
            <w:vAlign w:val="bottom"/>
          </w:tcPr>
          <w:p w14:paraId="6F4E7AB6"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98</w:t>
            </w:r>
          </w:p>
        </w:tc>
        <w:tc>
          <w:tcPr>
            <w:tcW w:w="613" w:type="dxa"/>
          </w:tcPr>
          <w:p w14:paraId="30C6812B"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98</w:t>
            </w:r>
          </w:p>
        </w:tc>
        <w:tc>
          <w:tcPr>
            <w:tcW w:w="650" w:type="dxa"/>
          </w:tcPr>
          <w:p w14:paraId="4A561B92"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98</w:t>
            </w:r>
          </w:p>
        </w:tc>
        <w:tc>
          <w:tcPr>
            <w:tcW w:w="687" w:type="dxa"/>
          </w:tcPr>
          <w:p w14:paraId="646C9EC8" w14:textId="77777777" w:rsidR="00B405B5" w:rsidRPr="005F0F70" w:rsidRDefault="00B405B5" w:rsidP="00B405B5">
            <w:pPr>
              <w:pStyle w:val="Encabezado"/>
              <w:jc w:val="both"/>
              <w:rPr>
                <w:rFonts w:ascii="Arial" w:hAnsi="Arial" w:cs="Arial"/>
                <w:lang w:val="es-US"/>
              </w:rPr>
            </w:pPr>
            <w:r w:rsidRPr="005F0F70">
              <w:rPr>
                <w:rFonts w:ascii="Arial" w:hAnsi="Arial" w:cs="Arial"/>
                <w:lang w:val="es-US"/>
              </w:rPr>
              <w:t>73</w:t>
            </w:r>
          </w:p>
        </w:tc>
      </w:tr>
    </w:tbl>
    <w:p w14:paraId="43745307" w14:textId="77777777" w:rsidR="00B405B5" w:rsidRPr="00B405B5" w:rsidRDefault="00B405B5" w:rsidP="00B405B5">
      <w:pPr>
        <w:pStyle w:val="Encabezado"/>
        <w:jc w:val="both"/>
        <w:rPr>
          <w:rFonts w:ascii="Arial" w:hAnsi="Arial" w:cs="Arial"/>
          <w:lang w:val="es-US"/>
        </w:rPr>
      </w:pPr>
    </w:p>
    <w:p w14:paraId="661AC485" w14:textId="77777777" w:rsidR="00B405B5" w:rsidRPr="00B405B5" w:rsidRDefault="00B405B5" w:rsidP="00B405B5">
      <w:pPr>
        <w:pStyle w:val="Encabezado"/>
        <w:jc w:val="both"/>
        <w:rPr>
          <w:rFonts w:ascii="Arial" w:hAnsi="Arial" w:cs="Arial"/>
          <w:lang w:val="es-US"/>
        </w:rPr>
      </w:pPr>
    </w:p>
    <w:p w14:paraId="2BF2182E" w14:textId="77777777" w:rsidR="00B405B5" w:rsidRPr="005F0F70" w:rsidRDefault="00B405B5" w:rsidP="00B405B5">
      <w:pPr>
        <w:pStyle w:val="Encabezado"/>
        <w:jc w:val="both"/>
        <w:rPr>
          <w:rFonts w:ascii="Arial" w:hAnsi="Arial" w:cs="Arial"/>
          <w:sz w:val="22"/>
          <w:szCs w:val="22"/>
          <w:lang w:val="es-US"/>
        </w:rPr>
      </w:pPr>
    </w:p>
    <w:p w14:paraId="01966BD7" w14:textId="1D94955A" w:rsidR="00B405B5" w:rsidRPr="005F0F70" w:rsidRDefault="00B405B5" w:rsidP="00647622">
      <w:pPr>
        <w:pStyle w:val="Encabezado"/>
        <w:numPr>
          <w:ilvl w:val="0"/>
          <w:numId w:val="9"/>
        </w:numPr>
        <w:jc w:val="both"/>
        <w:rPr>
          <w:rFonts w:ascii="Arial" w:hAnsi="Arial" w:cs="Arial"/>
          <w:b/>
          <w:bCs/>
          <w:sz w:val="22"/>
          <w:szCs w:val="22"/>
          <w:lang w:val="es-US"/>
        </w:rPr>
      </w:pPr>
      <w:r w:rsidRPr="005F0F70">
        <w:rPr>
          <w:rFonts w:ascii="Arial" w:hAnsi="Arial" w:cs="Arial"/>
          <w:b/>
          <w:bCs/>
          <w:sz w:val="22"/>
          <w:szCs w:val="22"/>
          <w:lang w:val="es-US"/>
        </w:rPr>
        <w:t xml:space="preserve">Declaraciones Juradas de Bienes </w:t>
      </w:r>
    </w:p>
    <w:p w14:paraId="02B3C364" w14:textId="77777777" w:rsidR="00B405B5" w:rsidRPr="005F0F70" w:rsidRDefault="00B405B5" w:rsidP="00B405B5">
      <w:pPr>
        <w:pStyle w:val="Encabezado"/>
        <w:jc w:val="both"/>
        <w:rPr>
          <w:rFonts w:ascii="Arial" w:hAnsi="Arial" w:cs="Arial"/>
          <w:sz w:val="22"/>
          <w:szCs w:val="22"/>
          <w:lang w:val="es-US"/>
        </w:rPr>
      </w:pPr>
    </w:p>
    <w:p w14:paraId="455B9438" w14:textId="3F9F251B" w:rsidR="00B405B5" w:rsidRPr="005F0F70" w:rsidRDefault="00B405B5" w:rsidP="00B405B5">
      <w:pPr>
        <w:pStyle w:val="Encabezado"/>
        <w:jc w:val="both"/>
        <w:rPr>
          <w:rFonts w:ascii="Arial" w:hAnsi="Arial" w:cs="Arial"/>
          <w:sz w:val="22"/>
          <w:szCs w:val="22"/>
          <w:lang w:val="es-US"/>
        </w:rPr>
      </w:pPr>
      <w:r w:rsidRPr="005F0F70">
        <w:rPr>
          <w:rFonts w:ascii="Arial" w:hAnsi="Arial" w:cs="Arial"/>
          <w:sz w:val="22"/>
          <w:szCs w:val="22"/>
          <w:lang w:val="es-US"/>
        </w:rPr>
        <w:t>Como parte de la cultura de transparencia y para cumplir con lo establecido en el Artículo 2 de la Ley 311-14 sobre Declaración Jurada de Bienes, ha sido publicado en nuestro Portal Web, la declaración jurada de nuestra máxima autoridad, el señor Juan Ramón Rosario Contreras Presidente, las señoras Esperanza Cabral Rubiera, Greicy Romero Castillo y el señor Omar Ramos Camacho, Comisionados</w:t>
      </w:r>
      <w:r w:rsidR="005F0F70">
        <w:rPr>
          <w:rFonts w:ascii="Arial" w:hAnsi="Arial" w:cs="Arial"/>
          <w:sz w:val="22"/>
          <w:szCs w:val="22"/>
          <w:lang w:val="es-US"/>
        </w:rPr>
        <w:t xml:space="preserve">, así como </w:t>
      </w:r>
      <w:r w:rsidRPr="005F0F70">
        <w:rPr>
          <w:rFonts w:ascii="Arial" w:hAnsi="Arial" w:cs="Arial"/>
          <w:sz w:val="22"/>
          <w:szCs w:val="22"/>
          <w:lang w:val="es-US"/>
        </w:rPr>
        <w:t>la seño</w:t>
      </w:r>
      <w:r w:rsidR="00647622" w:rsidRPr="005F0F70">
        <w:rPr>
          <w:rFonts w:ascii="Arial" w:hAnsi="Arial" w:cs="Arial"/>
          <w:sz w:val="22"/>
          <w:szCs w:val="22"/>
          <w:lang w:val="es-US"/>
        </w:rPr>
        <w:t>r</w:t>
      </w:r>
      <w:r w:rsidRPr="005F0F70">
        <w:rPr>
          <w:rFonts w:ascii="Arial" w:hAnsi="Arial" w:cs="Arial"/>
          <w:sz w:val="22"/>
          <w:szCs w:val="22"/>
          <w:lang w:val="es-US"/>
        </w:rPr>
        <w:t xml:space="preserve">a Melody Olivier Analista de la División de Compras y Contrataciones, poniendo en evidencia su realidad patrimonial y financiera, con lo cual se puede verificar si existe concordancia entre sus ingresos, sus bienes y sus gastos. </w:t>
      </w:r>
    </w:p>
    <w:p w14:paraId="6551F2DB" w14:textId="77777777" w:rsidR="00B405B5" w:rsidRPr="005F0F70" w:rsidRDefault="00B405B5" w:rsidP="00B405B5">
      <w:pPr>
        <w:pStyle w:val="Encabezado"/>
        <w:jc w:val="both"/>
        <w:rPr>
          <w:rFonts w:ascii="Arial" w:hAnsi="Arial" w:cs="Arial"/>
          <w:sz w:val="22"/>
          <w:szCs w:val="22"/>
          <w:lang w:val="es-US"/>
        </w:rPr>
      </w:pPr>
    </w:p>
    <w:p w14:paraId="108F244E" w14:textId="77777777" w:rsidR="00647622" w:rsidRPr="005F0F70" w:rsidRDefault="00647622" w:rsidP="00B405B5">
      <w:pPr>
        <w:pStyle w:val="Encabezado"/>
        <w:jc w:val="both"/>
        <w:rPr>
          <w:rFonts w:ascii="Arial" w:hAnsi="Arial" w:cs="Arial"/>
          <w:sz w:val="22"/>
          <w:szCs w:val="22"/>
          <w:lang w:val="es-US"/>
        </w:rPr>
      </w:pPr>
    </w:p>
    <w:p w14:paraId="1E2EEEF7" w14:textId="559753DB" w:rsidR="00B405B5" w:rsidRPr="005F0F70" w:rsidRDefault="00647622" w:rsidP="00647622">
      <w:pPr>
        <w:pStyle w:val="Encabezado"/>
        <w:numPr>
          <w:ilvl w:val="0"/>
          <w:numId w:val="9"/>
        </w:numPr>
        <w:jc w:val="both"/>
        <w:rPr>
          <w:rFonts w:ascii="Arial" w:hAnsi="Arial" w:cs="Arial"/>
          <w:b/>
          <w:bCs/>
          <w:sz w:val="22"/>
          <w:szCs w:val="22"/>
          <w:lang w:val="es-US"/>
        </w:rPr>
      </w:pPr>
      <w:r w:rsidRPr="005F0F70">
        <w:rPr>
          <w:rFonts w:ascii="Arial" w:hAnsi="Arial" w:cs="Arial"/>
          <w:b/>
          <w:bCs/>
          <w:sz w:val="22"/>
          <w:szCs w:val="22"/>
          <w:lang w:val="es-US"/>
        </w:rPr>
        <w:t>Oficial de Integridad Gubernamental</w:t>
      </w:r>
    </w:p>
    <w:p w14:paraId="7B12402E" w14:textId="77777777" w:rsidR="00B405B5" w:rsidRPr="005F0F70" w:rsidRDefault="00B405B5" w:rsidP="00B405B5">
      <w:pPr>
        <w:pStyle w:val="Encabezado"/>
        <w:jc w:val="both"/>
        <w:rPr>
          <w:rFonts w:ascii="Arial" w:hAnsi="Arial" w:cs="Arial"/>
          <w:sz w:val="22"/>
          <w:szCs w:val="22"/>
          <w:lang w:val="es-US"/>
        </w:rPr>
      </w:pPr>
    </w:p>
    <w:p w14:paraId="52342A98" w14:textId="77777777" w:rsidR="00E0393E" w:rsidRPr="005F0F70" w:rsidRDefault="00E0393E" w:rsidP="00E0393E">
      <w:pPr>
        <w:pStyle w:val="Encabezado"/>
        <w:jc w:val="both"/>
        <w:rPr>
          <w:rFonts w:ascii="Arial" w:hAnsi="Arial" w:cs="Arial"/>
          <w:sz w:val="22"/>
          <w:szCs w:val="22"/>
          <w:lang w:val="es-US"/>
        </w:rPr>
      </w:pPr>
    </w:p>
    <w:p w14:paraId="4DBF54DE" w14:textId="7AE8A151" w:rsidR="005F0F70" w:rsidRPr="005F0F70" w:rsidRDefault="00E0393E" w:rsidP="00E0393E">
      <w:pPr>
        <w:pStyle w:val="Encabezado"/>
        <w:jc w:val="both"/>
        <w:rPr>
          <w:rFonts w:ascii="Arial" w:hAnsi="Arial" w:cs="Arial"/>
          <w:sz w:val="22"/>
          <w:szCs w:val="22"/>
          <w:lang w:val="es-US"/>
        </w:rPr>
      </w:pPr>
      <w:r w:rsidRPr="005F0F70">
        <w:rPr>
          <w:rFonts w:ascii="Arial" w:hAnsi="Arial" w:cs="Arial"/>
          <w:sz w:val="22"/>
          <w:szCs w:val="22"/>
          <w:lang w:val="es-US"/>
        </w:rPr>
        <w:t>En apoyo a las políticas públicas en materia de ética e integridad</w:t>
      </w:r>
      <w:r w:rsidR="005F0F70" w:rsidRPr="005F0F70">
        <w:rPr>
          <w:rFonts w:ascii="Arial" w:hAnsi="Arial" w:cs="Arial"/>
          <w:sz w:val="22"/>
          <w:szCs w:val="22"/>
          <w:lang w:val="es-US"/>
        </w:rPr>
        <w:t xml:space="preserve"> y </w:t>
      </w:r>
      <w:r w:rsidR="00647622" w:rsidRPr="005F0F70">
        <w:rPr>
          <w:rFonts w:ascii="Arial" w:hAnsi="Arial" w:cs="Arial"/>
          <w:sz w:val="22"/>
          <w:szCs w:val="22"/>
          <w:lang w:val="es-US"/>
        </w:rPr>
        <w:t>en cumplimiento del D</w:t>
      </w:r>
      <w:r w:rsidRPr="005F0F70">
        <w:rPr>
          <w:rFonts w:ascii="Arial" w:hAnsi="Arial" w:cs="Arial"/>
          <w:sz w:val="22"/>
          <w:szCs w:val="22"/>
          <w:lang w:val="es-US"/>
        </w:rPr>
        <w:t xml:space="preserve">ecreto 791-21, que deroga el </w:t>
      </w:r>
      <w:r w:rsidR="005F0F70" w:rsidRPr="005F0F70">
        <w:rPr>
          <w:rFonts w:ascii="Arial" w:hAnsi="Arial" w:cs="Arial"/>
          <w:sz w:val="22"/>
          <w:szCs w:val="22"/>
          <w:lang w:val="es-US"/>
        </w:rPr>
        <w:t>D</w:t>
      </w:r>
      <w:r w:rsidRPr="005F0F70">
        <w:rPr>
          <w:rFonts w:ascii="Arial" w:hAnsi="Arial" w:cs="Arial"/>
          <w:sz w:val="22"/>
          <w:szCs w:val="22"/>
          <w:lang w:val="es-US"/>
        </w:rPr>
        <w:t>ecreto núm. 143-17, del 26 de abril de 2017,</w:t>
      </w:r>
      <w:r w:rsidR="005F0F70" w:rsidRPr="005F0F70">
        <w:rPr>
          <w:rFonts w:ascii="Arial" w:hAnsi="Arial" w:cs="Arial"/>
          <w:sz w:val="22"/>
          <w:szCs w:val="22"/>
          <w:lang w:val="es-US"/>
        </w:rPr>
        <w:t xml:space="preserve"> la CDC </w:t>
      </w:r>
      <w:r w:rsidR="005F0F70" w:rsidRPr="005F0F70">
        <w:rPr>
          <w:rFonts w:ascii="Arial" w:hAnsi="Arial" w:cs="Arial"/>
          <w:color w:val="202124"/>
          <w:sz w:val="22"/>
          <w:szCs w:val="22"/>
          <w:lang w:val="es-DO"/>
        </w:rPr>
        <w:t>realizó su proc</w:t>
      </w:r>
      <w:r w:rsidR="005F0F70" w:rsidRPr="005F0F70">
        <w:rPr>
          <w:rFonts w:ascii="Arial" w:hAnsi="Arial" w:cs="Arial"/>
          <w:sz w:val="22"/>
          <w:szCs w:val="22"/>
          <w:lang w:val="es-DO"/>
        </w:rPr>
        <w:t xml:space="preserve">eso de elección de su Oficial de Integridad Gubernamental (OIG), </w:t>
      </w:r>
      <w:r w:rsidR="005F0F70" w:rsidRPr="005F0F70">
        <w:rPr>
          <w:rFonts w:ascii="Arial" w:hAnsi="Arial" w:cs="Arial"/>
          <w:sz w:val="22"/>
          <w:szCs w:val="22"/>
          <w:lang w:val="es-US"/>
        </w:rPr>
        <w:t>según convocatoria de</w:t>
      </w:r>
      <w:r w:rsidR="005F0F70" w:rsidRPr="005F0F70">
        <w:rPr>
          <w:rFonts w:ascii="Arial" w:hAnsi="Arial" w:cs="Arial"/>
          <w:sz w:val="22"/>
          <w:szCs w:val="22"/>
          <w:lang w:val="es-DO"/>
        </w:rPr>
        <w:t xml:space="preserve"> la </w:t>
      </w:r>
      <w:r w:rsidR="005F0F70" w:rsidRPr="005F0F70">
        <w:rPr>
          <w:rFonts w:ascii="Arial" w:hAnsi="Arial" w:cs="Arial"/>
          <w:color w:val="202124"/>
          <w:sz w:val="22"/>
          <w:szCs w:val="22"/>
          <w:lang w:val="es-DO"/>
        </w:rPr>
        <w:t>Dirección General de Ética e Integridad Gubernamental (</w:t>
      </w:r>
      <w:r w:rsidR="005F0F70" w:rsidRPr="005F0F70">
        <w:rPr>
          <w:rFonts w:ascii="Arial" w:hAnsi="Arial" w:cs="Arial"/>
          <w:sz w:val="22"/>
          <w:szCs w:val="22"/>
          <w:lang w:val="es-DO"/>
        </w:rPr>
        <w:t>DIGEIG</w:t>
      </w:r>
      <w:r w:rsidR="005F0F70" w:rsidRPr="005F0F70">
        <w:rPr>
          <w:rFonts w:ascii="Arial" w:hAnsi="Arial" w:cs="Arial"/>
          <w:color w:val="202124"/>
          <w:sz w:val="22"/>
          <w:szCs w:val="22"/>
          <w:lang w:val="es-DO"/>
        </w:rPr>
        <w:t>),</w:t>
      </w:r>
    </w:p>
    <w:p w14:paraId="4D5792A6" w14:textId="77777777" w:rsidR="005F0F70" w:rsidRPr="005F0F70" w:rsidRDefault="005F0F70" w:rsidP="00E0393E">
      <w:pPr>
        <w:pStyle w:val="Encabezado"/>
        <w:jc w:val="both"/>
        <w:rPr>
          <w:rFonts w:ascii="Arial" w:hAnsi="Arial" w:cs="Arial"/>
          <w:sz w:val="22"/>
          <w:szCs w:val="22"/>
          <w:lang w:val="es-US"/>
        </w:rPr>
      </w:pPr>
    </w:p>
    <w:p w14:paraId="760A8C17" w14:textId="7F27520E" w:rsidR="00E0393E" w:rsidRPr="005F0F70" w:rsidRDefault="00E0393E" w:rsidP="00E0393E">
      <w:pPr>
        <w:pStyle w:val="Encabezado"/>
        <w:jc w:val="both"/>
        <w:rPr>
          <w:rFonts w:ascii="Arial" w:hAnsi="Arial" w:cs="Arial"/>
          <w:sz w:val="22"/>
          <w:szCs w:val="22"/>
          <w:lang w:val="es-US"/>
        </w:rPr>
      </w:pPr>
      <w:r w:rsidRPr="005F0F70">
        <w:rPr>
          <w:rFonts w:ascii="Arial" w:hAnsi="Arial" w:cs="Arial"/>
          <w:sz w:val="22"/>
          <w:szCs w:val="22"/>
          <w:lang w:val="es-US"/>
        </w:rPr>
        <w:t>En</w:t>
      </w:r>
      <w:r w:rsidR="005F0F70" w:rsidRPr="005F0F70">
        <w:rPr>
          <w:rFonts w:ascii="Arial" w:hAnsi="Arial" w:cs="Arial"/>
          <w:sz w:val="22"/>
          <w:szCs w:val="22"/>
          <w:lang w:val="es-US"/>
        </w:rPr>
        <w:t xml:space="preserve"> este sentido, en f</w:t>
      </w:r>
      <w:r w:rsidRPr="005F0F70">
        <w:rPr>
          <w:rFonts w:ascii="Arial" w:hAnsi="Arial" w:cs="Arial"/>
          <w:sz w:val="22"/>
          <w:szCs w:val="22"/>
          <w:lang w:val="es-US"/>
        </w:rPr>
        <w:t>echa 30 de mayo 2023 qued</w:t>
      </w:r>
      <w:r w:rsidR="005F0F70" w:rsidRPr="005F0F70">
        <w:rPr>
          <w:rFonts w:ascii="Arial" w:hAnsi="Arial" w:cs="Arial"/>
          <w:sz w:val="22"/>
          <w:szCs w:val="22"/>
          <w:lang w:val="es-US"/>
        </w:rPr>
        <w:t>ó</w:t>
      </w:r>
      <w:r w:rsidRPr="005F0F70">
        <w:rPr>
          <w:rFonts w:ascii="Arial" w:hAnsi="Arial" w:cs="Arial"/>
          <w:sz w:val="22"/>
          <w:szCs w:val="22"/>
          <w:lang w:val="es-US"/>
        </w:rPr>
        <w:t xml:space="preserve"> conformado el Oficial de Integridad Gubernamental</w:t>
      </w:r>
      <w:r w:rsidR="005F0F70" w:rsidRPr="005F0F70">
        <w:rPr>
          <w:rFonts w:ascii="Arial" w:hAnsi="Arial" w:cs="Arial"/>
          <w:sz w:val="22"/>
          <w:szCs w:val="22"/>
          <w:lang w:val="es-US"/>
        </w:rPr>
        <w:t xml:space="preserve"> </w:t>
      </w:r>
      <w:r w:rsidRPr="005F0F70">
        <w:rPr>
          <w:rFonts w:ascii="Arial" w:hAnsi="Arial" w:cs="Arial"/>
          <w:sz w:val="22"/>
          <w:szCs w:val="22"/>
          <w:lang w:val="es-US"/>
        </w:rPr>
        <w:t>de esta Comisión Reguladora de Prácticas Desleales en el Comercio y Medidas de Salvaguardias (Comisión de Defensa Comercial (CDC)).</w:t>
      </w:r>
      <w:r w:rsidR="005F0F70" w:rsidRPr="005F0F70">
        <w:rPr>
          <w:rFonts w:ascii="Arial" w:hAnsi="Arial" w:cs="Arial"/>
          <w:sz w:val="22"/>
          <w:szCs w:val="22"/>
          <w:lang w:val="es-US"/>
        </w:rPr>
        <w:t xml:space="preserve"> El cual se </w:t>
      </w:r>
      <w:r w:rsidRPr="005F0F70">
        <w:rPr>
          <w:rFonts w:ascii="Arial" w:hAnsi="Arial" w:cs="Arial"/>
          <w:sz w:val="22"/>
          <w:szCs w:val="22"/>
          <w:lang w:val="es-US"/>
        </w:rPr>
        <w:t xml:space="preserve">constituyó </w:t>
      </w:r>
      <w:r w:rsidR="005F0F70" w:rsidRPr="005F0F70">
        <w:rPr>
          <w:rFonts w:ascii="Arial" w:hAnsi="Arial" w:cs="Arial"/>
          <w:sz w:val="22"/>
          <w:szCs w:val="22"/>
          <w:lang w:val="es-US"/>
        </w:rPr>
        <w:t>e</w:t>
      </w:r>
      <w:r w:rsidRPr="005F0F70">
        <w:rPr>
          <w:rFonts w:ascii="Arial" w:hAnsi="Arial" w:cs="Arial"/>
          <w:sz w:val="22"/>
          <w:szCs w:val="22"/>
          <w:lang w:val="es-US"/>
        </w:rPr>
        <w:t>n fecha 28 de octubre 2023, mediante “Congreso Constitutivo para las Comisiones de Integridad Gubernamental y Cumplimiento Normativo y Oficiales de Integridad Gubernamental”, en cumplimiento del decreto 791-21 en su artículo 12</w:t>
      </w:r>
      <w:r w:rsidR="005F0F70" w:rsidRPr="005F0F70">
        <w:rPr>
          <w:rFonts w:ascii="Arial" w:hAnsi="Arial" w:cs="Arial"/>
          <w:sz w:val="22"/>
          <w:szCs w:val="22"/>
          <w:lang w:val="es-US"/>
        </w:rPr>
        <w:t>.</w:t>
      </w:r>
    </w:p>
    <w:p w14:paraId="36CD9590" w14:textId="77777777" w:rsidR="005F0F70" w:rsidRDefault="005F0F70" w:rsidP="00E0393E">
      <w:pPr>
        <w:pStyle w:val="Encabezado"/>
        <w:jc w:val="both"/>
        <w:rPr>
          <w:rFonts w:ascii="Arial" w:hAnsi="Arial" w:cs="Arial"/>
          <w:lang w:val="es-US"/>
        </w:rPr>
      </w:pPr>
    </w:p>
    <w:p w14:paraId="346B3C10" w14:textId="5761CB91" w:rsidR="005F0F70" w:rsidRDefault="0092230B" w:rsidP="00E0393E">
      <w:pPr>
        <w:pStyle w:val="Encabezado"/>
        <w:jc w:val="both"/>
        <w:rPr>
          <w:rFonts w:ascii="Segoe UI Light" w:eastAsia="Segoe UI Light" w:hAnsi="Segoe UI Light" w:cs="Segoe UI Light"/>
          <w:noProof/>
          <w:sz w:val="40"/>
          <w:szCs w:val="40"/>
          <w:lang w:val="es-DO" w:eastAsia="es-DO"/>
        </w:rPr>
      </w:pPr>
      <w:r>
        <w:rPr>
          <w:rFonts w:ascii="Arial" w:hAnsi="Arial" w:cs="Arial"/>
          <w:lang w:val="es-US"/>
        </w:rPr>
        <w:t xml:space="preserve">                                                             </w:t>
      </w:r>
      <w:r>
        <w:rPr>
          <w:rFonts w:ascii="Segoe UI Light" w:eastAsia="Segoe UI Light" w:hAnsi="Segoe UI Light" w:cs="Segoe UI Light"/>
          <w:noProof/>
          <w:sz w:val="40"/>
          <w:szCs w:val="40"/>
          <w:lang w:val="es-DO" w:eastAsia="es-DO"/>
        </w:rPr>
        <w:t xml:space="preserve">              </w:t>
      </w:r>
    </w:p>
    <w:p w14:paraId="5C38C1A8" w14:textId="77777777" w:rsidR="001C1A63" w:rsidRDefault="001C1A63" w:rsidP="00E0393E">
      <w:pPr>
        <w:pStyle w:val="Encabezado"/>
        <w:jc w:val="both"/>
        <w:rPr>
          <w:rFonts w:ascii="Segoe UI Light" w:eastAsia="Segoe UI Light" w:hAnsi="Segoe UI Light" w:cs="Segoe UI Light"/>
          <w:noProof/>
          <w:sz w:val="40"/>
          <w:szCs w:val="40"/>
          <w:lang w:val="es-DO" w:eastAsia="es-DO"/>
        </w:rPr>
      </w:pPr>
    </w:p>
    <w:p w14:paraId="437A4EC5" w14:textId="77777777" w:rsidR="001C1A63" w:rsidRDefault="001C1A63" w:rsidP="00E0393E">
      <w:pPr>
        <w:pStyle w:val="Encabezado"/>
        <w:jc w:val="both"/>
        <w:rPr>
          <w:rFonts w:ascii="Segoe UI Light" w:eastAsia="Segoe UI Light" w:hAnsi="Segoe UI Light" w:cs="Segoe UI Light"/>
          <w:noProof/>
          <w:sz w:val="40"/>
          <w:szCs w:val="40"/>
          <w:lang w:val="es-DO" w:eastAsia="es-DO"/>
        </w:rPr>
      </w:pPr>
    </w:p>
    <w:p w14:paraId="3EAACC43" w14:textId="77777777" w:rsidR="001C1A63" w:rsidRDefault="001C1A63" w:rsidP="00E0393E">
      <w:pPr>
        <w:pStyle w:val="Encabezado"/>
        <w:jc w:val="both"/>
        <w:rPr>
          <w:rFonts w:ascii="Arial" w:hAnsi="Arial" w:cs="Arial"/>
          <w:lang w:val="es-US"/>
        </w:rPr>
      </w:pPr>
    </w:p>
    <w:p w14:paraId="49B617C9" w14:textId="77777777" w:rsidR="005F0F70" w:rsidRDefault="005F0F70" w:rsidP="00E0393E">
      <w:pPr>
        <w:pStyle w:val="Encabezado"/>
        <w:jc w:val="both"/>
        <w:rPr>
          <w:rFonts w:ascii="Arial" w:hAnsi="Arial" w:cs="Arial"/>
          <w:lang w:val="es-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4"/>
        <w:gridCol w:w="2706"/>
      </w:tblGrid>
      <w:tr w:rsidR="005F0F70" w14:paraId="1E9AB67E" w14:textId="77777777" w:rsidTr="005F0F70">
        <w:tc>
          <w:tcPr>
            <w:tcW w:w="2122" w:type="dxa"/>
          </w:tcPr>
          <w:p w14:paraId="27A6EC86" w14:textId="77777777" w:rsidR="005F0F70" w:rsidRDefault="005F0F70" w:rsidP="00E0393E">
            <w:pPr>
              <w:pStyle w:val="Encabezado"/>
              <w:jc w:val="both"/>
              <w:rPr>
                <w:rFonts w:ascii="Arial" w:hAnsi="Arial" w:cs="Arial"/>
                <w:lang w:val="es-US"/>
              </w:rPr>
            </w:pPr>
          </w:p>
        </w:tc>
        <w:tc>
          <w:tcPr>
            <w:tcW w:w="5244" w:type="dxa"/>
            <w:tcBorders>
              <w:top w:val="single" w:sz="4" w:space="0" w:color="auto"/>
            </w:tcBorders>
          </w:tcPr>
          <w:p w14:paraId="49CC91B8" w14:textId="1DD5131E" w:rsidR="005F0F70" w:rsidRPr="005F0F70" w:rsidRDefault="005F0F70" w:rsidP="005F0F70">
            <w:pPr>
              <w:pStyle w:val="Encabezado"/>
              <w:jc w:val="center"/>
              <w:rPr>
                <w:rFonts w:ascii="Arial" w:hAnsi="Arial" w:cs="Arial"/>
                <w:b/>
                <w:bCs/>
                <w:lang w:val="es-US"/>
              </w:rPr>
            </w:pPr>
            <w:r w:rsidRPr="005F0F70">
              <w:rPr>
                <w:rFonts w:ascii="Arial" w:hAnsi="Arial" w:cs="Arial"/>
                <w:b/>
                <w:bCs/>
                <w:lang w:val="es-US"/>
              </w:rPr>
              <w:t>Martha Sánchez</w:t>
            </w:r>
          </w:p>
        </w:tc>
        <w:tc>
          <w:tcPr>
            <w:tcW w:w="2706" w:type="dxa"/>
          </w:tcPr>
          <w:p w14:paraId="47FF0CCC" w14:textId="77777777" w:rsidR="005F0F70" w:rsidRDefault="005F0F70" w:rsidP="00E0393E">
            <w:pPr>
              <w:pStyle w:val="Encabezado"/>
              <w:jc w:val="both"/>
              <w:rPr>
                <w:rFonts w:ascii="Arial" w:hAnsi="Arial" w:cs="Arial"/>
                <w:lang w:val="es-US"/>
              </w:rPr>
            </w:pPr>
          </w:p>
        </w:tc>
      </w:tr>
      <w:tr w:rsidR="005F0F70" w:rsidRPr="001C1A63" w14:paraId="1AA04C1C" w14:textId="77777777" w:rsidTr="005F0F70">
        <w:tc>
          <w:tcPr>
            <w:tcW w:w="2122" w:type="dxa"/>
          </w:tcPr>
          <w:p w14:paraId="3057C515" w14:textId="77777777" w:rsidR="005F0F70" w:rsidRDefault="005F0F70" w:rsidP="00E0393E">
            <w:pPr>
              <w:pStyle w:val="Encabezado"/>
              <w:jc w:val="both"/>
              <w:rPr>
                <w:rFonts w:ascii="Arial" w:hAnsi="Arial" w:cs="Arial"/>
                <w:lang w:val="es-US"/>
              </w:rPr>
            </w:pPr>
          </w:p>
        </w:tc>
        <w:tc>
          <w:tcPr>
            <w:tcW w:w="5244" w:type="dxa"/>
          </w:tcPr>
          <w:p w14:paraId="32309125" w14:textId="124B2A20" w:rsidR="005F0F70" w:rsidRDefault="005F0F70" w:rsidP="005F0F70">
            <w:pPr>
              <w:pStyle w:val="Encabezado"/>
              <w:jc w:val="center"/>
              <w:rPr>
                <w:rFonts w:ascii="Arial" w:hAnsi="Arial" w:cs="Arial"/>
                <w:lang w:val="es-US"/>
              </w:rPr>
            </w:pPr>
            <w:r>
              <w:rPr>
                <w:rFonts w:ascii="Arial" w:hAnsi="Arial" w:cs="Arial"/>
                <w:lang w:val="es-US"/>
              </w:rPr>
              <w:t>Responsable de Acceso a la Información Pública</w:t>
            </w:r>
          </w:p>
        </w:tc>
        <w:tc>
          <w:tcPr>
            <w:tcW w:w="2706" w:type="dxa"/>
          </w:tcPr>
          <w:p w14:paraId="0C3CFC1B" w14:textId="77777777" w:rsidR="005F0F70" w:rsidRDefault="005F0F70" w:rsidP="00E0393E">
            <w:pPr>
              <w:pStyle w:val="Encabezado"/>
              <w:jc w:val="both"/>
              <w:rPr>
                <w:rFonts w:ascii="Arial" w:hAnsi="Arial" w:cs="Arial"/>
                <w:lang w:val="es-US"/>
              </w:rPr>
            </w:pPr>
          </w:p>
        </w:tc>
      </w:tr>
    </w:tbl>
    <w:p w14:paraId="5396F957" w14:textId="77777777" w:rsidR="00E0393E" w:rsidRPr="00B405B5" w:rsidRDefault="00E0393E" w:rsidP="00B405B5">
      <w:pPr>
        <w:pStyle w:val="Encabezado"/>
        <w:jc w:val="both"/>
        <w:rPr>
          <w:rFonts w:ascii="Arial" w:hAnsi="Arial" w:cs="Arial"/>
          <w:lang w:val="es-US"/>
        </w:rPr>
      </w:pPr>
    </w:p>
    <w:sectPr w:rsidR="00E0393E" w:rsidRPr="00B405B5" w:rsidSect="00526D28">
      <w:headerReference w:type="even" r:id="rId9"/>
      <w:headerReference w:type="default" r:id="rId10"/>
      <w:footerReference w:type="default" r:id="rId11"/>
      <w:headerReference w:type="first" r:id="rId12"/>
      <w:pgSz w:w="12242" w:h="15842" w:code="5"/>
      <w:pgMar w:top="1440" w:right="1080"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3A536" w14:textId="77777777" w:rsidR="00526D28" w:rsidRDefault="00526D28" w:rsidP="00F11E69">
      <w:r>
        <w:separator/>
      </w:r>
    </w:p>
  </w:endnote>
  <w:endnote w:type="continuationSeparator" w:id="0">
    <w:p w14:paraId="5358AD31" w14:textId="77777777" w:rsidR="00526D28" w:rsidRDefault="00526D28" w:rsidP="00F1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016436"/>
      <w:docPartObj>
        <w:docPartGallery w:val="Page Numbers (Bottom of Page)"/>
        <w:docPartUnique/>
      </w:docPartObj>
    </w:sdtPr>
    <w:sdtEndPr>
      <w:rPr>
        <w:rFonts w:ascii="Arial" w:hAnsi="Arial" w:cs="Arial"/>
        <w:sz w:val="18"/>
        <w:szCs w:val="18"/>
      </w:rPr>
    </w:sdtEndPr>
    <w:sdtContent>
      <w:p w14:paraId="2AB0C9BE" w14:textId="77777777" w:rsidR="0012500F" w:rsidRPr="00D3398A" w:rsidRDefault="0012500F">
        <w:pPr>
          <w:pStyle w:val="Piedepgina"/>
          <w:jc w:val="right"/>
          <w:rPr>
            <w:rFonts w:ascii="Arial" w:hAnsi="Arial" w:cs="Arial"/>
            <w:sz w:val="18"/>
            <w:szCs w:val="18"/>
          </w:rPr>
        </w:pPr>
        <w:r w:rsidRPr="00D3398A">
          <w:rPr>
            <w:rFonts w:ascii="Arial" w:hAnsi="Arial" w:cs="Arial"/>
            <w:sz w:val="18"/>
            <w:szCs w:val="18"/>
          </w:rPr>
          <w:fldChar w:fldCharType="begin"/>
        </w:r>
        <w:r w:rsidRPr="00D3398A">
          <w:rPr>
            <w:rFonts w:ascii="Arial" w:hAnsi="Arial" w:cs="Arial"/>
            <w:sz w:val="18"/>
            <w:szCs w:val="18"/>
          </w:rPr>
          <w:instrText>PAGE   \* MERGEFORMAT</w:instrText>
        </w:r>
        <w:r w:rsidRPr="00D3398A">
          <w:rPr>
            <w:rFonts w:ascii="Arial" w:hAnsi="Arial" w:cs="Arial"/>
            <w:sz w:val="18"/>
            <w:szCs w:val="18"/>
          </w:rPr>
          <w:fldChar w:fldCharType="separate"/>
        </w:r>
        <w:r w:rsidR="006B10C1" w:rsidRPr="006B10C1">
          <w:rPr>
            <w:rFonts w:ascii="Arial" w:hAnsi="Arial" w:cs="Arial"/>
            <w:noProof/>
            <w:sz w:val="18"/>
            <w:szCs w:val="18"/>
            <w:lang w:val="es-ES"/>
          </w:rPr>
          <w:t>2</w:t>
        </w:r>
        <w:r w:rsidRPr="00D3398A">
          <w:rPr>
            <w:rFonts w:ascii="Arial" w:hAnsi="Arial" w:cs="Arial"/>
            <w:sz w:val="18"/>
            <w:szCs w:val="18"/>
          </w:rPr>
          <w:fldChar w:fldCharType="end"/>
        </w:r>
      </w:p>
    </w:sdtContent>
  </w:sdt>
  <w:p w14:paraId="5B3846B4" w14:textId="77777777" w:rsidR="00F11E69" w:rsidRPr="00F11E69" w:rsidRDefault="00F11E69">
    <w:pPr>
      <w:pStyle w:val="Piedepgina"/>
      <w:rPr>
        <w:rFonts w:ascii="Times New Roman" w:hAnsi="Times New Roman" w:cs="Times New Roman"/>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10E79" w14:textId="77777777" w:rsidR="00526D28" w:rsidRDefault="00526D28" w:rsidP="00F11E69">
      <w:r>
        <w:separator/>
      </w:r>
    </w:p>
  </w:footnote>
  <w:footnote w:type="continuationSeparator" w:id="0">
    <w:p w14:paraId="5844462D" w14:textId="77777777" w:rsidR="00526D28" w:rsidRDefault="00526D28" w:rsidP="00F11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42FD1" w14:textId="77777777" w:rsidR="00F25615" w:rsidRDefault="00000000">
    <w:pPr>
      <w:pStyle w:val="Encabezado"/>
    </w:pPr>
    <w:r>
      <w:rPr>
        <w:noProof/>
      </w:rPr>
      <w:pict w14:anchorId="42C7B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95114" o:spid="_x0000_s1027" type="#_x0000_t75" alt="/Users/Vibasantos/Desktop/cdc fondo.png" style="position:absolute;margin-left:0;margin-top:0;width:639.25pt;height:825.25pt;z-index:-251653120;mso-wrap-edited:f;mso-width-percent:0;mso-height-percent:0;mso-position-horizontal:center;mso-position-horizontal-relative:margin;mso-position-vertical:center;mso-position-vertical-relative:margin;mso-width-percent:0;mso-height-percent:0" o:allowincell="f">
          <v:imagedata r:id="rId1" o:title="cdc fo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79C8" w14:textId="77777777" w:rsidR="00F11E69" w:rsidRDefault="00000000" w:rsidP="00A5232D">
    <w:pPr>
      <w:pStyle w:val="Encabezado"/>
      <w:ind w:left="-567"/>
    </w:pPr>
    <w:r>
      <w:rPr>
        <w:noProof/>
      </w:rPr>
      <w:pict w14:anchorId="03FE0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95115" o:spid="_x0000_s1026" type="#_x0000_t75" alt="/Users/Vibasantos/Desktop/cdc fondo.png" style="position:absolute;left:0;text-align:left;margin-left:0;margin-top:0;width:639.25pt;height:825.25pt;z-index:-251650048;mso-wrap-edited:f;mso-width-percent:0;mso-height-percent:0;mso-position-horizontal:center;mso-position-horizontal-relative:margin;mso-position-vertical:center;mso-position-vertical-relative:margin;mso-width-percent:0;mso-height-percent:0" o:allowincell="f">
          <v:imagedata r:id="rId1" o:title="cdc fondo"/>
          <w10:wrap anchorx="margin" anchory="margin"/>
        </v:shape>
      </w:pict>
    </w:r>
    <w:r w:rsidR="00F11E69">
      <w:rPr>
        <w:noProof/>
        <w:lang w:val="es-DO" w:eastAsia="es-DO"/>
      </w:rPr>
      <w:drawing>
        <wp:inline distT="0" distB="0" distL="0" distR="0" wp14:anchorId="43B699CC" wp14:editId="4F36F901">
          <wp:extent cx="1748155" cy="749030"/>
          <wp:effectExtent l="0" t="0" r="444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5).png"/>
                  <pic:cNvPicPr/>
                </pic:nvPicPr>
                <pic:blipFill rotWithShape="1">
                  <a:blip r:embed="rId2">
                    <a:extLst>
                      <a:ext uri="{28A0092B-C50C-407E-A947-70E740481C1C}">
                        <a14:useLocalDpi xmlns:a14="http://schemas.microsoft.com/office/drawing/2010/main" val="0"/>
                      </a:ext>
                    </a:extLst>
                  </a:blip>
                  <a:srcRect b="19638"/>
                  <a:stretch/>
                </pic:blipFill>
                <pic:spPr bwMode="auto">
                  <a:xfrm>
                    <a:off x="0" y="0"/>
                    <a:ext cx="1798874" cy="770762"/>
                  </a:xfrm>
                  <a:prstGeom prst="rect">
                    <a:avLst/>
                  </a:prstGeom>
                  <a:ln>
                    <a:noFill/>
                  </a:ln>
                  <a:extLst>
                    <a:ext uri="{53640926-AAD7-44D8-BBD7-CCE9431645EC}">
                      <a14:shadowObscured xmlns:a14="http://schemas.microsoft.com/office/drawing/2010/main"/>
                    </a:ext>
                  </a:extLst>
                </pic:spPr>
              </pic:pic>
            </a:graphicData>
          </a:graphic>
        </wp:inline>
      </w:drawing>
    </w:r>
  </w:p>
  <w:p w14:paraId="2CAE9A2A" w14:textId="77777777" w:rsidR="009E3802" w:rsidRDefault="009E3802" w:rsidP="00F11E6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F96E" w14:textId="77777777" w:rsidR="00F25615" w:rsidRDefault="00000000">
    <w:pPr>
      <w:pStyle w:val="Encabezado"/>
    </w:pPr>
    <w:r>
      <w:rPr>
        <w:noProof/>
      </w:rPr>
      <w:pict w14:anchorId="0AFB8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95113" o:spid="_x0000_s1025" type="#_x0000_t75" alt="/Users/Vibasantos/Desktop/cdc fondo.png" style="position:absolute;margin-left:0;margin-top:0;width:639.25pt;height:825.25pt;z-index:-251656192;mso-wrap-edited:f;mso-width-percent:0;mso-height-percent:0;mso-position-horizontal:center;mso-position-horizontal-relative:margin;mso-position-vertical:center;mso-position-vertical-relative:margin;mso-width-percent:0;mso-height-percent:0" o:allowincell="f">
          <v:imagedata r:id="rId1" o:title="cdc fon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9AC78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F567"/>
      </v:shape>
    </w:pict>
  </w:numPicBullet>
  <w:abstractNum w:abstractNumId="0" w15:restartNumberingAfterBreak="0">
    <w:nsid w:val="173175CF"/>
    <w:multiLevelType w:val="hybridMultilevel"/>
    <w:tmpl w:val="294824D6"/>
    <w:lvl w:ilvl="0" w:tplc="79063982">
      <w:start w:val="1"/>
      <w:numFmt w:val="decimal"/>
      <w:suff w:val="nothing"/>
      <w:lvlText w:val="%1."/>
      <w:lvlJc w:val="left"/>
      <w:pPr>
        <w:ind w:left="0" w:firstLine="360"/>
      </w:pPr>
      <w:rPr>
        <w:rFonts w:ascii="Times New Roman" w:hAnsi="Times New Roman" w:cs="Times New Roman" w:hint="default"/>
        <w:b w:val="0"/>
        <w:i w:val="0"/>
        <w:iCs w:val="0"/>
        <w:color w:val="auto"/>
        <w:sz w:val="24"/>
        <w:szCs w:val="24"/>
        <w:lang w:val="es-DO"/>
      </w:rPr>
    </w:lvl>
    <w:lvl w:ilvl="1" w:tplc="0409001B">
      <w:start w:val="1"/>
      <w:numFmt w:val="lowerRoman"/>
      <w:lvlText w:val="%2."/>
      <w:lvlJc w:val="righ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207C72E8"/>
    <w:multiLevelType w:val="hybridMultilevel"/>
    <w:tmpl w:val="FA82D8C8"/>
    <w:lvl w:ilvl="0" w:tplc="0C709EFC">
      <w:start w:val="1"/>
      <w:numFmt w:val="decimal"/>
      <w:lvlText w:val="%1."/>
      <w:lvlJc w:val="left"/>
      <w:pPr>
        <w:ind w:left="720" w:hanging="360"/>
      </w:pPr>
      <w:rPr>
        <w:rFonts w:hint="default"/>
        <w:b/>
        <w:bCs/>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418D0663"/>
    <w:multiLevelType w:val="hybridMultilevel"/>
    <w:tmpl w:val="2BB04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F35ED8"/>
    <w:multiLevelType w:val="hybridMultilevel"/>
    <w:tmpl w:val="C022827A"/>
    <w:lvl w:ilvl="0" w:tplc="529A6BE6">
      <w:start w:val="1"/>
      <w:numFmt w:val="lowerRoman"/>
      <w:lvlText w:val="%1."/>
      <w:lvlJc w:val="left"/>
      <w:pPr>
        <w:ind w:left="1080" w:hanging="72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5CC2407E"/>
    <w:multiLevelType w:val="hybridMultilevel"/>
    <w:tmpl w:val="E8848E34"/>
    <w:lvl w:ilvl="0" w:tplc="0409001B">
      <w:start w:val="1"/>
      <w:numFmt w:val="low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6F8814C8"/>
    <w:multiLevelType w:val="hybridMultilevel"/>
    <w:tmpl w:val="294824D6"/>
    <w:lvl w:ilvl="0" w:tplc="79063982">
      <w:start w:val="1"/>
      <w:numFmt w:val="decimal"/>
      <w:suff w:val="nothing"/>
      <w:lvlText w:val="%1."/>
      <w:lvlJc w:val="left"/>
      <w:pPr>
        <w:ind w:left="0" w:firstLine="360"/>
      </w:pPr>
      <w:rPr>
        <w:rFonts w:ascii="Times New Roman" w:hAnsi="Times New Roman" w:cs="Times New Roman" w:hint="default"/>
        <w:b w:val="0"/>
        <w:i w:val="0"/>
        <w:iCs w:val="0"/>
        <w:color w:val="auto"/>
        <w:sz w:val="24"/>
        <w:szCs w:val="24"/>
        <w:lang w:val="es-DO"/>
      </w:rPr>
    </w:lvl>
    <w:lvl w:ilvl="1" w:tplc="0409001B">
      <w:start w:val="1"/>
      <w:numFmt w:val="lowerRoman"/>
      <w:lvlText w:val="%2."/>
      <w:lvlJc w:val="righ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77105FC8"/>
    <w:multiLevelType w:val="hybridMultilevel"/>
    <w:tmpl w:val="7D489C78"/>
    <w:lvl w:ilvl="0" w:tplc="580A0007">
      <w:start w:val="1"/>
      <w:numFmt w:val="bullet"/>
      <w:lvlText w:val=""/>
      <w:lvlPicBulletId w:val="0"/>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7A02000F"/>
    <w:multiLevelType w:val="hybridMultilevel"/>
    <w:tmpl w:val="8968E716"/>
    <w:lvl w:ilvl="0" w:tplc="E702E038">
      <w:start w:val="6"/>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num w:numId="1" w16cid:durableId="5127189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361235">
    <w:abstractNumId w:val="7"/>
  </w:num>
  <w:num w:numId="3" w16cid:durableId="498274297">
    <w:abstractNumId w:val="4"/>
  </w:num>
  <w:num w:numId="4" w16cid:durableId="1537890060">
    <w:abstractNumId w:val="5"/>
  </w:num>
  <w:num w:numId="5" w16cid:durableId="5065373">
    <w:abstractNumId w:val="0"/>
  </w:num>
  <w:num w:numId="6" w16cid:durableId="1377583670">
    <w:abstractNumId w:val="6"/>
  </w:num>
  <w:num w:numId="7" w16cid:durableId="1573349419">
    <w:abstractNumId w:val="1"/>
  </w:num>
  <w:num w:numId="8" w16cid:durableId="571044615">
    <w:abstractNumId w:val="2"/>
  </w:num>
  <w:num w:numId="9" w16cid:durableId="1721897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E69"/>
    <w:rsid w:val="0000551E"/>
    <w:rsid w:val="000C45D0"/>
    <w:rsid w:val="000C6BF2"/>
    <w:rsid w:val="000E600D"/>
    <w:rsid w:val="0012500F"/>
    <w:rsid w:val="0013586B"/>
    <w:rsid w:val="00141BDE"/>
    <w:rsid w:val="001549F6"/>
    <w:rsid w:val="00166EAE"/>
    <w:rsid w:val="00180B57"/>
    <w:rsid w:val="001A15E7"/>
    <w:rsid w:val="001C1A63"/>
    <w:rsid w:val="001C584B"/>
    <w:rsid w:val="001D6EAB"/>
    <w:rsid w:val="001F1EBD"/>
    <w:rsid w:val="001F6CD5"/>
    <w:rsid w:val="002074A8"/>
    <w:rsid w:val="002214E6"/>
    <w:rsid w:val="002224E5"/>
    <w:rsid w:val="00231FDF"/>
    <w:rsid w:val="00243218"/>
    <w:rsid w:val="00253CE1"/>
    <w:rsid w:val="0027685B"/>
    <w:rsid w:val="00281101"/>
    <w:rsid w:val="00293D11"/>
    <w:rsid w:val="00296F3A"/>
    <w:rsid w:val="002C19FA"/>
    <w:rsid w:val="002F1474"/>
    <w:rsid w:val="002F2957"/>
    <w:rsid w:val="00314205"/>
    <w:rsid w:val="00321EC3"/>
    <w:rsid w:val="00326B58"/>
    <w:rsid w:val="003630F2"/>
    <w:rsid w:val="00380442"/>
    <w:rsid w:val="003B189B"/>
    <w:rsid w:val="003C73A6"/>
    <w:rsid w:val="003E3C70"/>
    <w:rsid w:val="00411154"/>
    <w:rsid w:val="00413E3E"/>
    <w:rsid w:val="0042711A"/>
    <w:rsid w:val="00471681"/>
    <w:rsid w:val="004C747F"/>
    <w:rsid w:val="00516137"/>
    <w:rsid w:val="0052259E"/>
    <w:rsid w:val="00523E46"/>
    <w:rsid w:val="00526D28"/>
    <w:rsid w:val="0053368D"/>
    <w:rsid w:val="00543015"/>
    <w:rsid w:val="00580984"/>
    <w:rsid w:val="00581333"/>
    <w:rsid w:val="00583F60"/>
    <w:rsid w:val="005A77FC"/>
    <w:rsid w:val="005B28CE"/>
    <w:rsid w:val="005D332F"/>
    <w:rsid w:val="005F0F70"/>
    <w:rsid w:val="00632CFF"/>
    <w:rsid w:val="006366AB"/>
    <w:rsid w:val="00647622"/>
    <w:rsid w:val="006B10C1"/>
    <w:rsid w:val="006C26C6"/>
    <w:rsid w:val="006D1C5C"/>
    <w:rsid w:val="007229FC"/>
    <w:rsid w:val="00757EB5"/>
    <w:rsid w:val="007A2EC6"/>
    <w:rsid w:val="007A3AF3"/>
    <w:rsid w:val="007B5845"/>
    <w:rsid w:val="007D7B48"/>
    <w:rsid w:val="0080438A"/>
    <w:rsid w:val="008204FF"/>
    <w:rsid w:val="00830F32"/>
    <w:rsid w:val="00841202"/>
    <w:rsid w:val="008571D2"/>
    <w:rsid w:val="00881FD5"/>
    <w:rsid w:val="00893918"/>
    <w:rsid w:val="00895F75"/>
    <w:rsid w:val="008B5E4F"/>
    <w:rsid w:val="00915B42"/>
    <w:rsid w:val="0092230B"/>
    <w:rsid w:val="00932A0D"/>
    <w:rsid w:val="00971008"/>
    <w:rsid w:val="00983D1C"/>
    <w:rsid w:val="009C6BF9"/>
    <w:rsid w:val="009D4904"/>
    <w:rsid w:val="009D54CA"/>
    <w:rsid w:val="009E3802"/>
    <w:rsid w:val="009E7664"/>
    <w:rsid w:val="00A00F16"/>
    <w:rsid w:val="00A21697"/>
    <w:rsid w:val="00A5232D"/>
    <w:rsid w:val="00A56AC6"/>
    <w:rsid w:val="00A721A3"/>
    <w:rsid w:val="00A91FF9"/>
    <w:rsid w:val="00AD5A03"/>
    <w:rsid w:val="00B12BF3"/>
    <w:rsid w:val="00B15F57"/>
    <w:rsid w:val="00B405B5"/>
    <w:rsid w:val="00B57DF6"/>
    <w:rsid w:val="00B97E5E"/>
    <w:rsid w:val="00BD32E1"/>
    <w:rsid w:val="00C57D81"/>
    <w:rsid w:val="00C85041"/>
    <w:rsid w:val="00C870B7"/>
    <w:rsid w:val="00C97B4E"/>
    <w:rsid w:val="00CA68F7"/>
    <w:rsid w:val="00CA7964"/>
    <w:rsid w:val="00CC2D79"/>
    <w:rsid w:val="00CE7E5C"/>
    <w:rsid w:val="00D007AE"/>
    <w:rsid w:val="00D07D05"/>
    <w:rsid w:val="00D3398A"/>
    <w:rsid w:val="00D779A1"/>
    <w:rsid w:val="00D840FA"/>
    <w:rsid w:val="00D90C42"/>
    <w:rsid w:val="00D94296"/>
    <w:rsid w:val="00D947AD"/>
    <w:rsid w:val="00DA7C4E"/>
    <w:rsid w:val="00DD0BDD"/>
    <w:rsid w:val="00DD4B16"/>
    <w:rsid w:val="00DE60A6"/>
    <w:rsid w:val="00E0393E"/>
    <w:rsid w:val="00E31E49"/>
    <w:rsid w:val="00E37CBA"/>
    <w:rsid w:val="00E53821"/>
    <w:rsid w:val="00E70856"/>
    <w:rsid w:val="00E74814"/>
    <w:rsid w:val="00E867A5"/>
    <w:rsid w:val="00EA023F"/>
    <w:rsid w:val="00EC1D96"/>
    <w:rsid w:val="00EC3673"/>
    <w:rsid w:val="00EC4668"/>
    <w:rsid w:val="00EC7FCB"/>
    <w:rsid w:val="00ED3471"/>
    <w:rsid w:val="00EF0E15"/>
    <w:rsid w:val="00F0081B"/>
    <w:rsid w:val="00F11E69"/>
    <w:rsid w:val="00F128DA"/>
    <w:rsid w:val="00F13BB5"/>
    <w:rsid w:val="00F25615"/>
    <w:rsid w:val="00F45299"/>
    <w:rsid w:val="00F7331C"/>
    <w:rsid w:val="00FC4092"/>
    <w:rsid w:val="00FD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D5E"/>
  <w15:chartTrackingRefBased/>
  <w15:docId w15:val="{EEBA3299-C8F9-6248-A161-016FD961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3C7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s-DO"/>
    </w:rPr>
  </w:style>
  <w:style w:type="paragraph" w:styleId="Ttulo2">
    <w:name w:val="heading 2"/>
    <w:basedOn w:val="Normal"/>
    <w:next w:val="Normal"/>
    <w:link w:val="Ttulo2Car"/>
    <w:uiPriority w:val="9"/>
    <w:semiHidden/>
    <w:unhideWhenUsed/>
    <w:qFormat/>
    <w:rsid w:val="003E3C70"/>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1E6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11E69"/>
    <w:rPr>
      <w:rFonts w:ascii="Times New Roman" w:hAnsi="Times New Roman" w:cs="Times New Roman"/>
      <w:sz w:val="18"/>
      <w:szCs w:val="18"/>
    </w:rPr>
  </w:style>
  <w:style w:type="paragraph" w:styleId="Encabezado">
    <w:name w:val="header"/>
    <w:basedOn w:val="Normal"/>
    <w:link w:val="EncabezadoCar"/>
    <w:uiPriority w:val="99"/>
    <w:unhideWhenUsed/>
    <w:rsid w:val="00F11E69"/>
    <w:pPr>
      <w:tabs>
        <w:tab w:val="center" w:pos="4680"/>
        <w:tab w:val="right" w:pos="9360"/>
      </w:tabs>
    </w:pPr>
  </w:style>
  <w:style w:type="character" w:customStyle="1" w:styleId="EncabezadoCar">
    <w:name w:val="Encabezado Car"/>
    <w:basedOn w:val="Fuentedeprrafopredeter"/>
    <w:link w:val="Encabezado"/>
    <w:uiPriority w:val="99"/>
    <w:rsid w:val="00F11E69"/>
  </w:style>
  <w:style w:type="paragraph" w:styleId="Piedepgina">
    <w:name w:val="footer"/>
    <w:basedOn w:val="Normal"/>
    <w:link w:val="PiedepginaCar"/>
    <w:uiPriority w:val="99"/>
    <w:unhideWhenUsed/>
    <w:rsid w:val="00F11E69"/>
    <w:pPr>
      <w:tabs>
        <w:tab w:val="center" w:pos="4680"/>
        <w:tab w:val="right" w:pos="9360"/>
      </w:tabs>
    </w:pPr>
  </w:style>
  <w:style w:type="character" w:customStyle="1" w:styleId="PiedepginaCar">
    <w:name w:val="Pie de página Car"/>
    <w:basedOn w:val="Fuentedeprrafopredeter"/>
    <w:link w:val="Piedepgina"/>
    <w:uiPriority w:val="99"/>
    <w:rsid w:val="00F11E69"/>
  </w:style>
  <w:style w:type="paragraph" w:styleId="Sinespaciado">
    <w:name w:val="No Spacing"/>
    <w:link w:val="SinespaciadoCar"/>
    <w:uiPriority w:val="1"/>
    <w:qFormat/>
    <w:rsid w:val="009E3802"/>
    <w:rPr>
      <w:rFonts w:eastAsiaTheme="minorEastAsia"/>
      <w:sz w:val="22"/>
      <w:szCs w:val="22"/>
      <w:lang w:eastAsia="zh-CN"/>
    </w:rPr>
  </w:style>
  <w:style w:type="character" w:customStyle="1" w:styleId="SinespaciadoCar">
    <w:name w:val="Sin espaciado Car"/>
    <w:basedOn w:val="Fuentedeprrafopredeter"/>
    <w:link w:val="Sinespaciado"/>
    <w:uiPriority w:val="1"/>
    <w:rsid w:val="009D4904"/>
    <w:rPr>
      <w:rFonts w:eastAsiaTheme="minorEastAsia"/>
      <w:sz w:val="22"/>
      <w:szCs w:val="22"/>
      <w:lang w:eastAsia="zh-CN"/>
    </w:rPr>
  </w:style>
  <w:style w:type="character" w:styleId="nfasis">
    <w:name w:val="Emphasis"/>
    <w:basedOn w:val="Fuentedeprrafopredeter"/>
    <w:uiPriority w:val="20"/>
    <w:qFormat/>
    <w:rsid w:val="00D07D05"/>
    <w:rPr>
      <w:i/>
      <w:iCs/>
    </w:rPr>
  </w:style>
  <w:style w:type="paragraph" w:styleId="Prrafodelista">
    <w:name w:val="List Paragraph"/>
    <w:basedOn w:val="Normal"/>
    <w:link w:val="PrrafodelistaCar"/>
    <w:uiPriority w:val="34"/>
    <w:qFormat/>
    <w:rsid w:val="006D1C5C"/>
    <w:pPr>
      <w:spacing w:after="200" w:line="276" w:lineRule="auto"/>
      <w:ind w:left="720"/>
      <w:contextualSpacing/>
      <w:jc w:val="both"/>
    </w:pPr>
    <w:rPr>
      <w:rFonts w:ascii="Times New Roman" w:eastAsia="Calibri" w:hAnsi="Times New Roman" w:cs="Times New Roman"/>
      <w:szCs w:val="22"/>
      <w:lang w:val="es-ES"/>
    </w:rPr>
  </w:style>
  <w:style w:type="character" w:customStyle="1" w:styleId="PrrafodelistaCar">
    <w:name w:val="Párrafo de lista Car"/>
    <w:basedOn w:val="Fuentedeprrafopredeter"/>
    <w:link w:val="Prrafodelista"/>
    <w:uiPriority w:val="34"/>
    <w:rsid w:val="006D1C5C"/>
    <w:rPr>
      <w:rFonts w:ascii="Times New Roman" w:eastAsia="Calibri" w:hAnsi="Times New Roman" w:cs="Times New Roman"/>
      <w:szCs w:val="22"/>
      <w:lang w:val="es-ES"/>
    </w:rPr>
  </w:style>
  <w:style w:type="paragraph" w:styleId="Textonotapie">
    <w:name w:val="footnote text"/>
    <w:aliases w:val="VBB Footnote Text,Footnote Text Char1,Footnote Text Char Char Char Char Char Char,Footnote Text Char Char Char Char Char1,Footnote reference Char,FA Fu Char,Footnote Text Char Char Char Car Car Char,Footnote Text Char Char Char Car Char"/>
    <w:basedOn w:val="Normal"/>
    <w:link w:val="TextonotapieCar"/>
    <w:uiPriority w:val="99"/>
    <w:unhideWhenUsed/>
    <w:rsid w:val="006D1C5C"/>
    <w:rPr>
      <w:sz w:val="20"/>
      <w:szCs w:val="20"/>
    </w:rPr>
  </w:style>
  <w:style w:type="character" w:customStyle="1" w:styleId="TextonotapieCar">
    <w:name w:val="Texto nota pie Car"/>
    <w:aliases w:val="VBB Footnote Text Car,Footnote Text Char1 Car,Footnote Text Char Char Char Char Char Char Car,Footnote Text Char Char Char Char Char1 Car,Footnote reference Char Car,FA Fu Char Car,Footnote Text Char Char Char Car Car Char Car"/>
    <w:basedOn w:val="Fuentedeprrafopredeter"/>
    <w:link w:val="Textonotapie"/>
    <w:uiPriority w:val="99"/>
    <w:rsid w:val="006D1C5C"/>
    <w:rPr>
      <w:sz w:val="20"/>
      <w:szCs w:val="20"/>
    </w:rPr>
  </w:style>
  <w:style w:type="character" w:styleId="Refdenotaalpie">
    <w:name w:val="footnote reference"/>
    <w:aliases w:val="Footnotes refss,Appel note de bas de p,Footnote Reference/,Footnote symbol,Style 12,(NECG) Footnote Reference,Style 124,o,fr,Style 13,FR,Style 17,FC,Ref,de nota al pie,Texto de nota al pie,Appel note de bas de page,Footnote number,4_"/>
    <w:basedOn w:val="Fuentedeprrafopredeter"/>
    <w:uiPriority w:val="99"/>
    <w:unhideWhenUsed/>
    <w:rsid w:val="006D1C5C"/>
    <w:rPr>
      <w:vertAlign w:val="superscript"/>
    </w:rPr>
  </w:style>
  <w:style w:type="character" w:styleId="Hipervnculo">
    <w:name w:val="Hyperlink"/>
    <w:basedOn w:val="Fuentedeprrafopredeter"/>
    <w:uiPriority w:val="99"/>
    <w:unhideWhenUsed/>
    <w:rsid w:val="00F0081B"/>
    <w:rPr>
      <w:color w:val="0000FF"/>
      <w:u w:val="single"/>
    </w:rPr>
  </w:style>
  <w:style w:type="paragraph" w:styleId="Revisin">
    <w:name w:val="Revision"/>
    <w:hidden/>
    <w:uiPriority w:val="99"/>
    <w:semiHidden/>
    <w:rsid w:val="00E74814"/>
  </w:style>
  <w:style w:type="character" w:styleId="Refdecomentario">
    <w:name w:val="annotation reference"/>
    <w:basedOn w:val="Fuentedeprrafopredeter"/>
    <w:uiPriority w:val="99"/>
    <w:semiHidden/>
    <w:unhideWhenUsed/>
    <w:rsid w:val="00DD0BDD"/>
    <w:rPr>
      <w:sz w:val="16"/>
      <w:szCs w:val="16"/>
    </w:rPr>
  </w:style>
  <w:style w:type="paragraph" w:styleId="Textocomentario">
    <w:name w:val="annotation text"/>
    <w:basedOn w:val="Normal"/>
    <w:link w:val="TextocomentarioCar"/>
    <w:uiPriority w:val="99"/>
    <w:semiHidden/>
    <w:unhideWhenUsed/>
    <w:rsid w:val="00DD0BDD"/>
    <w:rPr>
      <w:sz w:val="20"/>
      <w:szCs w:val="20"/>
    </w:rPr>
  </w:style>
  <w:style w:type="character" w:customStyle="1" w:styleId="TextocomentarioCar">
    <w:name w:val="Texto comentario Car"/>
    <w:basedOn w:val="Fuentedeprrafopredeter"/>
    <w:link w:val="Textocomentario"/>
    <w:uiPriority w:val="99"/>
    <w:semiHidden/>
    <w:rsid w:val="00DD0BDD"/>
    <w:rPr>
      <w:sz w:val="20"/>
      <w:szCs w:val="20"/>
    </w:rPr>
  </w:style>
  <w:style w:type="paragraph" w:styleId="Asuntodelcomentario">
    <w:name w:val="annotation subject"/>
    <w:basedOn w:val="Textocomentario"/>
    <w:next w:val="Textocomentario"/>
    <w:link w:val="AsuntodelcomentarioCar"/>
    <w:uiPriority w:val="99"/>
    <w:semiHidden/>
    <w:unhideWhenUsed/>
    <w:rsid w:val="00DD0BDD"/>
    <w:rPr>
      <w:b/>
      <w:bCs/>
    </w:rPr>
  </w:style>
  <w:style w:type="character" w:customStyle="1" w:styleId="AsuntodelcomentarioCar">
    <w:name w:val="Asunto del comentario Car"/>
    <w:basedOn w:val="TextocomentarioCar"/>
    <w:link w:val="Asuntodelcomentario"/>
    <w:uiPriority w:val="99"/>
    <w:semiHidden/>
    <w:rsid w:val="00DD0BDD"/>
    <w:rPr>
      <w:b/>
      <w:bCs/>
      <w:sz w:val="20"/>
      <w:szCs w:val="20"/>
    </w:rPr>
  </w:style>
  <w:style w:type="character" w:customStyle="1" w:styleId="Ttulo1Car">
    <w:name w:val="Título 1 Car"/>
    <w:basedOn w:val="Fuentedeprrafopredeter"/>
    <w:link w:val="Ttulo1"/>
    <w:uiPriority w:val="9"/>
    <w:rsid w:val="003E3C70"/>
    <w:rPr>
      <w:rFonts w:asciiTheme="majorHAnsi" w:eastAsiaTheme="majorEastAsia" w:hAnsiTheme="majorHAnsi" w:cstheme="majorBidi"/>
      <w:b/>
      <w:bCs/>
      <w:color w:val="2F5496" w:themeColor="accent1" w:themeShade="BF"/>
      <w:sz w:val="28"/>
      <w:szCs w:val="28"/>
      <w:lang w:val="es-DO"/>
    </w:rPr>
  </w:style>
  <w:style w:type="character" w:customStyle="1" w:styleId="Ttulo2Car">
    <w:name w:val="Título 2 Car"/>
    <w:basedOn w:val="Fuentedeprrafopredeter"/>
    <w:link w:val="Ttulo2"/>
    <w:uiPriority w:val="9"/>
    <w:semiHidden/>
    <w:rsid w:val="003E3C70"/>
    <w:rPr>
      <w:rFonts w:asciiTheme="majorHAnsi" w:eastAsiaTheme="majorEastAsia" w:hAnsiTheme="majorHAnsi" w:cstheme="majorBidi"/>
      <w:color w:val="2F5496" w:themeColor="accent1" w:themeShade="BF"/>
      <w:sz w:val="26"/>
      <w:szCs w:val="26"/>
      <w:lang w:val="es-DO"/>
    </w:rPr>
  </w:style>
  <w:style w:type="table" w:styleId="Tablaconcuadrcula">
    <w:name w:val="Table Grid"/>
    <w:basedOn w:val="Tablanormal"/>
    <w:uiPriority w:val="39"/>
    <w:rsid w:val="00B405B5"/>
    <w:rPr>
      <w:sz w:val="22"/>
      <w:szCs w:val="22"/>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B405B5"/>
    <w:pPr>
      <w:jc w:val="both"/>
    </w:pPr>
    <w:rPr>
      <w:rFonts w:eastAsia="Times New Roman" w:cs="Times New Roman"/>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rFonts w:cs="Times New Roman"/>
        <w:b/>
        <w:bCs/>
      </w:rPr>
      <w:tblPr/>
      <w:tcPr>
        <w:tcBorders>
          <w:bottom w:val="single" w:sz="12" w:space="0" w:color="8EAADB" w:themeColor="accent1" w:themeTint="99"/>
        </w:tcBorders>
      </w:tcPr>
    </w:tblStylePr>
    <w:tblStylePr w:type="lastRow">
      <w:rPr>
        <w:rFonts w:cs="Times New Roman"/>
        <w:b/>
        <w:bCs/>
      </w:rPr>
      <w:tblPr/>
      <w:tcPr>
        <w:tcBorders>
          <w:top w:val="double" w:sz="2" w:space="0" w:color="8EAADB" w:themeColor="accent1" w:themeTint="99"/>
        </w:tcBorders>
      </w:tcPr>
    </w:tblStylePr>
    <w:tblStylePr w:type="firstCol">
      <w:rPr>
        <w:rFonts w:cs="Times New Roman"/>
        <w:b/>
        <w:bCs/>
      </w:rPr>
    </w:tblStylePr>
    <w:tblStylePr w:type="lastCol">
      <w:rPr>
        <w:rFonts w:cs="Times New Roman"/>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7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FECHA:</PublishDate>
  <Abstract/>
  <CompanyAddress>Calle Manuel de Jesús Troncoso, No. 18, Ensanche Paraíso.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9F9025-8CFE-42B6-B693-CCB70628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719</Words>
  <Characters>3917</Characters>
  <Application>Microsoft Office Word</Application>
  <DocSecurity>0</DocSecurity>
  <Lines>130</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MEMORIA ANUAL</vt:lpstr>
      <vt:lpstr/>
    </vt:vector>
  </TitlesOfParts>
  <Company>Santo domingo, rep. dom.</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enero-diciembre 2023</dc:title>
  <dc:subject>INF-000000</dc:subject>
  <dc:creator>Comisión de defensa comercial</dc:creator>
  <cp:keywords/>
  <dc:description/>
  <cp:lastModifiedBy>Comision De Defensa Comercial TI</cp:lastModifiedBy>
  <cp:revision>2</cp:revision>
  <cp:lastPrinted>2021-06-11T15:46:00Z</cp:lastPrinted>
  <dcterms:created xsi:type="dcterms:W3CDTF">2024-04-19T15:36:00Z</dcterms:created>
  <dcterms:modified xsi:type="dcterms:W3CDTF">2024-04-19T15:36:00Z</dcterms:modified>
</cp:coreProperties>
</file>