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0A6C" w14:textId="77777777" w:rsidR="006449AD" w:rsidRDefault="006449AD" w:rsidP="00905917">
      <w:pPr>
        <w:spacing w:line="240" w:lineRule="auto"/>
        <w:jc w:val="center"/>
        <w:rPr>
          <w:rFonts w:asciiTheme="minorHAnsi" w:hAnsiTheme="minorHAnsi" w:cstheme="minorHAnsi"/>
          <w:b/>
          <w:color w:val="0070C0"/>
          <w:sz w:val="24"/>
          <w:szCs w:val="24"/>
        </w:rPr>
      </w:pPr>
    </w:p>
    <w:p w14:paraId="7B8525FA" w14:textId="771C6A07" w:rsidR="009564E2" w:rsidRPr="009564E2" w:rsidRDefault="009564E2" w:rsidP="009564E2">
      <w:pPr>
        <w:spacing w:after="0" w:line="240" w:lineRule="auto"/>
        <w:jc w:val="right"/>
        <w:rPr>
          <w:rFonts w:asciiTheme="minorHAnsi" w:hAnsiTheme="minorHAnsi" w:cstheme="minorHAnsi"/>
          <w:sz w:val="24"/>
          <w:szCs w:val="24"/>
          <w:lang w:val="es-DO"/>
        </w:rPr>
      </w:pPr>
      <w:r w:rsidRPr="009564E2">
        <w:rPr>
          <w:rFonts w:asciiTheme="minorHAnsi" w:hAnsiTheme="minorHAnsi" w:cstheme="minorHAnsi"/>
          <w:sz w:val="24"/>
          <w:szCs w:val="24"/>
          <w:lang w:val="es-DO"/>
        </w:rPr>
        <w:t xml:space="preserve">Versión </w:t>
      </w:r>
      <w:r w:rsidR="00354AAF">
        <w:rPr>
          <w:rFonts w:asciiTheme="minorHAnsi" w:hAnsiTheme="minorHAnsi" w:cstheme="minorHAnsi"/>
          <w:sz w:val="24"/>
          <w:szCs w:val="24"/>
          <w:lang w:val="es-DO"/>
        </w:rPr>
        <w:t xml:space="preserve"> No </w:t>
      </w:r>
      <w:r w:rsidRPr="009564E2">
        <w:rPr>
          <w:rFonts w:asciiTheme="minorHAnsi" w:hAnsiTheme="minorHAnsi" w:cstheme="minorHAnsi"/>
          <w:sz w:val="24"/>
          <w:szCs w:val="24"/>
          <w:lang w:val="es-DO"/>
        </w:rPr>
        <w:t xml:space="preserve">Confidencial </w:t>
      </w:r>
    </w:p>
    <w:p w14:paraId="3E0EEB3F" w14:textId="77777777" w:rsidR="009564E2" w:rsidRPr="009564E2" w:rsidRDefault="009564E2" w:rsidP="009564E2">
      <w:pPr>
        <w:spacing w:after="0" w:line="240" w:lineRule="auto"/>
        <w:jc w:val="right"/>
        <w:rPr>
          <w:rFonts w:asciiTheme="minorHAnsi" w:hAnsiTheme="minorHAnsi" w:cstheme="minorHAnsi"/>
          <w:sz w:val="24"/>
          <w:szCs w:val="24"/>
          <w:lang w:val="es-DO"/>
        </w:rPr>
      </w:pPr>
    </w:p>
    <w:p w14:paraId="5D639A70" w14:textId="77777777" w:rsidR="009564E2" w:rsidRPr="009564E2" w:rsidRDefault="009564E2" w:rsidP="009564E2">
      <w:pPr>
        <w:spacing w:after="0" w:line="240" w:lineRule="auto"/>
        <w:jc w:val="right"/>
        <w:rPr>
          <w:rFonts w:asciiTheme="minorHAnsi" w:hAnsiTheme="minorHAnsi" w:cstheme="minorHAnsi"/>
          <w:sz w:val="24"/>
          <w:szCs w:val="24"/>
          <w:lang w:val="es-DO"/>
        </w:rPr>
      </w:pPr>
    </w:p>
    <w:p w14:paraId="5128B0A0" w14:textId="77777777" w:rsidR="009564E2" w:rsidRPr="009564E2" w:rsidRDefault="009564E2" w:rsidP="009564E2">
      <w:pPr>
        <w:spacing w:after="0" w:line="240" w:lineRule="auto"/>
        <w:jc w:val="right"/>
        <w:rPr>
          <w:rFonts w:asciiTheme="minorHAnsi" w:hAnsiTheme="minorHAnsi" w:cstheme="minorHAnsi"/>
          <w:sz w:val="24"/>
          <w:szCs w:val="24"/>
          <w:lang w:val="es-DO"/>
        </w:rPr>
      </w:pPr>
      <w:r w:rsidRPr="009564E2">
        <w:rPr>
          <w:rFonts w:asciiTheme="minorHAnsi" w:hAnsiTheme="minorHAnsi" w:cstheme="minorHAnsi"/>
          <w:sz w:val="24"/>
          <w:szCs w:val="24"/>
          <w:lang w:val="es-DO"/>
        </w:rPr>
        <w:t>Santo Domingo, República Dominicana</w:t>
      </w:r>
    </w:p>
    <w:p w14:paraId="0136F2DF" w14:textId="7B7659FC" w:rsidR="009564E2" w:rsidRPr="009564E2" w:rsidRDefault="001429F3" w:rsidP="009564E2">
      <w:pPr>
        <w:spacing w:after="0" w:line="240" w:lineRule="auto"/>
        <w:jc w:val="right"/>
        <w:rPr>
          <w:rFonts w:asciiTheme="minorHAnsi" w:hAnsiTheme="minorHAnsi" w:cstheme="minorHAnsi"/>
          <w:sz w:val="24"/>
          <w:szCs w:val="24"/>
          <w:lang w:val="es-DO"/>
        </w:rPr>
      </w:pPr>
      <w:r>
        <w:rPr>
          <w:rFonts w:asciiTheme="minorHAnsi" w:hAnsiTheme="minorHAnsi" w:cstheme="minorHAnsi"/>
          <w:sz w:val="24"/>
          <w:szCs w:val="24"/>
          <w:lang w:val="es-DO"/>
        </w:rPr>
        <w:t>6</w:t>
      </w:r>
      <w:r w:rsidR="009564E2" w:rsidRPr="009564E2">
        <w:rPr>
          <w:rFonts w:asciiTheme="minorHAnsi" w:hAnsiTheme="minorHAnsi" w:cstheme="minorHAnsi"/>
          <w:sz w:val="24"/>
          <w:szCs w:val="24"/>
          <w:lang w:val="es-DO"/>
        </w:rPr>
        <w:t xml:space="preserve"> de agosto del 2025</w:t>
      </w:r>
    </w:p>
    <w:p w14:paraId="34101646" w14:textId="77777777" w:rsidR="009564E2" w:rsidRPr="009564E2" w:rsidRDefault="009564E2" w:rsidP="009564E2">
      <w:pPr>
        <w:spacing w:after="0" w:line="240" w:lineRule="auto"/>
        <w:rPr>
          <w:rFonts w:asciiTheme="minorHAnsi" w:hAnsiTheme="minorHAnsi" w:cstheme="minorHAnsi"/>
          <w:sz w:val="24"/>
          <w:szCs w:val="24"/>
          <w:lang w:val="es-DO"/>
        </w:rPr>
      </w:pPr>
    </w:p>
    <w:p w14:paraId="68335D49" w14:textId="77777777" w:rsidR="009564E2" w:rsidRPr="009564E2" w:rsidRDefault="009564E2" w:rsidP="009564E2">
      <w:pPr>
        <w:spacing w:after="0" w:line="240" w:lineRule="auto"/>
        <w:rPr>
          <w:rFonts w:asciiTheme="minorHAnsi" w:hAnsiTheme="minorHAnsi" w:cstheme="minorHAnsi"/>
          <w:sz w:val="24"/>
          <w:szCs w:val="24"/>
          <w:lang w:val="es-DO"/>
        </w:rPr>
      </w:pPr>
      <w:r w:rsidRPr="009564E2">
        <w:rPr>
          <w:rFonts w:asciiTheme="minorHAnsi" w:hAnsiTheme="minorHAnsi" w:cstheme="minorHAnsi"/>
          <w:sz w:val="24"/>
          <w:szCs w:val="24"/>
          <w:lang w:val="es-DO"/>
        </w:rPr>
        <w:t>Señores</w:t>
      </w:r>
    </w:p>
    <w:p w14:paraId="158EA768" w14:textId="77777777" w:rsidR="009564E2" w:rsidRPr="009564E2" w:rsidRDefault="009564E2" w:rsidP="009564E2">
      <w:pPr>
        <w:spacing w:after="0" w:line="240" w:lineRule="auto"/>
        <w:rPr>
          <w:rFonts w:asciiTheme="minorHAnsi" w:hAnsiTheme="minorHAnsi" w:cstheme="minorHAnsi"/>
          <w:sz w:val="24"/>
          <w:szCs w:val="24"/>
          <w:lang w:val="es-DO"/>
        </w:rPr>
      </w:pPr>
      <w:r w:rsidRPr="009564E2">
        <w:rPr>
          <w:rFonts w:asciiTheme="minorHAnsi" w:hAnsiTheme="minorHAnsi" w:cstheme="minorHAnsi"/>
          <w:sz w:val="24"/>
          <w:szCs w:val="24"/>
          <w:lang w:val="es-DO"/>
        </w:rPr>
        <w:t xml:space="preserve">Presidente y demás Miembros de la </w:t>
      </w:r>
    </w:p>
    <w:p w14:paraId="1CB8EF8A" w14:textId="77777777" w:rsidR="009564E2" w:rsidRPr="009564E2" w:rsidRDefault="009564E2" w:rsidP="009564E2">
      <w:pPr>
        <w:spacing w:after="0" w:line="240" w:lineRule="auto"/>
        <w:rPr>
          <w:rFonts w:asciiTheme="minorHAnsi" w:hAnsiTheme="minorHAnsi" w:cstheme="minorHAnsi"/>
          <w:sz w:val="24"/>
          <w:szCs w:val="24"/>
          <w:lang w:val="es-DO"/>
        </w:rPr>
      </w:pPr>
      <w:r w:rsidRPr="009564E2">
        <w:rPr>
          <w:rFonts w:asciiTheme="minorHAnsi" w:hAnsiTheme="minorHAnsi" w:cstheme="minorHAnsi"/>
          <w:sz w:val="24"/>
          <w:szCs w:val="24"/>
          <w:lang w:val="es-DO"/>
        </w:rPr>
        <w:t xml:space="preserve">Comisión Reguladora de Prácticas Desleales en el Comercio </w:t>
      </w:r>
    </w:p>
    <w:p w14:paraId="7DCA41CB" w14:textId="77777777" w:rsidR="009564E2" w:rsidRPr="009564E2" w:rsidRDefault="009564E2" w:rsidP="009564E2">
      <w:pPr>
        <w:spacing w:after="0" w:line="240" w:lineRule="auto"/>
        <w:rPr>
          <w:rFonts w:asciiTheme="minorHAnsi" w:hAnsiTheme="minorHAnsi" w:cstheme="minorHAnsi"/>
          <w:sz w:val="24"/>
          <w:szCs w:val="24"/>
          <w:lang w:val="es-DO"/>
        </w:rPr>
      </w:pPr>
      <w:r w:rsidRPr="009564E2">
        <w:rPr>
          <w:rFonts w:asciiTheme="minorHAnsi" w:hAnsiTheme="minorHAnsi" w:cstheme="minorHAnsi"/>
          <w:sz w:val="24"/>
          <w:szCs w:val="24"/>
          <w:lang w:val="es-DO"/>
        </w:rPr>
        <w:t xml:space="preserve">y sobre Medidas de Salvaguardias  </w:t>
      </w:r>
    </w:p>
    <w:p w14:paraId="534AFF95" w14:textId="77777777" w:rsidR="009564E2" w:rsidRPr="009564E2" w:rsidRDefault="009564E2" w:rsidP="009564E2">
      <w:pPr>
        <w:spacing w:after="0" w:line="240" w:lineRule="auto"/>
        <w:rPr>
          <w:rFonts w:asciiTheme="minorHAnsi" w:hAnsiTheme="minorHAnsi" w:cstheme="minorHAnsi"/>
          <w:sz w:val="24"/>
          <w:szCs w:val="24"/>
          <w:lang w:val="es-DO"/>
        </w:rPr>
      </w:pPr>
      <w:r w:rsidRPr="009564E2">
        <w:rPr>
          <w:rFonts w:asciiTheme="minorHAnsi" w:hAnsiTheme="minorHAnsi" w:cstheme="minorHAnsi"/>
          <w:sz w:val="24"/>
          <w:szCs w:val="24"/>
          <w:lang w:val="es-DO"/>
        </w:rPr>
        <w:t>Ciudad</w:t>
      </w:r>
    </w:p>
    <w:p w14:paraId="7F3BD443" w14:textId="77777777" w:rsidR="009564E2" w:rsidRPr="009564E2" w:rsidRDefault="009564E2" w:rsidP="009564E2">
      <w:pPr>
        <w:spacing w:after="0" w:line="240" w:lineRule="auto"/>
        <w:jc w:val="center"/>
        <w:rPr>
          <w:rFonts w:asciiTheme="minorHAnsi" w:eastAsia="Times New Roman" w:hAnsiTheme="minorHAnsi" w:cstheme="minorHAnsi"/>
          <w:b/>
          <w:sz w:val="24"/>
          <w:szCs w:val="24"/>
          <w:lang w:val="es-DO" w:eastAsia="es-ES_tradnl"/>
        </w:rPr>
      </w:pPr>
    </w:p>
    <w:p w14:paraId="3EF97AF3" w14:textId="43C3BCC6" w:rsidR="009564E2" w:rsidRDefault="009564E2" w:rsidP="009564E2">
      <w:pPr>
        <w:spacing w:after="0" w:line="240" w:lineRule="auto"/>
        <w:ind w:left="708"/>
        <w:jc w:val="both"/>
        <w:rPr>
          <w:rFonts w:asciiTheme="minorHAnsi" w:hAnsiTheme="minorHAnsi" w:cstheme="minorHAnsi"/>
          <w:b/>
          <w:color w:val="0070C0"/>
          <w:sz w:val="24"/>
          <w:szCs w:val="24"/>
        </w:rPr>
      </w:pPr>
      <w:r w:rsidRPr="009564E2">
        <w:rPr>
          <w:rFonts w:asciiTheme="minorHAnsi" w:eastAsia="Times New Roman" w:hAnsiTheme="minorHAnsi" w:cstheme="minorHAnsi"/>
          <w:b/>
          <w:sz w:val="24"/>
          <w:szCs w:val="24"/>
          <w:lang w:val="es-DO" w:eastAsia="es-ES_tradnl"/>
        </w:rPr>
        <w:t>Asunto:  S</w:t>
      </w:r>
      <w:r>
        <w:rPr>
          <w:rFonts w:asciiTheme="minorHAnsi" w:eastAsia="Times New Roman" w:hAnsiTheme="minorHAnsi" w:cstheme="minorHAnsi"/>
          <w:b/>
          <w:sz w:val="24"/>
          <w:szCs w:val="24"/>
          <w:lang w:val="es-DO" w:eastAsia="es-ES_tradnl"/>
        </w:rPr>
        <w:t xml:space="preserve">olicitud de investigación de Medida de Salvaguardia a las </w:t>
      </w:r>
      <w:r w:rsidRPr="009564E2">
        <w:rPr>
          <w:rFonts w:asciiTheme="minorHAnsi" w:eastAsia="Times New Roman" w:hAnsiTheme="minorHAnsi" w:cstheme="minorHAnsi"/>
          <w:b/>
          <w:sz w:val="24"/>
          <w:szCs w:val="24"/>
          <w:lang w:val="es-DO" w:eastAsia="es-ES_tradnl"/>
        </w:rPr>
        <w:t>galletas dulces y saladas de todo tipo, incluidas aquellas simples, rellenas o recubiertas, elaboradas principalmente a base de harinas de cereales, grasas, azúcar o sal y clasificadas bajo las partidas arancelarias 1905.31.90, 1905.32.00, 1905.90.10 y 1905.90.90 de la 7ta enmienda del Arancel de la Republica Dominicana</w:t>
      </w:r>
      <w:r>
        <w:rPr>
          <w:rFonts w:asciiTheme="minorHAnsi" w:eastAsia="Times New Roman" w:hAnsiTheme="minorHAnsi" w:cstheme="minorHAnsi"/>
          <w:b/>
          <w:sz w:val="24"/>
          <w:szCs w:val="24"/>
          <w:lang w:val="es-DO" w:eastAsia="es-ES_tradnl"/>
        </w:rPr>
        <w:t xml:space="preserve">. </w:t>
      </w:r>
    </w:p>
    <w:p w14:paraId="7021EFAD" w14:textId="77777777" w:rsidR="009564E2" w:rsidRDefault="009564E2" w:rsidP="00905917">
      <w:pPr>
        <w:spacing w:line="240" w:lineRule="auto"/>
        <w:jc w:val="center"/>
        <w:rPr>
          <w:rFonts w:asciiTheme="minorHAnsi" w:hAnsiTheme="minorHAnsi" w:cstheme="minorHAnsi"/>
          <w:b/>
          <w:color w:val="0070C0"/>
          <w:sz w:val="24"/>
          <w:szCs w:val="24"/>
        </w:rPr>
      </w:pPr>
    </w:p>
    <w:p w14:paraId="1F7279F0" w14:textId="73C8C721" w:rsidR="00905917" w:rsidRDefault="009564E2" w:rsidP="00FE3458">
      <w:pPr>
        <w:pStyle w:val="Sinespaciado"/>
        <w:jc w:val="both"/>
        <w:rPr>
          <w:rFonts w:asciiTheme="minorHAnsi" w:hAnsiTheme="minorHAnsi" w:cstheme="minorHAnsi"/>
          <w:sz w:val="24"/>
          <w:szCs w:val="24"/>
        </w:rPr>
      </w:pPr>
      <w:r w:rsidRPr="009564E2">
        <w:rPr>
          <w:rFonts w:asciiTheme="minorHAnsi" w:hAnsiTheme="minorHAnsi" w:cstheme="minorHAnsi"/>
          <w:sz w:val="24"/>
          <w:szCs w:val="24"/>
        </w:rPr>
        <w:t>Distinguidos Señores:</w:t>
      </w:r>
    </w:p>
    <w:p w14:paraId="2DCED4E4" w14:textId="77777777" w:rsidR="00F4333F" w:rsidRDefault="00F4333F" w:rsidP="00FE3458">
      <w:pPr>
        <w:pStyle w:val="Sinespaciado"/>
        <w:jc w:val="both"/>
        <w:rPr>
          <w:rFonts w:asciiTheme="minorHAnsi" w:hAnsiTheme="minorHAnsi" w:cstheme="minorHAnsi"/>
          <w:sz w:val="24"/>
          <w:szCs w:val="24"/>
        </w:rPr>
      </w:pPr>
      <w:r w:rsidRPr="00F4333F">
        <w:rPr>
          <w:rFonts w:asciiTheme="minorHAnsi" w:hAnsiTheme="minorHAnsi" w:cstheme="minorHAnsi"/>
          <w:sz w:val="24"/>
          <w:szCs w:val="24"/>
        </w:rPr>
        <w:t>Yo,</w:t>
      </w:r>
      <w:r w:rsidRPr="00F4333F">
        <w:rPr>
          <w:rFonts w:asciiTheme="minorHAnsi" w:hAnsiTheme="minorHAnsi" w:cstheme="minorHAnsi"/>
          <w:sz w:val="24"/>
          <w:szCs w:val="24"/>
          <w:lang w:val="es-DO"/>
        </w:rPr>
        <w:t xml:space="preserve"> Krist Yuteswar Núñez Añil, ,Dominicano , mayor de edad, casado, portador del de la cedula de identidad y personal no. 001-1016914-1 , domiciliado y residente en la ciudad de Santo Domingo, Distrito Nacional, capital de la República Dominicana, actuando en su calidad de Apoderado, Representante Legal y persona autorizada a firmar en nombre, representación e interés de </w:t>
      </w:r>
      <w:r w:rsidRPr="00F4333F">
        <w:rPr>
          <w:rFonts w:asciiTheme="minorHAnsi" w:hAnsiTheme="minorHAnsi" w:cstheme="minorHAnsi"/>
          <w:b/>
          <w:sz w:val="24"/>
          <w:szCs w:val="24"/>
          <w:lang w:val="es-DO"/>
        </w:rPr>
        <w:t>Molinos Modernos.</w:t>
      </w:r>
      <w:r w:rsidRPr="00F4333F">
        <w:rPr>
          <w:rFonts w:asciiTheme="minorHAnsi" w:hAnsiTheme="minorHAnsi" w:cstheme="minorHAnsi"/>
          <w:sz w:val="24"/>
          <w:szCs w:val="24"/>
          <w:lang w:val="es-DO"/>
        </w:rPr>
        <w:t>, sociedad comercial organizada y constituida de conformidad con las leyes de la República Dominicana, con el Registro Nacional de Contribuyentes (RNC) marcado con el número 1-01-00637-4, con su domicilio y asiento social establecido en Alexander Fleming no. 5, ensanche La Fe, Distrito Nacional, provincia Santo Domingo, República Dominicana</w:t>
      </w:r>
      <w:r w:rsidRPr="00F4333F">
        <w:rPr>
          <w:rFonts w:asciiTheme="minorHAnsi" w:hAnsiTheme="minorHAnsi" w:cstheme="minorHAnsi"/>
          <w:sz w:val="24"/>
          <w:szCs w:val="24"/>
        </w:rPr>
        <w:t xml:space="preserve">  actuando </w:t>
      </w:r>
      <w:r w:rsidRPr="00F4333F">
        <w:rPr>
          <w:rFonts w:asciiTheme="minorHAnsi" w:hAnsiTheme="minorHAnsi" w:cstheme="minorHAnsi"/>
          <w:sz w:val="24"/>
          <w:szCs w:val="24"/>
          <w:lang w:val="es-DO"/>
        </w:rPr>
        <w:t xml:space="preserve">y amparado bajo Resolución del Consejo de Administración del 8 de Julio del 2022, </w:t>
      </w:r>
      <w:r w:rsidRPr="00F4333F">
        <w:rPr>
          <w:rFonts w:asciiTheme="minorHAnsi" w:hAnsiTheme="minorHAnsi" w:cstheme="minorHAnsi"/>
          <w:sz w:val="24"/>
          <w:szCs w:val="24"/>
        </w:rPr>
        <w:t xml:space="preserve">acudo respetuosamente ante ese Despacho de conformidad con lo establecido en el Artículo 32 de la Ley Nº 1-02  Sobre Prácticas Desleales de Comercio y Medidas de Salvaguardias, en adelante Ley No. 1-02 y el Artículo 26 de su Reglamento de Aplicación, en concordancia con los Artículos  26 inciso a,  con el fin de solicitar el inicio de una investigación contra las importaciones de galletas dulces y saladas de todo tipo, incluidas aquellas simples, rellenas o recubiertas, elaboradas principalmente a base de harinas de cereales, grasas, azúcar o sal y clasificadas bajo las partidas arancelarias 1905.31.90, 1905.32.00, 1905.90.10 y 1905.90.90, procedentes de todos los orígenes, exceptuando aquellos países con los cuales la Republica Dominicana tiene un tratado de libre comercio. </w:t>
      </w:r>
    </w:p>
    <w:p w14:paraId="02B35AF7" w14:textId="77777777" w:rsidR="00F4333F" w:rsidRPr="00F4333F" w:rsidRDefault="00F4333F" w:rsidP="00F4333F">
      <w:pPr>
        <w:pStyle w:val="Sinespaciado"/>
        <w:rPr>
          <w:rFonts w:asciiTheme="minorHAnsi" w:hAnsiTheme="minorHAnsi" w:cstheme="minorHAnsi"/>
          <w:sz w:val="24"/>
          <w:szCs w:val="24"/>
          <w:lang w:val="es-DO"/>
        </w:rPr>
      </w:pPr>
    </w:p>
    <w:p w14:paraId="72C9F017" w14:textId="77777777" w:rsidR="00F4333F" w:rsidRPr="00F4333F" w:rsidRDefault="00F4333F" w:rsidP="00F4333F">
      <w:pPr>
        <w:pStyle w:val="Sinespaciado"/>
        <w:rPr>
          <w:rFonts w:asciiTheme="minorHAnsi" w:hAnsiTheme="minorHAnsi" w:cstheme="minorHAnsi"/>
          <w:b/>
          <w:sz w:val="24"/>
          <w:szCs w:val="24"/>
        </w:rPr>
      </w:pPr>
      <w:r w:rsidRPr="00F4333F">
        <w:rPr>
          <w:rFonts w:asciiTheme="minorHAnsi" w:hAnsiTheme="minorHAnsi" w:cstheme="minorHAnsi"/>
          <w:sz w:val="24"/>
          <w:szCs w:val="24"/>
          <w:lang w:val="es-DO"/>
        </w:rPr>
        <w:t xml:space="preserve"> </w:t>
      </w:r>
      <w:r w:rsidRPr="00F4333F">
        <w:rPr>
          <w:rFonts w:asciiTheme="minorHAnsi" w:hAnsiTheme="minorHAnsi" w:cstheme="minorHAnsi"/>
          <w:b/>
          <w:sz w:val="24"/>
          <w:szCs w:val="24"/>
        </w:rPr>
        <w:t xml:space="preserve">I.- BASE LEGAL: </w:t>
      </w:r>
    </w:p>
    <w:p w14:paraId="480C8436" w14:textId="77777777" w:rsidR="00F4333F" w:rsidRPr="00F4333F" w:rsidRDefault="00F4333F" w:rsidP="00F4333F">
      <w:pPr>
        <w:pStyle w:val="Sinespaciado"/>
        <w:rPr>
          <w:rFonts w:asciiTheme="minorHAnsi" w:hAnsiTheme="minorHAnsi" w:cstheme="minorHAnsi"/>
          <w:sz w:val="24"/>
          <w:szCs w:val="24"/>
          <w:lang w:val="es-DO"/>
        </w:rPr>
      </w:pPr>
      <w:r w:rsidRPr="00F4333F">
        <w:rPr>
          <w:rFonts w:asciiTheme="minorHAnsi" w:hAnsiTheme="minorHAnsi" w:cstheme="minorHAnsi"/>
          <w:sz w:val="24"/>
          <w:szCs w:val="24"/>
        </w:rPr>
        <w:t xml:space="preserve">La solicitud de inicio de investigación respetuosamente planteada por </w:t>
      </w:r>
      <w:r w:rsidRPr="00F4333F">
        <w:rPr>
          <w:rFonts w:asciiTheme="minorHAnsi" w:hAnsiTheme="minorHAnsi" w:cstheme="minorHAnsi"/>
          <w:b/>
          <w:bCs/>
          <w:sz w:val="24"/>
          <w:szCs w:val="24"/>
        </w:rPr>
        <w:t>Molinos Modernos, S.A.</w:t>
      </w:r>
      <w:r w:rsidRPr="00F4333F">
        <w:rPr>
          <w:rFonts w:asciiTheme="minorHAnsi" w:hAnsiTheme="minorHAnsi" w:cstheme="minorHAnsi"/>
          <w:sz w:val="24"/>
          <w:szCs w:val="24"/>
        </w:rPr>
        <w:t xml:space="preserve"> es realizada en base a lo previsto en la Ley de Defensa Comercial, específicamente en los Artículos</w:t>
      </w:r>
      <w:r w:rsidRPr="00F4333F">
        <w:rPr>
          <w:rFonts w:asciiTheme="minorHAnsi" w:hAnsiTheme="minorHAnsi" w:cstheme="minorHAnsi"/>
          <w:sz w:val="24"/>
          <w:szCs w:val="24"/>
          <w:lang w:val="es-DO"/>
        </w:rPr>
        <w:t xml:space="preserve"> es realizada en base a lo previsto en la Ley de Defensa </w:t>
      </w:r>
      <w:r w:rsidRPr="00F4333F">
        <w:rPr>
          <w:rFonts w:asciiTheme="minorHAnsi" w:hAnsiTheme="minorHAnsi" w:cstheme="minorHAnsi"/>
          <w:sz w:val="24"/>
          <w:szCs w:val="24"/>
          <w:lang w:val="es-DO"/>
        </w:rPr>
        <w:lastRenderedPageBreak/>
        <w:t>Comercial, específicamente en los Artículos 4, 6, 57, 58, 59 y 61; en concordancia con lo previsto en el Artículo 5.1 y 5.2 Del Acuerdo de la OMC.</w:t>
      </w:r>
    </w:p>
    <w:p w14:paraId="36A71776" w14:textId="77777777" w:rsidR="009564E2" w:rsidRPr="00F4333F" w:rsidRDefault="009564E2" w:rsidP="006449AD">
      <w:pPr>
        <w:pStyle w:val="Sinespaciado"/>
        <w:rPr>
          <w:rFonts w:asciiTheme="minorHAnsi" w:hAnsiTheme="minorHAnsi" w:cstheme="minorHAnsi"/>
          <w:sz w:val="24"/>
          <w:szCs w:val="24"/>
          <w:lang w:val="es-DO"/>
        </w:rPr>
      </w:pPr>
    </w:p>
    <w:p w14:paraId="5BFF313D" w14:textId="66A4477E" w:rsidR="00B168DD" w:rsidRPr="009564E2" w:rsidRDefault="000B55CA" w:rsidP="00905917">
      <w:pPr>
        <w:spacing w:line="240" w:lineRule="auto"/>
        <w:jc w:val="both"/>
        <w:rPr>
          <w:rFonts w:asciiTheme="minorHAnsi" w:hAnsiTheme="minorHAnsi" w:cstheme="minorHAnsi"/>
          <w:b/>
          <w:sz w:val="24"/>
          <w:szCs w:val="24"/>
        </w:rPr>
      </w:pPr>
      <w:r w:rsidRPr="009564E2">
        <w:rPr>
          <w:rFonts w:asciiTheme="minorHAnsi" w:hAnsiTheme="minorHAnsi" w:cstheme="minorHAnsi"/>
          <w:b/>
          <w:sz w:val="24"/>
          <w:szCs w:val="24"/>
        </w:rPr>
        <w:t>II.</w:t>
      </w:r>
      <w:r w:rsidR="009564E2" w:rsidRPr="009564E2">
        <w:rPr>
          <w:rFonts w:asciiTheme="minorHAnsi" w:hAnsiTheme="minorHAnsi" w:cstheme="minorHAnsi"/>
          <w:b/>
          <w:sz w:val="24"/>
          <w:szCs w:val="24"/>
        </w:rPr>
        <w:t>- DESCRIPCION</w:t>
      </w:r>
      <w:r w:rsidRPr="009564E2">
        <w:rPr>
          <w:rFonts w:asciiTheme="minorHAnsi" w:hAnsiTheme="minorHAnsi" w:cstheme="minorHAnsi"/>
          <w:b/>
          <w:sz w:val="24"/>
          <w:szCs w:val="24"/>
        </w:rPr>
        <w:t xml:space="preserve"> DEL BIEN Y DE LA PRÁCTICA O SITUACIÓN DENUNCIADA: </w:t>
      </w:r>
    </w:p>
    <w:p w14:paraId="6810CDEB" w14:textId="4757AAE1" w:rsidR="000B55CA" w:rsidRPr="009564E2" w:rsidRDefault="000B55CA" w:rsidP="00905917">
      <w:pPr>
        <w:spacing w:line="240" w:lineRule="auto"/>
        <w:jc w:val="both"/>
        <w:rPr>
          <w:rFonts w:asciiTheme="minorHAnsi" w:hAnsiTheme="minorHAnsi" w:cstheme="minorHAnsi"/>
          <w:b/>
          <w:sz w:val="24"/>
          <w:szCs w:val="24"/>
        </w:rPr>
      </w:pPr>
      <w:r w:rsidRPr="009564E2">
        <w:rPr>
          <w:rFonts w:asciiTheme="minorHAnsi" w:hAnsiTheme="minorHAnsi" w:cstheme="minorHAnsi"/>
          <w:b/>
          <w:sz w:val="24"/>
          <w:szCs w:val="24"/>
        </w:rPr>
        <w:t xml:space="preserve">II.1.- Identificación de los </w:t>
      </w:r>
      <w:r w:rsidR="0050264A" w:rsidRPr="009564E2">
        <w:rPr>
          <w:rFonts w:asciiTheme="minorHAnsi" w:hAnsiTheme="minorHAnsi" w:cstheme="minorHAnsi"/>
          <w:b/>
          <w:sz w:val="24"/>
          <w:szCs w:val="24"/>
        </w:rPr>
        <w:t>bienes o</w:t>
      </w:r>
      <w:r w:rsidRPr="009564E2">
        <w:rPr>
          <w:rFonts w:asciiTheme="minorHAnsi" w:hAnsiTheme="minorHAnsi" w:cstheme="minorHAnsi"/>
          <w:b/>
          <w:sz w:val="24"/>
          <w:szCs w:val="24"/>
        </w:rPr>
        <w:t xml:space="preserve">bjeto de </w:t>
      </w:r>
      <w:r w:rsidR="001F6759" w:rsidRPr="009564E2">
        <w:rPr>
          <w:rFonts w:asciiTheme="minorHAnsi" w:hAnsiTheme="minorHAnsi" w:cstheme="minorHAnsi"/>
          <w:b/>
          <w:sz w:val="24"/>
          <w:szCs w:val="24"/>
        </w:rPr>
        <w:t xml:space="preserve">Salvaguardia </w:t>
      </w:r>
    </w:p>
    <w:p w14:paraId="0EF01E5C" w14:textId="55C3AEA9" w:rsidR="001743F7" w:rsidRPr="009564E2" w:rsidRDefault="004120F1" w:rsidP="00905917">
      <w:pPr>
        <w:spacing w:line="240" w:lineRule="auto"/>
        <w:jc w:val="both"/>
        <w:rPr>
          <w:rFonts w:asciiTheme="minorHAnsi" w:hAnsiTheme="minorHAnsi" w:cstheme="minorHAnsi"/>
          <w:sz w:val="24"/>
          <w:szCs w:val="24"/>
        </w:rPr>
      </w:pPr>
      <w:bookmarkStart w:id="0" w:name="_Hlk205187258"/>
      <w:r>
        <w:rPr>
          <w:rFonts w:asciiTheme="minorHAnsi" w:hAnsiTheme="minorHAnsi" w:cstheme="minorHAnsi"/>
          <w:sz w:val="24"/>
          <w:szCs w:val="24"/>
        </w:rPr>
        <w:t>L</w:t>
      </w:r>
      <w:r w:rsidR="000B55CA" w:rsidRPr="009564E2">
        <w:rPr>
          <w:rFonts w:asciiTheme="minorHAnsi" w:hAnsiTheme="minorHAnsi" w:cstheme="minorHAnsi"/>
          <w:sz w:val="24"/>
          <w:szCs w:val="24"/>
        </w:rPr>
        <w:t>os productos objeto de</w:t>
      </w:r>
      <w:r w:rsidR="001743F7" w:rsidRPr="009564E2">
        <w:rPr>
          <w:rFonts w:asciiTheme="minorHAnsi" w:hAnsiTheme="minorHAnsi" w:cstheme="minorHAnsi"/>
          <w:color w:val="0070C0"/>
          <w:sz w:val="24"/>
          <w:szCs w:val="24"/>
        </w:rPr>
        <w:t xml:space="preserve"> </w:t>
      </w:r>
      <w:r w:rsidR="001743F7" w:rsidRPr="009564E2">
        <w:rPr>
          <w:rFonts w:asciiTheme="minorHAnsi" w:hAnsiTheme="minorHAnsi" w:cstheme="minorHAnsi"/>
          <w:color w:val="000000" w:themeColor="text1"/>
          <w:sz w:val="24"/>
          <w:szCs w:val="24"/>
        </w:rPr>
        <w:t>salvaguarda son</w:t>
      </w:r>
      <w:r w:rsidR="000B55CA" w:rsidRPr="009564E2">
        <w:rPr>
          <w:rFonts w:asciiTheme="minorHAnsi" w:hAnsiTheme="minorHAnsi" w:cstheme="minorHAnsi"/>
          <w:color w:val="000000" w:themeColor="text1"/>
          <w:sz w:val="24"/>
          <w:szCs w:val="24"/>
        </w:rPr>
        <w:t xml:space="preserve"> </w:t>
      </w:r>
      <w:r w:rsidR="000B55CA" w:rsidRPr="009564E2">
        <w:rPr>
          <w:rFonts w:asciiTheme="minorHAnsi" w:hAnsiTheme="minorHAnsi" w:cstheme="minorHAnsi"/>
          <w:sz w:val="24"/>
          <w:szCs w:val="24"/>
        </w:rPr>
        <w:t>los</w:t>
      </w:r>
      <w:r w:rsidR="00F159D8" w:rsidRPr="009564E2">
        <w:rPr>
          <w:rFonts w:asciiTheme="minorHAnsi" w:hAnsiTheme="minorHAnsi" w:cstheme="minorHAnsi"/>
          <w:sz w:val="24"/>
          <w:szCs w:val="24"/>
        </w:rPr>
        <w:t xml:space="preserve"> galletas dulces y saladas de todo tipo, incluidas aquellas simples, rellenas o recubiertas, elaboradas principalmente a base de </w:t>
      </w:r>
      <w:r w:rsidR="009564E2" w:rsidRPr="009564E2">
        <w:rPr>
          <w:rFonts w:asciiTheme="minorHAnsi" w:hAnsiTheme="minorHAnsi" w:cstheme="minorHAnsi"/>
          <w:sz w:val="24"/>
          <w:szCs w:val="24"/>
        </w:rPr>
        <w:t>harinas</w:t>
      </w:r>
      <w:r w:rsidR="00F159D8" w:rsidRPr="009564E2">
        <w:rPr>
          <w:rFonts w:asciiTheme="minorHAnsi" w:hAnsiTheme="minorHAnsi" w:cstheme="minorHAnsi"/>
          <w:sz w:val="24"/>
          <w:szCs w:val="24"/>
        </w:rPr>
        <w:t xml:space="preserve"> de cereales, grasas, azúcar o sal y clasificadas bajo las partidas arancelarias 1905.31.90, 1905.32.00, 1905.90.10 y 1905.90.90</w:t>
      </w:r>
      <w:r w:rsidR="008851CD" w:rsidRPr="009564E2">
        <w:rPr>
          <w:rFonts w:asciiTheme="minorHAnsi" w:hAnsiTheme="minorHAnsi" w:cstheme="minorHAnsi"/>
          <w:sz w:val="24"/>
          <w:szCs w:val="24"/>
        </w:rPr>
        <w:t xml:space="preserve"> de la 7ta enmienda del Arancel de la Republica Dominicana, </w:t>
      </w:r>
    </w:p>
    <w:bookmarkEnd w:id="0"/>
    <w:p w14:paraId="3419746E" w14:textId="410ED589" w:rsidR="005D4C44" w:rsidRPr="009564E2" w:rsidRDefault="0050264A" w:rsidP="00905917">
      <w:pPr>
        <w:spacing w:line="240" w:lineRule="auto"/>
        <w:jc w:val="both"/>
        <w:rPr>
          <w:rFonts w:asciiTheme="minorHAnsi" w:hAnsiTheme="minorHAnsi" w:cstheme="minorHAnsi"/>
          <w:b/>
          <w:sz w:val="24"/>
          <w:szCs w:val="24"/>
          <w:lang w:val="es-DO"/>
        </w:rPr>
      </w:pPr>
      <w:r w:rsidRPr="009564E2">
        <w:rPr>
          <w:rFonts w:asciiTheme="minorHAnsi" w:hAnsiTheme="minorHAnsi" w:cstheme="minorHAnsi"/>
          <w:b/>
          <w:sz w:val="24"/>
          <w:szCs w:val="24"/>
        </w:rPr>
        <w:t xml:space="preserve">II. 2.- </w:t>
      </w:r>
      <w:r w:rsidRPr="004120F1">
        <w:rPr>
          <w:rFonts w:asciiTheme="minorHAnsi" w:hAnsiTheme="minorHAnsi" w:cstheme="minorHAnsi"/>
          <w:b/>
          <w:sz w:val="24"/>
          <w:szCs w:val="24"/>
        </w:rPr>
        <w:t xml:space="preserve">Descripción y usos del </w:t>
      </w:r>
      <w:r w:rsidR="009564E2" w:rsidRPr="004120F1">
        <w:rPr>
          <w:rFonts w:asciiTheme="minorHAnsi" w:hAnsiTheme="minorHAnsi" w:cstheme="minorHAnsi"/>
          <w:b/>
          <w:sz w:val="24"/>
          <w:szCs w:val="24"/>
        </w:rPr>
        <w:t>bien o</w:t>
      </w:r>
      <w:r w:rsidRPr="004120F1">
        <w:rPr>
          <w:rFonts w:asciiTheme="minorHAnsi" w:hAnsiTheme="minorHAnsi" w:cstheme="minorHAnsi"/>
          <w:b/>
          <w:sz w:val="24"/>
          <w:szCs w:val="24"/>
        </w:rPr>
        <w:t xml:space="preserve"> de los bienes objeto de</w:t>
      </w:r>
      <w:r w:rsidR="00712904" w:rsidRPr="004120F1">
        <w:rPr>
          <w:rFonts w:asciiTheme="minorHAnsi" w:hAnsiTheme="minorHAnsi" w:cstheme="minorHAnsi"/>
          <w:b/>
          <w:sz w:val="24"/>
          <w:szCs w:val="24"/>
        </w:rPr>
        <w:t xml:space="preserve">   </w:t>
      </w:r>
      <w:r w:rsidR="009564E2" w:rsidRPr="004120F1">
        <w:rPr>
          <w:rFonts w:asciiTheme="minorHAnsi" w:hAnsiTheme="minorHAnsi" w:cstheme="minorHAnsi"/>
          <w:b/>
          <w:sz w:val="24"/>
          <w:szCs w:val="24"/>
        </w:rPr>
        <w:t>salvaguardia</w:t>
      </w:r>
      <w:r w:rsidR="000B0BD4" w:rsidRPr="004120F1">
        <w:rPr>
          <w:rFonts w:asciiTheme="minorHAnsi" w:hAnsiTheme="minorHAnsi" w:cstheme="minorHAnsi"/>
          <w:b/>
          <w:sz w:val="24"/>
          <w:szCs w:val="24"/>
        </w:rPr>
        <w:t>.</w:t>
      </w:r>
    </w:p>
    <w:p w14:paraId="0F79A649" w14:textId="4EE78501" w:rsidR="001F6759" w:rsidRPr="009564E2" w:rsidRDefault="001F6759" w:rsidP="001F6759">
      <w:pPr>
        <w:spacing w:line="240" w:lineRule="auto"/>
        <w:jc w:val="both"/>
        <w:rPr>
          <w:rFonts w:asciiTheme="minorHAnsi" w:hAnsiTheme="minorHAnsi" w:cstheme="minorHAnsi"/>
          <w:sz w:val="24"/>
          <w:szCs w:val="24"/>
          <w:lang w:val="es-DO"/>
        </w:rPr>
      </w:pPr>
      <w:r w:rsidRPr="009564E2">
        <w:rPr>
          <w:rFonts w:asciiTheme="minorHAnsi" w:hAnsiTheme="minorHAnsi" w:cstheme="minorHAnsi"/>
          <w:sz w:val="24"/>
          <w:szCs w:val="24"/>
          <w:lang w:val="es-DO"/>
        </w:rPr>
        <w:t>Las galletas dulces y saladas de todo tipo, incluidas aquellas simples, rellenas o recubiertas, elaboradas principalmente a base de harinas de cereales, grasas, azúcar o sal, y clasificadas bajo las subpartidas arancelarias 1905.31.90, 1905.32.00, 1905.90.10 y 1905.90.90 del Arancel de Aduanas de la República Dominicana. Estos productos, aunque presentan variedad en su forma, sabor, textura, contenido nutricional y tipo de empaque, comparten características esenciales en cuanto a composición básica, proceso de producción, uso final como alimento de consumo directo y canales de comercialización, lo que permite considerarlos como un conjunto homogéneo para fines de la presente investigación.</w:t>
      </w:r>
    </w:p>
    <w:p w14:paraId="4773B9A2" w14:textId="77777777" w:rsidR="001F6759" w:rsidRPr="009564E2" w:rsidRDefault="001F6759" w:rsidP="001F6759">
      <w:pPr>
        <w:spacing w:line="240" w:lineRule="auto"/>
        <w:jc w:val="both"/>
        <w:rPr>
          <w:rFonts w:asciiTheme="minorHAnsi" w:hAnsiTheme="minorHAnsi" w:cstheme="minorHAnsi"/>
          <w:sz w:val="24"/>
          <w:szCs w:val="24"/>
          <w:lang w:val="es-DO"/>
        </w:rPr>
      </w:pPr>
      <w:r w:rsidRPr="009564E2">
        <w:rPr>
          <w:rFonts w:asciiTheme="minorHAnsi" w:hAnsiTheme="minorHAnsi" w:cstheme="minorHAnsi"/>
          <w:sz w:val="24"/>
          <w:szCs w:val="24"/>
          <w:lang w:val="es-DO"/>
        </w:rPr>
        <w:t>En conformidad con lo dispuesto en el Artículo 2.1 del Acuerdo sobre Salvaguardias de la OMC, el producto definido se corresponde con una categoría de bienes que son similares o directamente competidores (perfectamente sustituibles) entre sí y con los productos fabricados por la rama de producción nacional. Estas galletas, independientemente de sus presentaciones individuales, cumplen la misma función económica y satisfacen la misma necesidad del consumidor, por lo que compiten en igualdad de condiciones en el mercado nacional.</w:t>
      </w:r>
    </w:p>
    <w:p w14:paraId="59480D0B" w14:textId="1C59223C" w:rsidR="004120F1" w:rsidRPr="004120F1" w:rsidRDefault="004120F1" w:rsidP="004120F1">
      <w:pPr>
        <w:spacing w:line="240" w:lineRule="auto"/>
        <w:jc w:val="both"/>
        <w:rPr>
          <w:rFonts w:asciiTheme="minorHAnsi" w:hAnsiTheme="minorHAnsi" w:cstheme="minorHAnsi"/>
          <w:color w:val="000000" w:themeColor="text1"/>
          <w:sz w:val="24"/>
          <w:szCs w:val="24"/>
        </w:rPr>
      </w:pPr>
      <w:r w:rsidRPr="004120F1">
        <w:rPr>
          <w:rFonts w:asciiTheme="minorHAnsi" w:hAnsiTheme="minorHAnsi" w:cstheme="minorHAnsi"/>
          <w:color w:val="000000" w:themeColor="text1"/>
          <w:sz w:val="24"/>
          <w:szCs w:val="24"/>
        </w:rPr>
        <w:t>Se comercializan en una amplia variedad de presentaciones, formas y sabores. Las galletas son productos de consumo masivo de alta rotación, con canales de comercialización tanto en autoservicios como en tiendas de conveniencia. Su producción combina procesos industriales automatizados con estándares de calidad y seguridad alimentaria definidos por normativas nacionales e internacionales.</w:t>
      </w:r>
    </w:p>
    <w:p w14:paraId="4EB96A82" w14:textId="28590660" w:rsidR="0050264A" w:rsidRPr="004120F1" w:rsidRDefault="004120F1" w:rsidP="004120F1">
      <w:pPr>
        <w:spacing w:line="240" w:lineRule="auto"/>
        <w:jc w:val="both"/>
        <w:rPr>
          <w:rFonts w:asciiTheme="minorHAnsi" w:hAnsiTheme="minorHAnsi" w:cstheme="minorHAnsi"/>
          <w:color w:val="000000" w:themeColor="text1"/>
          <w:sz w:val="24"/>
          <w:szCs w:val="24"/>
        </w:rPr>
      </w:pPr>
      <w:r w:rsidRPr="004120F1">
        <w:rPr>
          <w:rFonts w:asciiTheme="minorHAnsi" w:hAnsiTheme="minorHAnsi" w:cstheme="minorHAnsi"/>
          <w:color w:val="000000" w:themeColor="text1"/>
          <w:sz w:val="24"/>
          <w:szCs w:val="24"/>
        </w:rPr>
        <w:t>Para efectos de la investigación antidumping, las galletas objeto de análisis so</w:t>
      </w:r>
      <w:r w:rsidR="00D80E68">
        <w:rPr>
          <w:rFonts w:asciiTheme="minorHAnsi" w:hAnsiTheme="minorHAnsi" w:cstheme="minorHAnsi"/>
          <w:color w:val="000000" w:themeColor="text1"/>
          <w:sz w:val="24"/>
          <w:szCs w:val="24"/>
        </w:rPr>
        <w:t>n</w:t>
      </w:r>
      <w:r w:rsidRPr="004120F1">
        <w:rPr>
          <w:rFonts w:asciiTheme="minorHAnsi" w:hAnsiTheme="minorHAnsi" w:cstheme="minorHAnsi"/>
          <w:color w:val="000000" w:themeColor="text1"/>
          <w:sz w:val="24"/>
          <w:szCs w:val="24"/>
        </w:rPr>
        <w:t xml:space="preserve"> aquellas fabricadas industrialmente, en presentaciones unitarias o multipack, destinadas al consumo directo, sin necesidad de cocción adicional. Es importante considerar que, en términos comerciales, estas galletas compiten tanto por precio como por posicionamiento de marca, sabor, empaque y presencia en los canales de distribución.</w:t>
      </w:r>
    </w:p>
    <w:p w14:paraId="4856F757" w14:textId="77777777" w:rsidR="00F22042" w:rsidRDefault="0050264A" w:rsidP="00905917">
      <w:pPr>
        <w:spacing w:line="240" w:lineRule="auto"/>
        <w:jc w:val="both"/>
        <w:rPr>
          <w:rFonts w:asciiTheme="minorHAnsi" w:hAnsiTheme="minorHAnsi" w:cstheme="minorHAnsi"/>
          <w:b/>
          <w:sz w:val="24"/>
          <w:szCs w:val="24"/>
        </w:rPr>
      </w:pPr>
      <w:r w:rsidRPr="009564E2">
        <w:rPr>
          <w:rFonts w:asciiTheme="minorHAnsi" w:hAnsiTheme="minorHAnsi" w:cstheme="minorHAnsi"/>
          <w:b/>
          <w:sz w:val="24"/>
          <w:szCs w:val="24"/>
        </w:rPr>
        <w:t xml:space="preserve">II.3:- Orígenes del bien importado en las condiciones denunciadas: </w:t>
      </w:r>
    </w:p>
    <w:p w14:paraId="0C24677E" w14:textId="31B550CE" w:rsidR="004120F1" w:rsidRDefault="003B0A41" w:rsidP="00905917">
      <w:pPr>
        <w:spacing w:line="240" w:lineRule="auto"/>
        <w:jc w:val="both"/>
        <w:rPr>
          <w:rFonts w:asciiTheme="minorHAnsi" w:hAnsiTheme="minorHAnsi" w:cstheme="minorHAnsi"/>
          <w:sz w:val="24"/>
          <w:szCs w:val="24"/>
        </w:rPr>
      </w:pPr>
      <w:r>
        <w:rPr>
          <w:rFonts w:asciiTheme="minorHAnsi" w:hAnsiTheme="minorHAnsi" w:cstheme="minorHAnsi"/>
          <w:sz w:val="24"/>
          <w:szCs w:val="24"/>
        </w:rPr>
        <w:t xml:space="preserve">En base a los registros de importaciones de la Direccion General de Aduanas, en el 2024 se realizaron importaciones de los siguientes orígenes </w:t>
      </w:r>
      <w:r w:rsidRPr="003B0A41">
        <w:rPr>
          <w:rFonts w:asciiTheme="minorHAnsi" w:hAnsiTheme="minorHAnsi" w:cstheme="minorHAnsi"/>
          <w:sz w:val="24"/>
          <w:szCs w:val="24"/>
        </w:rPr>
        <w:t>PERU</w:t>
      </w:r>
      <w:r>
        <w:rPr>
          <w:rFonts w:asciiTheme="minorHAnsi" w:hAnsiTheme="minorHAnsi" w:cstheme="minorHAnsi"/>
          <w:sz w:val="24"/>
          <w:szCs w:val="24"/>
        </w:rPr>
        <w:t xml:space="preserve">, </w:t>
      </w:r>
      <w:r w:rsidRPr="003B0A41">
        <w:rPr>
          <w:rFonts w:asciiTheme="minorHAnsi" w:hAnsiTheme="minorHAnsi" w:cstheme="minorHAnsi"/>
          <w:sz w:val="24"/>
          <w:szCs w:val="24"/>
        </w:rPr>
        <w:t>INDIA</w:t>
      </w:r>
      <w:r>
        <w:rPr>
          <w:rFonts w:asciiTheme="minorHAnsi" w:hAnsiTheme="minorHAnsi" w:cstheme="minorHAnsi"/>
          <w:sz w:val="24"/>
          <w:szCs w:val="24"/>
        </w:rPr>
        <w:t xml:space="preserve">, </w:t>
      </w:r>
      <w:r w:rsidRPr="003B0A41">
        <w:rPr>
          <w:rFonts w:asciiTheme="minorHAnsi" w:hAnsiTheme="minorHAnsi" w:cstheme="minorHAnsi"/>
          <w:sz w:val="24"/>
          <w:szCs w:val="24"/>
        </w:rPr>
        <w:t>MEXICO</w:t>
      </w:r>
      <w:r>
        <w:rPr>
          <w:rFonts w:asciiTheme="minorHAnsi" w:hAnsiTheme="minorHAnsi" w:cstheme="minorHAnsi"/>
          <w:sz w:val="24"/>
          <w:szCs w:val="24"/>
        </w:rPr>
        <w:t xml:space="preserve">, </w:t>
      </w:r>
      <w:r w:rsidRPr="003B0A41">
        <w:rPr>
          <w:rFonts w:asciiTheme="minorHAnsi" w:hAnsiTheme="minorHAnsi" w:cstheme="minorHAnsi"/>
          <w:sz w:val="24"/>
          <w:szCs w:val="24"/>
        </w:rPr>
        <w:t>COLOMBIA</w:t>
      </w:r>
      <w:r>
        <w:rPr>
          <w:rFonts w:asciiTheme="minorHAnsi" w:hAnsiTheme="minorHAnsi" w:cstheme="minorHAnsi"/>
          <w:sz w:val="24"/>
          <w:szCs w:val="24"/>
        </w:rPr>
        <w:t xml:space="preserve">, </w:t>
      </w:r>
      <w:r w:rsidRPr="003B0A41">
        <w:rPr>
          <w:rFonts w:asciiTheme="minorHAnsi" w:hAnsiTheme="minorHAnsi" w:cstheme="minorHAnsi"/>
          <w:sz w:val="24"/>
          <w:szCs w:val="24"/>
        </w:rPr>
        <w:t>TURQUIA</w:t>
      </w:r>
      <w:r>
        <w:rPr>
          <w:rFonts w:asciiTheme="minorHAnsi" w:hAnsiTheme="minorHAnsi" w:cstheme="minorHAnsi"/>
          <w:sz w:val="24"/>
          <w:szCs w:val="24"/>
        </w:rPr>
        <w:t xml:space="preserve">, </w:t>
      </w:r>
      <w:r w:rsidRPr="003B0A41">
        <w:rPr>
          <w:rFonts w:asciiTheme="minorHAnsi" w:hAnsiTheme="minorHAnsi" w:cstheme="minorHAnsi"/>
          <w:sz w:val="24"/>
          <w:szCs w:val="24"/>
        </w:rPr>
        <w:t>BRASIL</w:t>
      </w:r>
      <w:r>
        <w:rPr>
          <w:rFonts w:asciiTheme="minorHAnsi" w:hAnsiTheme="minorHAnsi" w:cstheme="minorHAnsi"/>
          <w:sz w:val="24"/>
          <w:szCs w:val="24"/>
        </w:rPr>
        <w:t xml:space="preserve">, </w:t>
      </w:r>
      <w:r w:rsidRPr="003B0A41">
        <w:rPr>
          <w:rFonts w:asciiTheme="minorHAnsi" w:hAnsiTheme="minorHAnsi" w:cstheme="minorHAnsi"/>
          <w:sz w:val="24"/>
          <w:szCs w:val="24"/>
        </w:rPr>
        <w:t>CHINA</w:t>
      </w:r>
      <w:r>
        <w:rPr>
          <w:rFonts w:asciiTheme="minorHAnsi" w:hAnsiTheme="minorHAnsi" w:cstheme="minorHAnsi"/>
          <w:sz w:val="24"/>
          <w:szCs w:val="24"/>
        </w:rPr>
        <w:t xml:space="preserve">, </w:t>
      </w:r>
      <w:r w:rsidRPr="003B0A41">
        <w:rPr>
          <w:rFonts w:asciiTheme="minorHAnsi" w:hAnsiTheme="minorHAnsi" w:cstheme="minorHAnsi"/>
          <w:sz w:val="24"/>
          <w:szCs w:val="24"/>
        </w:rPr>
        <w:t>CANADA</w:t>
      </w:r>
      <w:r>
        <w:rPr>
          <w:rFonts w:asciiTheme="minorHAnsi" w:hAnsiTheme="minorHAnsi" w:cstheme="minorHAnsi"/>
          <w:sz w:val="24"/>
          <w:szCs w:val="24"/>
        </w:rPr>
        <w:t xml:space="preserve">, </w:t>
      </w:r>
      <w:r w:rsidRPr="003B0A41">
        <w:rPr>
          <w:rFonts w:asciiTheme="minorHAnsi" w:hAnsiTheme="minorHAnsi" w:cstheme="minorHAnsi"/>
          <w:sz w:val="24"/>
          <w:szCs w:val="24"/>
        </w:rPr>
        <w:t>EGIPTO</w:t>
      </w:r>
      <w:r>
        <w:rPr>
          <w:rFonts w:asciiTheme="minorHAnsi" w:hAnsiTheme="minorHAnsi" w:cstheme="minorHAnsi"/>
          <w:sz w:val="24"/>
          <w:szCs w:val="24"/>
        </w:rPr>
        <w:t xml:space="preserve">, </w:t>
      </w:r>
      <w:r w:rsidRPr="003B0A41">
        <w:rPr>
          <w:rFonts w:asciiTheme="minorHAnsi" w:hAnsiTheme="minorHAnsi" w:cstheme="minorHAnsi"/>
          <w:sz w:val="24"/>
          <w:szCs w:val="24"/>
        </w:rPr>
        <w:t>CHILE</w:t>
      </w:r>
      <w:r>
        <w:rPr>
          <w:rFonts w:asciiTheme="minorHAnsi" w:hAnsiTheme="minorHAnsi" w:cstheme="minorHAnsi"/>
          <w:sz w:val="24"/>
          <w:szCs w:val="24"/>
        </w:rPr>
        <w:t xml:space="preserve">, </w:t>
      </w:r>
      <w:r w:rsidRPr="003B0A41">
        <w:rPr>
          <w:rFonts w:asciiTheme="minorHAnsi" w:hAnsiTheme="minorHAnsi" w:cstheme="minorHAnsi"/>
          <w:sz w:val="24"/>
          <w:szCs w:val="24"/>
        </w:rPr>
        <w:t>PAKISTAN</w:t>
      </w:r>
      <w:r>
        <w:rPr>
          <w:rFonts w:asciiTheme="minorHAnsi" w:hAnsiTheme="minorHAnsi" w:cstheme="minorHAnsi"/>
          <w:sz w:val="24"/>
          <w:szCs w:val="24"/>
        </w:rPr>
        <w:t xml:space="preserve">, </w:t>
      </w:r>
      <w:r w:rsidRPr="003B0A41">
        <w:rPr>
          <w:rFonts w:asciiTheme="minorHAnsi" w:hAnsiTheme="minorHAnsi" w:cstheme="minorHAnsi"/>
          <w:sz w:val="24"/>
          <w:szCs w:val="24"/>
        </w:rPr>
        <w:t>INDONESIA</w:t>
      </w:r>
      <w:r>
        <w:rPr>
          <w:rFonts w:asciiTheme="minorHAnsi" w:hAnsiTheme="minorHAnsi" w:cstheme="minorHAnsi"/>
          <w:sz w:val="24"/>
          <w:szCs w:val="24"/>
        </w:rPr>
        <w:t xml:space="preserve">, </w:t>
      </w:r>
      <w:r w:rsidRPr="003B0A41">
        <w:rPr>
          <w:rFonts w:asciiTheme="minorHAnsi" w:hAnsiTheme="minorHAnsi" w:cstheme="minorHAnsi"/>
          <w:sz w:val="24"/>
          <w:szCs w:val="24"/>
        </w:rPr>
        <w:lastRenderedPageBreak/>
        <w:t>VENEZUELA</w:t>
      </w:r>
      <w:r>
        <w:rPr>
          <w:rFonts w:asciiTheme="minorHAnsi" w:hAnsiTheme="minorHAnsi" w:cstheme="minorHAnsi"/>
          <w:sz w:val="24"/>
          <w:szCs w:val="24"/>
        </w:rPr>
        <w:t xml:space="preserve">, </w:t>
      </w:r>
      <w:r w:rsidRPr="003B0A41">
        <w:rPr>
          <w:rFonts w:asciiTheme="minorHAnsi" w:hAnsiTheme="minorHAnsi" w:cstheme="minorHAnsi"/>
          <w:sz w:val="24"/>
          <w:szCs w:val="24"/>
        </w:rPr>
        <w:t>COREA DEL SUR</w:t>
      </w:r>
      <w:r>
        <w:rPr>
          <w:rFonts w:asciiTheme="minorHAnsi" w:hAnsiTheme="minorHAnsi" w:cstheme="minorHAnsi"/>
          <w:sz w:val="24"/>
          <w:szCs w:val="24"/>
        </w:rPr>
        <w:t xml:space="preserve"> y </w:t>
      </w:r>
      <w:r w:rsidRPr="003B0A41">
        <w:rPr>
          <w:rFonts w:asciiTheme="minorHAnsi" w:hAnsiTheme="minorHAnsi" w:cstheme="minorHAnsi"/>
          <w:sz w:val="24"/>
          <w:szCs w:val="24"/>
        </w:rPr>
        <w:t>AUSTRALIA</w:t>
      </w:r>
      <w:r>
        <w:rPr>
          <w:rFonts w:asciiTheme="minorHAnsi" w:hAnsiTheme="minorHAnsi" w:cstheme="minorHAnsi"/>
          <w:sz w:val="24"/>
          <w:szCs w:val="24"/>
        </w:rPr>
        <w:t xml:space="preserve"> (valores superiores a los US$10 mil dólares en el 2024</w:t>
      </w:r>
      <w:r w:rsidR="00F22042">
        <w:rPr>
          <w:rFonts w:asciiTheme="minorHAnsi" w:hAnsiTheme="minorHAnsi" w:cstheme="minorHAnsi"/>
          <w:sz w:val="24"/>
          <w:szCs w:val="24"/>
        </w:rPr>
        <w:t xml:space="preserve"> o mayores a US$25 mil en los últimos tres años</w:t>
      </w:r>
      <w:r>
        <w:rPr>
          <w:rFonts w:asciiTheme="minorHAnsi" w:hAnsiTheme="minorHAnsi" w:cstheme="minorHAnsi"/>
          <w:sz w:val="24"/>
          <w:szCs w:val="24"/>
        </w:rPr>
        <w:t xml:space="preserve">).  Estos orígenes excluyen a los países con los cuales la Republica Dominicana tiene tratados de libre comercio. </w:t>
      </w:r>
    </w:p>
    <w:p w14:paraId="0B90155C" w14:textId="77777777" w:rsidR="00187C95" w:rsidRDefault="0081729B" w:rsidP="00905917">
      <w:pPr>
        <w:spacing w:line="240" w:lineRule="auto"/>
        <w:jc w:val="both"/>
        <w:rPr>
          <w:rFonts w:asciiTheme="minorHAnsi" w:hAnsiTheme="minorHAnsi" w:cstheme="minorHAnsi"/>
          <w:b/>
          <w:sz w:val="24"/>
          <w:szCs w:val="24"/>
        </w:rPr>
      </w:pPr>
      <w:r w:rsidRPr="009564E2">
        <w:rPr>
          <w:rFonts w:asciiTheme="minorHAnsi" w:hAnsiTheme="minorHAnsi" w:cstheme="minorHAnsi"/>
          <w:b/>
          <w:sz w:val="24"/>
          <w:szCs w:val="24"/>
        </w:rPr>
        <w:t xml:space="preserve">II.4.- Comportamiento de las importaciones investigadas:  </w:t>
      </w:r>
      <w:r w:rsidR="00187C95" w:rsidRPr="009564E2">
        <w:rPr>
          <w:rFonts w:asciiTheme="minorHAnsi" w:hAnsiTheme="minorHAnsi" w:cstheme="minorHAnsi"/>
          <w:b/>
          <w:sz w:val="24"/>
          <w:szCs w:val="24"/>
        </w:rPr>
        <w:t xml:space="preserve"> </w:t>
      </w:r>
    </w:p>
    <w:p w14:paraId="788FB174" w14:textId="004A802A" w:rsidR="001B2BE3" w:rsidRPr="001B2BE3" w:rsidRDefault="001B2BE3" w:rsidP="00905917">
      <w:pPr>
        <w:spacing w:line="240" w:lineRule="auto"/>
        <w:jc w:val="both"/>
        <w:rPr>
          <w:rFonts w:asciiTheme="minorHAnsi" w:hAnsiTheme="minorHAnsi" w:cstheme="minorHAnsi"/>
          <w:bCs/>
          <w:sz w:val="24"/>
          <w:szCs w:val="24"/>
        </w:rPr>
      </w:pPr>
      <w:r>
        <w:rPr>
          <w:rFonts w:asciiTheme="minorHAnsi" w:hAnsiTheme="minorHAnsi" w:cstheme="minorHAnsi"/>
          <w:bCs/>
          <w:sz w:val="24"/>
          <w:szCs w:val="24"/>
        </w:rPr>
        <w:t xml:space="preserve">En el periodo 2022 al 2024, se aprecia un crecimiento súbito y substancial de las importaciones de galletas, particularmente en el </w:t>
      </w:r>
      <w:r w:rsidR="007563D0">
        <w:rPr>
          <w:rFonts w:asciiTheme="minorHAnsi" w:hAnsiTheme="minorHAnsi" w:cstheme="minorHAnsi"/>
          <w:bCs/>
          <w:sz w:val="24"/>
          <w:szCs w:val="24"/>
        </w:rPr>
        <w:t>último</w:t>
      </w:r>
      <w:r>
        <w:rPr>
          <w:rFonts w:asciiTheme="minorHAnsi" w:hAnsiTheme="minorHAnsi" w:cstheme="minorHAnsi"/>
          <w:bCs/>
          <w:sz w:val="24"/>
          <w:szCs w:val="24"/>
        </w:rPr>
        <w:t xml:space="preserve"> ano del 2024. </w:t>
      </w:r>
      <w:r w:rsidR="007563D0">
        <w:rPr>
          <w:rFonts w:asciiTheme="minorHAnsi" w:hAnsiTheme="minorHAnsi" w:cstheme="minorHAnsi"/>
          <w:bCs/>
          <w:sz w:val="24"/>
          <w:szCs w:val="24"/>
        </w:rPr>
        <w:t xml:space="preserve">  De acuerdo con las cifras depuradas de la </w:t>
      </w:r>
      <w:r w:rsidR="00722369">
        <w:rPr>
          <w:rFonts w:asciiTheme="minorHAnsi" w:hAnsiTheme="minorHAnsi" w:cstheme="minorHAnsi"/>
          <w:bCs/>
          <w:sz w:val="24"/>
          <w:szCs w:val="24"/>
        </w:rPr>
        <w:t>Dirección</w:t>
      </w:r>
      <w:r w:rsidR="007563D0">
        <w:rPr>
          <w:rFonts w:asciiTheme="minorHAnsi" w:hAnsiTheme="minorHAnsi" w:cstheme="minorHAnsi"/>
          <w:bCs/>
          <w:sz w:val="24"/>
          <w:szCs w:val="24"/>
        </w:rPr>
        <w:t xml:space="preserve"> General de Aduanas que se constatan en el Anexo 1 de este expediente, el volumen de importaciones aumento en un 5% entre el 2022 y el 2023, pasando a un importante 33.9% entre el 2023 y el 2024.  </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95"/>
        <w:gridCol w:w="185"/>
        <w:gridCol w:w="1780"/>
        <w:gridCol w:w="195"/>
        <w:gridCol w:w="1620"/>
        <w:gridCol w:w="25"/>
        <w:gridCol w:w="1595"/>
        <w:gridCol w:w="1440"/>
      </w:tblGrid>
      <w:tr w:rsidR="007563D0" w:rsidRPr="001B2BE3" w14:paraId="1CF28154" w14:textId="77777777" w:rsidTr="0036119C">
        <w:trPr>
          <w:gridAfter w:val="1"/>
          <w:wAfter w:w="1440" w:type="dxa"/>
          <w:trHeight w:val="620"/>
        </w:trPr>
        <w:tc>
          <w:tcPr>
            <w:tcW w:w="1795" w:type="dxa"/>
            <w:shd w:val="clear" w:color="99CCFF" w:fill="C0C0C0"/>
            <w:vAlign w:val="center"/>
            <w:hideMark/>
          </w:tcPr>
          <w:p w14:paraId="38E96656" w14:textId="335A6FE2" w:rsidR="007563D0" w:rsidRPr="001B2BE3" w:rsidRDefault="007563D0" w:rsidP="001B2BE3">
            <w:pPr>
              <w:spacing w:after="0" w:line="240" w:lineRule="auto"/>
              <w:jc w:val="center"/>
              <w:rPr>
                <w:rFonts w:ascii="Arial" w:eastAsia="Times New Roman" w:hAnsi="Arial" w:cs="Arial"/>
                <w:b/>
                <w:bCs/>
                <w:lang w:val="es-DO" w:eastAsia="es-DO"/>
              </w:rPr>
            </w:pPr>
            <w:r>
              <w:rPr>
                <w:rFonts w:ascii="Arial" w:eastAsia="Times New Roman" w:hAnsi="Arial" w:cs="Arial"/>
                <w:b/>
                <w:bCs/>
                <w:lang w:val="es-DO" w:eastAsia="es-DO"/>
              </w:rPr>
              <w:t>Volumen en KG</w:t>
            </w:r>
          </w:p>
        </w:tc>
        <w:tc>
          <w:tcPr>
            <w:tcW w:w="2160" w:type="dxa"/>
            <w:gridSpan w:val="3"/>
            <w:shd w:val="clear" w:color="99CCFF" w:fill="C0C0C0"/>
            <w:vAlign w:val="center"/>
            <w:hideMark/>
          </w:tcPr>
          <w:p w14:paraId="6D07B4C0" w14:textId="77777777" w:rsidR="007563D0" w:rsidRPr="001B2BE3" w:rsidRDefault="007563D0" w:rsidP="001B2BE3">
            <w:pPr>
              <w:spacing w:after="0" w:line="240" w:lineRule="auto"/>
              <w:jc w:val="center"/>
              <w:rPr>
                <w:rFonts w:ascii="Arial" w:eastAsia="Times New Roman" w:hAnsi="Arial" w:cs="Arial"/>
                <w:b/>
                <w:bCs/>
                <w:lang w:val="es-DO" w:eastAsia="es-DO"/>
              </w:rPr>
            </w:pPr>
            <w:r w:rsidRPr="001B2BE3">
              <w:rPr>
                <w:rFonts w:ascii="Arial" w:eastAsia="Times New Roman" w:hAnsi="Arial" w:cs="Arial"/>
                <w:b/>
                <w:bCs/>
                <w:lang w:val="es-DO" w:eastAsia="es-DO"/>
              </w:rPr>
              <w:t>2022</w:t>
            </w:r>
          </w:p>
        </w:tc>
        <w:tc>
          <w:tcPr>
            <w:tcW w:w="1620" w:type="dxa"/>
            <w:shd w:val="clear" w:color="99CCFF" w:fill="C0C0C0"/>
            <w:vAlign w:val="center"/>
            <w:hideMark/>
          </w:tcPr>
          <w:p w14:paraId="5BAE1CD7" w14:textId="77777777" w:rsidR="007563D0" w:rsidRPr="001B2BE3" w:rsidRDefault="007563D0" w:rsidP="001B2BE3">
            <w:pPr>
              <w:spacing w:after="0" w:line="240" w:lineRule="auto"/>
              <w:jc w:val="center"/>
              <w:rPr>
                <w:rFonts w:ascii="Arial" w:eastAsia="Times New Roman" w:hAnsi="Arial" w:cs="Arial"/>
                <w:b/>
                <w:bCs/>
                <w:lang w:val="es-DO" w:eastAsia="es-DO"/>
              </w:rPr>
            </w:pPr>
            <w:r w:rsidRPr="001B2BE3">
              <w:rPr>
                <w:rFonts w:ascii="Arial" w:eastAsia="Times New Roman" w:hAnsi="Arial" w:cs="Arial"/>
                <w:b/>
                <w:bCs/>
                <w:lang w:val="es-DO" w:eastAsia="es-DO"/>
              </w:rPr>
              <w:t>2023</w:t>
            </w:r>
          </w:p>
        </w:tc>
        <w:tc>
          <w:tcPr>
            <w:tcW w:w="1620" w:type="dxa"/>
            <w:gridSpan w:val="2"/>
            <w:shd w:val="clear" w:color="99CCFF" w:fill="C0C0C0"/>
            <w:vAlign w:val="center"/>
            <w:hideMark/>
          </w:tcPr>
          <w:p w14:paraId="41953DF2" w14:textId="77777777" w:rsidR="007563D0" w:rsidRPr="001B2BE3" w:rsidRDefault="007563D0" w:rsidP="001B2BE3">
            <w:pPr>
              <w:spacing w:after="0" w:line="240" w:lineRule="auto"/>
              <w:jc w:val="center"/>
              <w:rPr>
                <w:rFonts w:ascii="Arial" w:eastAsia="Times New Roman" w:hAnsi="Arial" w:cs="Arial"/>
                <w:b/>
                <w:bCs/>
                <w:lang w:val="es-DO" w:eastAsia="es-DO"/>
              </w:rPr>
            </w:pPr>
            <w:r w:rsidRPr="001B2BE3">
              <w:rPr>
                <w:rFonts w:ascii="Arial" w:eastAsia="Times New Roman" w:hAnsi="Arial" w:cs="Arial"/>
                <w:b/>
                <w:bCs/>
                <w:lang w:val="es-DO" w:eastAsia="es-DO"/>
              </w:rPr>
              <w:t>2024</w:t>
            </w:r>
          </w:p>
        </w:tc>
      </w:tr>
      <w:tr w:rsidR="007563D0" w:rsidRPr="001B2BE3" w14:paraId="1F7B8CEB" w14:textId="77777777" w:rsidTr="0036119C">
        <w:trPr>
          <w:gridAfter w:val="1"/>
          <w:wAfter w:w="1440" w:type="dxa"/>
          <w:trHeight w:val="300"/>
        </w:trPr>
        <w:tc>
          <w:tcPr>
            <w:tcW w:w="1795" w:type="dxa"/>
            <w:noWrap/>
            <w:vAlign w:val="bottom"/>
            <w:hideMark/>
          </w:tcPr>
          <w:p w14:paraId="2A848BD0" w14:textId="58C61CED" w:rsidR="007563D0" w:rsidRPr="001B2BE3" w:rsidRDefault="007563D0" w:rsidP="001B2BE3">
            <w:pPr>
              <w:spacing w:after="0" w:line="240" w:lineRule="auto"/>
              <w:rPr>
                <w:rFonts w:ascii="Aptos Narrow" w:eastAsia="Times New Roman" w:hAnsi="Aptos Narrow"/>
                <w:color w:val="000000"/>
                <w:lang w:val="es-DO" w:eastAsia="es-DO"/>
              </w:rPr>
            </w:pPr>
            <w:r w:rsidRPr="001B2BE3">
              <w:rPr>
                <w:rFonts w:ascii="Aptos Narrow" w:eastAsia="Times New Roman" w:hAnsi="Aptos Narrow"/>
                <w:color w:val="000000"/>
                <w:lang w:val="es-DO" w:eastAsia="es-DO"/>
              </w:rPr>
              <w:t>Total</w:t>
            </w:r>
            <w:r>
              <w:rPr>
                <w:rFonts w:ascii="Aptos Narrow" w:eastAsia="Times New Roman" w:hAnsi="Aptos Narrow"/>
                <w:color w:val="000000"/>
                <w:lang w:val="es-DO" w:eastAsia="es-DO"/>
              </w:rPr>
              <w:t xml:space="preserve"> de KG importados </w:t>
            </w:r>
          </w:p>
        </w:tc>
        <w:tc>
          <w:tcPr>
            <w:tcW w:w="2160" w:type="dxa"/>
            <w:gridSpan w:val="3"/>
            <w:noWrap/>
            <w:vAlign w:val="bottom"/>
            <w:hideMark/>
          </w:tcPr>
          <w:p w14:paraId="39F474BE" w14:textId="69C5C904" w:rsidR="007563D0" w:rsidRPr="001B2BE3" w:rsidRDefault="007563D0" w:rsidP="007563D0">
            <w:pPr>
              <w:spacing w:after="0" w:line="240" w:lineRule="auto"/>
              <w:jc w:val="center"/>
              <w:rPr>
                <w:rFonts w:ascii="Aptos Narrow" w:eastAsia="Times New Roman" w:hAnsi="Aptos Narrow"/>
                <w:b/>
                <w:bCs/>
                <w:color w:val="000000"/>
                <w:lang w:val="es-DO" w:eastAsia="es-DO"/>
              </w:rPr>
            </w:pPr>
            <w:r w:rsidRPr="001B2BE3">
              <w:rPr>
                <w:rFonts w:ascii="Aptos Narrow" w:eastAsia="Times New Roman" w:hAnsi="Aptos Narrow"/>
                <w:b/>
                <w:bCs/>
                <w:color w:val="000000"/>
                <w:lang w:val="es-DO" w:eastAsia="es-DO"/>
              </w:rPr>
              <w:t>25,433,576</w:t>
            </w:r>
          </w:p>
        </w:tc>
        <w:tc>
          <w:tcPr>
            <w:tcW w:w="1620" w:type="dxa"/>
            <w:noWrap/>
            <w:vAlign w:val="bottom"/>
            <w:hideMark/>
          </w:tcPr>
          <w:p w14:paraId="722F701E" w14:textId="7BBBCD5D" w:rsidR="007563D0" w:rsidRPr="001B2BE3" w:rsidRDefault="007563D0" w:rsidP="007563D0">
            <w:pPr>
              <w:spacing w:after="0" w:line="240" w:lineRule="auto"/>
              <w:jc w:val="center"/>
              <w:rPr>
                <w:rFonts w:ascii="Aptos Narrow" w:eastAsia="Times New Roman" w:hAnsi="Aptos Narrow"/>
                <w:b/>
                <w:bCs/>
                <w:color w:val="000000"/>
                <w:lang w:val="es-DO" w:eastAsia="es-DO"/>
              </w:rPr>
            </w:pPr>
            <w:r w:rsidRPr="001B2BE3">
              <w:rPr>
                <w:rFonts w:ascii="Aptos Narrow" w:eastAsia="Times New Roman" w:hAnsi="Aptos Narrow"/>
                <w:b/>
                <w:bCs/>
                <w:color w:val="000000"/>
                <w:lang w:val="es-DO" w:eastAsia="es-DO"/>
              </w:rPr>
              <w:t>26,716,356</w:t>
            </w:r>
          </w:p>
        </w:tc>
        <w:tc>
          <w:tcPr>
            <w:tcW w:w="1620" w:type="dxa"/>
            <w:gridSpan w:val="2"/>
            <w:noWrap/>
            <w:vAlign w:val="bottom"/>
            <w:hideMark/>
          </w:tcPr>
          <w:p w14:paraId="20ED1999" w14:textId="34539772" w:rsidR="007563D0" w:rsidRPr="001B2BE3" w:rsidRDefault="007563D0" w:rsidP="007563D0">
            <w:pPr>
              <w:spacing w:after="0" w:line="240" w:lineRule="auto"/>
              <w:jc w:val="center"/>
              <w:rPr>
                <w:rFonts w:ascii="Aptos Narrow" w:eastAsia="Times New Roman" w:hAnsi="Aptos Narrow"/>
                <w:b/>
                <w:bCs/>
                <w:color w:val="000000"/>
                <w:lang w:val="es-DO" w:eastAsia="es-DO"/>
              </w:rPr>
            </w:pPr>
            <w:r w:rsidRPr="001B2BE3">
              <w:rPr>
                <w:rFonts w:ascii="Aptos Narrow" w:eastAsia="Times New Roman" w:hAnsi="Aptos Narrow"/>
                <w:b/>
                <w:bCs/>
                <w:color w:val="000000"/>
                <w:lang w:val="es-DO" w:eastAsia="es-DO"/>
              </w:rPr>
              <w:t>35,777,638</w:t>
            </w:r>
          </w:p>
        </w:tc>
      </w:tr>
      <w:tr w:rsidR="001B2BE3" w:rsidRPr="001B2BE3" w14:paraId="481C7813" w14:textId="77777777" w:rsidTr="00361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0" w:type="dxa"/>
            <w:gridSpan w:val="2"/>
            <w:tcBorders>
              <w:top w:val="single" w:sz="4" w:space="0" w:color="auto"/>
              <w:left w:val="single" w:sz="4" w:space="0" w:color="auto"/>
              <w:bottom w:val="single" w:sz="4" w:space="0" w:color="auto"/>
              <w:right w:val="single" w:sz="4" w:space="0" w:color="auto"/>
            </w:tcBorders>
            <w:noWrap/>
            <w:vAlign w:val="bottom"/>
            <w:hideMark/>
          </w:tcPr>
          <w:p w14:paraId="41C5DC89" w14:textId="77777777" w:rsidR="001B2BE3" w:rsidRPr="001B2BE3" w:rsidRDefault="001B2BE3" w:rsidP="001B2BE3">
            <w:pPr>
              <w:spacing w:after="0" w:line="240" w:lineRule="auto"/>
              <w:rPr>
                <w:rFonts w:ascii="Aptos Narrow" w:eastAsia="Times New Roman" w:hAnsi="Aptos Narrow"/>
                <w:color w:val="000000"/>
                <w:lang w:val="es-DO" w:eastAsia="es-DO"/>
              </w:rPr>
            </w:pPr>
            <w:r w:rsidRPr="001B2BE3">
              <w:rPr>
                <w:rFonts w:ascii="Aptos Narrow" w:eastAsia="Times New Roman" w:hAnsi="Aptos Narrow"/>
                <w:color w:val="000000"/>
                <w:lang w:val="es-DO" w:eastAsia="es-DO"/>
              </w:rPr>
              <w:t> </w:t>
            </w:r>
          </w:p>
        </w:tc>
        <w:tc>
          <w:tcPr>
            <w:tcW w:w="6655" w:type="dxa"/>
            <w:gridSpan w:val="6"/>
            <w:tcBorders>
              <w:top w:val="single" w:sz="4" w:space="0" w:color="auto"/>
              <w:left w:val="nil"/>
              <w:bottom w:val="single" w:sz="4" w:space="0" w:color="auto"/>
              <w:right w:val="single" w:sz="4" w:space="0" w:color="auto"/>
            </w:tcBorders>
            <w:shd w:val="clear" w:color="99CC00" w:fill="C0C0C0"/>
            <w:vAlign w:val="center"/>
            <w:hideMark/>
          </w:tcPr>
          <w:p w14:paraId="5EAA58C5" w14:textId="77777777" w:rsidR="001B2BE3" w:rsidRPr="001B2BE3" w:rsidRDefault="001B2BE3" w:rsidP="001B2BE3">
            <w:pPr>
              <w:spacing w:after="0" w:line="240" w:lineRule="auto"/>
              <w:jc w:val="center"/>
              <w:rPr>
                <w:rFonts w:ascii="Arial" w:eastAsia="Times New Roman" w:hAnsi="Arial" w:cs="Arial"/>
                <w:b/>
                <w:bCs/>
                <w:lang w:val="es-DO" w:eastAsia="es-DO"/>
              </w:rPr>
            </w:pPr>
            <w:r w:rsidRPr="001B2BE3">
              <w:rPr>
                <w:rFonts w:ascii="Arial" w:eastAsia="Times New Roman" w:hAnsi="Arial" w:cs="Arial"/>
                <w:b/>
                <w:bCs/>
                <w:lang w:val="es-DO" w:eastAsia="es-DO"/>
              </w:rPr>
              <w:t>Variación porcentual Volumen (%)</w:t>
            </w:r>
          </w:p>
        </w:tc>
      </w:tr>
      <w:tr w:rsidR="001B2BE3" w:rsidRPr="001B2BE3" w14:paraId="25FE349E" w14:textId="77777777" w:rsidTr="00361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47"/>
        </w:trPr>
        <w:tc>
          <w:tcPr>
            <w:tcW w:w="1980" w:type="dxa"/>
            <w:gridSpan w:val="2"/>
            <w:tcBorders>
              <w:top w:val="nil"/>
              <w:left w:val="single" w:sz="4" w:space="0" w:color="auto"/>
              <w:bottom w:val="single" w:sz="4" w:space="0" w:color="auto"/>
              <w:right w:val="single" w:sz="4" w:space="0" w:color="auto"/>
            </w:tcBorders>
            <w:shd w:val="clear" w:color="99CCFF" w:fill="C0C0C0"/>
            <w:vAlign w:val="center"/>
            <w:hideMark/>
          </w:tcPr>
          <w:p w14:paraId="07374A12" w14:textId="6F3C2258" w:rsidR="001B2BE3" w:rsidRPr="001B2BE3" w:rsidRDefault="001B2BE3" w:rsidP="001B2BE3">
            <w:pPr>
              <w:spacing w:after="0" w:line="240" w:lineRule="auto"/>
              <w:jc w:val="center"/>
              <w:rPr>
                <w:rFonts w:ascii="Arial" w:eastAsia="Times New Roman" w:hAnsi="Arial" w:cs="Arial"/>
                <w:b/>
                <w:bCs/>
                <w:lang w:val="es-DO" w:eastAsia="es-DO"/>
              </w:rPr>
            </w:pPr>
          </w:p>
        </w:tc>
        <w:tc>
          <w:tcPr>
            <w:tcW w:w="1780" w:type="dxa"/>
            <w:tcBorders>
              <w:top w:val="nil"/>
              <w:left w:val="nil"/>
              <w:bottom w:val="single" w:sz="4" w:space="0" w:color="auto"/>
              <w:right w:val="single" w:sz="4" w:space="0" w:color="auto"/>
            </w:tcBorders>
            <w:shd w:val="clear" w:color="99CC00" w:fill="C0C0C0"/>
            <w:vAlign w:val="center"/>
            <w:hideMark/>
          </w:tcPr>
          <w:p w14:paraId="37B6DC36" w14:textId="77777777" w:rsidR="007563D0" w:rsidRDefault="001B2BE3" w:rsidP="001B2BE3">
            <w:pPr>
              <w:spacing w:after="0" w:line="240" w:lineRule="auto"/>
              <w:jc w:val="center"/>
              <w:rPr>
                <w:rFonts w:ascii="Arial" w:eastAsia="Times New Roman" w:hAnsi="Arial" w:cs="Arial"/>
                <w:b/>
                <w:bCs/>
                <w:lang w:val="es-DO" w:eastAsia="es-DO"/>
              </w:rPr>
            </w:pPr>
            <w:r w:rsidRPr="001B2BE3">
              <w:rPr>
                <w:rFonts w:ascii="Arial" w:eastAsia="Times New Roman" w:hAnsi="Arial" w:cs="Arial"/>
                <w:b/>
                <w:bCs/>
                <w:lang w:val="es-DO" w:eastAsia="es-DO"/>
              </w:rPr>
              <w:t xml:space="preserve">Año 2023 / </w:t>
            </w:r>
          </w:p>
          <w:p w14:paraId="6F214DDB" w14:textId="6B1FA2D6" w:rsidR="001B2BE3" w:rsidRPr="001B2BE3" w:rsidRDefault="001B2BE3" w:rsidP="001B2BE3">
            <w:pPr>
              <w:spacing w:after="0" w:line="240" w:lineRule="auto"/>
              <w:jc w:val="center"/>
              <w:rPr>
                <w:rFonts w:ascii="Arial" w:eastAsia="Times New Roman" w:hAnsi="Arial" w:cs="Arial"/>
                <w:b/>
                <w:bCs/>
                <w:lang w:val="es-DO" w:eastAsia="es-DO"/>
              </w:rPr>
            </w:pPr>
            <w:r w:rsidRPr="001B2BE3">
              <w:rPr>
                <w:rFonts w:ascii="Arial" w:eastAsia="Times New Roman" w:hAnsi="Arial" w:cs="Arial"/>
                <w:b/>
                <w:bCs/>
                <w:lang w:val="es-DO" w:eastAsia="es-DO"/>
              </w:rPr>
              <w:t>Año 2022</w:t>
            </w:r>
          </w:p>
        </w:tc>
        <w:tc>
          <w:tcPr>
            <w:tcW w:w="1840" w:type="dxa"/>
            <w:gridSpan w:val="3"/>
            <w:tcBorders>
              <w:top w:val="nil"/>
              <w:left w:val="nil"/>
              <w:bottom w:val="single" w:sz="4" w:space="0" w:color="auto"/>
              <w:right w:val="single" w:sz="4" w:space="0" w:color="auto"/>
            </w:tcBorders>
            <w:shd w:val="clear" w:color="99CC00" w:fill="C0C0C0"/>
            <w:vAlign w:val="center"/>
            <w:hideMark/>
          </w:tcPr>
          <w:p w14:paraId="6E737AB6" w14:textId="77777777" w:rsidR="007563D0" w:rsidRDefault="001B2BE3" w:rsidP="001B2BE3">
            <w:pPr>
              <w:spacing w:after="0" w:line="240" w:lineRule="auto"/>
              <w:jc w:val="center"/>
              <w:rPr>
                <w:rFonts w:ascii="Arial" w:eastAsia="Times New Roman" w:hAnsi="Arial" w:cs="Arial"/>
                <w:b/>
                <w:bCs/>
                <w:lang w:val="es-DO" w:eastAsia="es-DO"/>
              </w:rPr>
            </w:pPr>
            <w:r w:rsidRPr="001B2BE3">
              <w:rPr>
                <w:rFonts w:ascii="Arial" w:eastAsia="Times New Roman" w:hAnsi="Arial" w:cs="Arial"/>
                <w:b/>
                <w:bCs/>
                <w:lang w:val="es-DO" w:eastAsia="es-DO"/>
              </w:rPr>
              <w:t xml:space="preserve">Año 2024 / </w:t>
            </w:r>
          </w:p>
          <w:p w14:paraId="6BB4C909" w14:textId="7D2ACFD1" w:rsidR="001B2BE3" w:rsidRPr="001B2BE3" w:rsidRDefault="001B2BE3" w:rsidP="001B2BE3">
            <w:pPr>
              <w:spacing w:after="0" w:line="240" w:lineRule="auto"/>
              <w:jc w:val="center"/>
              <w:rPr>
                <w:rFonts w:ascii="Arial" w:eastAsia="Times New Roman" w:hAnsi="Arial" w:cs="Arial"/>
                <w:b/>
                <w:bCs/>
                <w:lang w:val="es-DO" w:eastAsia="es-DO"/>
              </w:rPr>
            </w:pPr>
            <w:r w:rsidRPr="001B2BE3">
              <w:rPr>
                <w:rFonts w:ascii="Arial" w:eastAsia="Times New Roman" w:hAnsi="Arial" w:cs="Arial"/>
                <w:b/>
                <w:bCs/>
                <w:lang w:val="es-DO" w:eastAsia="es-DO"/>
              </w:rPr>
              <w:t>Año 2023</w:t>
            </w:r>
          </w:p>
        </w:tc>
        <w:tc>
          <w:tcPr>
            <w:tcW w:w="1595" w:type="dxa"/>
            <w:tcBorders>
              <w:top w:val="nil"/>
              <w:left w:val="nil"/>
              <w:bottom w:val="single" w:sz="4" w:space="0" w:color="auto"/>
              <w:right w:val="single" w:sz="4" w:space="0" w:color="auto"/>
            </w:tcBorders>
            <w:shd w:val="clear" w:color="99CC00" w:fill="C0C0C0"/>
            <w:vAlign w:val="center"/>
            <w:hideMark/>
          </w:tcPr>
          <w:p w14:paraId="7034F20E" w14:textId="77777777" w:rsidR="007563D0" w:rsidRDefault="001B2BE3" w:rsidP="001B2BE3">
            <w:pPr>
              <w:spacing w:after="0" w:line="240" w:lineRule="auto"/>
              <w:jc w:val="center"/>
              <w:rPr>
                <w:rFonts w:ascii="Arial" w:eastAsia="Times New Roman" w:hAnsi="Arial" w:cs="Arial"/>
                <w:b/>
                <w:bCs/>
                <w:lang w:val="es-DO" w:eastAsia="es-DO"/>
              </w:rPr>
            </w:pPr>
            <w:r w:rsidRPr="001B2BE3">
              <w:rPr>
                <w:rFonts w:ascii="Arial" w:eastAsia="Times New Roman" w:hAnsi="Arial" w:cs="Arial"/>
                <w:b/>
                <w:bCs/>
                <w:lang w:val="es-DO" w:eastAsia="es-DO"/>
              </w:rPr>
              <w:t xml:space="preserve">Año 2024 / </w:t>
            </w:r>
          </w:p>
          <w:p w14:paraId="11914F7D" w14:textId="5F3786A3" w:rsidR="001B2BE3" w:rsidRPr="001B2BE3" w:rsidRDefault="001B2BE3" w:rsidP="001B2BE3">
            <w:pPr>
              <w:spacing w:after="0" w:line="240" w:lineRule="auto"/>
              <w:jc w:val="center"/>
              <w:rPr>
                <w:rFonts w:ascii="Arial" w:eastAsia="Times New Roman" w:hAnsi="Arial" w:cs="Arial"/>
                <w:b/>
                <w:bCs/>
                <w:lang w:val="es-DO" w:eastAsia="es-DO"/>
              </w:rPr>
            </w:pPr>
            <w:r w:rsidRPr="001B2BE3">
              <w:rPr>
                <w:rFonts w:ascii="Arial" w:eastAsia="Times New Roman" w:hAnsi="Arial" w:cs="Arial"/>
                <w:b/>
                <w:bCs/>
                <w:lang w:val="es-DO" w:eastAsia="es-DO"/>
              </w:rPr>
              <w:t>Año 2022</w:t>
            </w:r>
          </w:p>
        </w:tc>
        <w:tc>
          <w:tcPr>
            <w:tcW w:w="1440" w:type="dxa"/>
            <w:tcBorders>
              <w:top w:val="nil"/>
              <w:left w:val="nil"/>
              <w:bottom w:val="single" w:sz="4" w:space="0" w:color="auto"/>
              <w:right w:val="single" w:sz="4" w:space="0" w:color="auto"/>
            </w:tcBorders>
            <w:shd w:val="clear" w:color="99CC00" w:fill="C0C0C0"/>
            <w:vAlign w:val="center"/>
            <w:hideMark/>
          </w:tcPr>
          <w:p w14:paraId="0EA33393" w14:textId="77777777" w:rsidR="001B2BE3" w:rsidRPr="001B2BE3" w:rsidRDefault="001B2BE3" w:rsidP="001B2BE3">
            <w:pPr>
              <w:spacing w:after="0" w:line="240" w:lineRule="auto"/>
              <w:jc w:val="center"/>
              <w:rPr>
                <w:rFonts w:ascii="Arial" w:eastAsia="Times New Roman" w:hAnsi="Arial" w:cs="Arial"/>
                <w:b/>
                <w:bCs/>
                <w:lang w:val="es-DO" w:eastAsia="es-DO"/>
              </w:rPr>
            </w:pPr>
            <w:r w:rsidRPr="001B2BE3">
              <w:rPr>
                <w:rFonts w:ascii="Arial" w:eastAsia="Times New Roman" w:hAnsi="Arial" w:cs="Arial"/>
                <w:b/>
                <w:bCs/>
                <w:lang w:val="es-DO" w:eastAsia="es-DO"/>
              </w:rPr>
              <w:t>Ene Mar 2024 / Ene - Mar 2025</w:t>
            </w:r>
          </w:p>
        </w:tc>
      </w:tr>
      <w:tr w:rsidR="001B2BE3" w:rsidRPr="001B2BE3" w14:paraId="713AED2C" w14:textId="77777777" w:rsidTr="00361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980" w:type="dxa"/>
            <w:gridSpan w:val="2"/>
            <w:tcBorders>
              <w:top w:val="nil"/>
              <w:left w:val="single" w:sz="4" w:space="0" w:color="auto"/>
              <w:bottom w:val="single" w:sz="4" w:space="0" w:color="auto"/>
              <w:right w:val="nil"/>
            </w:tcBorders>
            <w:noWrap/>
            <w:vAlign w:val="bottom"/>
            <w:hideMark/>
          </w:tcPr>
          <w:p w14:paraId="65967CFA" w14:textId="60504513" w:rsidR="001B2BE3" w:rsidRPr="001B2BE3" w:rsidRDefault="007563D0" w:rsidP="001B2BE3">
            <w:pPr>
              <w:spacing w:after="0" w:line="240" w:lineRule="auto"/>
              <w:rPr>
                <w:rFonts w:ascii="Aptos Narrow" w:eastAsia="Times New Roman" w:hAnsi="Aptos Narrow"/>
                <w:color w:val="000000"/>
                <w:lang w:val="es-DO" w:eastAsia="es-DO"/>
              </w:rPr>
            </w:pPr>
            <w:r>
              <w:rPr>
                <w:rFonts w:ascii="Aptos Narrow" w:eastAsia="Times New Roman" w:hAnsi="Aptos Narrow"/>
                <w:color w:val="000000"/>
                <w:lang w:val="es-DO" w:eastAsia="es-DO"/>
              </w:rPr>
              <w:t xml:space="preserve">Crecimiento del Total Importado </w:t>
            </w:r>
          </w:p>
        </w:tc>
        <w:tc>
          <w:tcPr>
            <w:tcW w:w="1780" w:type="dxa"/>
            <w:tcBorders>
              <w:top w:val="nil"/>
              <w:left w:val="single" w:sz="4" w:space="0" w:color="auto"/>
              <w:bottom w:val="single" w:sz="4" w:space="0" w:color="auto"/>
              <w:right w:val="single" w:sz="4" w:space="0" w:color="auto"/>
            </w:tcBorders>
            <w:noWrap/>
            <w:vAlign w:val="bottom"/>
            <w:hideMark/>
          </w:tcPr>
          <w:p w14:paraId="59457BD4" w14:textId="77777777" w:rsidR="001B2BE3" w:rsidRPr="001B2BE3" w:rsidRDefault="001B2BE3" w:rsidP="007563D0">
            <w:pPr>
              <w:spacing w:after="0" w:line="240" w:lineRule="auto"/>
              <w:jc w:val="center"/>
              <w:rPr>
                <w:rFonts w:ascii="Aptos Narrow" w:eastAsia="Times New Roman" w:hAnsi="Aptos Narrow"/>
                <w:color w:val="000000"/>
                <w:lang w:val="es-DO" w:eastAsia="es-DO"/>
              </w:rPr>
            </w:pPr>
            <w:r w:rsidRPr="001B2BE3">
              <w:rPr>
                <w:rFonts w:ascii="Aptos Narrow" w:eastAsia="Times New Roman" w:hAnsi="Aptos Narrow"/>
                <w:color w:val="000000"/>
                <w:lang w:val="es-DO" w:eastAsia="es-DO"/>
              </w:rPr>
              <w:t>5.0%</w:t>
            </w:r>
          </w:p>
        </w:tc>
        <w:tc>
          <w:tcPr>
            <w:tcW w:w="1840" w:type="dxa"/>
            <w:gridSpan w:val="3"/>
            <w:tcBorders>
              <w:top w:val="nil"/>
              <w:left w:val="nil"/>
              <w:bottom w:val="single" w:sz="4" w:space="0" w:color="auto"/>
              <w:right w:val="single" w:sz="4" w:space="0" w:color="auto"/>
            </w:tcBorders>
            <w:noWrap/>
            <w:vAlign w:val="bottom"/>
            <w:hideMark/>
          </w:tcPr>
          <w:p w14:paraId="59AC5B44" w14:textId="77777777" w:rsidR="001B2BE3" w:rsidRPr="001B2BE3" w:rsidRDefault="001B2BE3" w:rsidP="007563D0">
            <w:pPr>
              <w:spacing w:after="0" w:line="240" w:lineRule="auto"/>
              <w:jc w:val="center"/>
              <w:rPr>
                <w:rFonts w:ascii="Aptos Narrow" w:eastAsia="Times New Roman" w:hAnsi="Aptos Narrow"/>
                <w:color w:val="000000"/>
                <w:lang w:val="es-DO" w:eastAsia="es-DO"/>
              </w:rPr>
            </w:pPr>
            <w:r w:rsidRPr="001B2BE3">
              <w:rPr>
                <w:rFonts w:ascii="Aptos Narrow" w:eastAsia="Times New Roman" w:hAnsi="Aptos Narrow"/>
                <w:color w:val="000000"/>
                <w:lang w:val="es-DO" w:eastAsia="es-DO"/>
              </w:rPr>
              <w:t>33.9%</w:t>
            </w:r>
          </w:p>
        </w:tc>
        <w:tc>
          <w:tcPr>
            <w:tcW w:w="1595" w:type="dxa"/>
            <w:tcBorders>
              <w:top w:val="nil"/>
              <w:left w:val="nil"/>
              <w:bottom w:val="single" w:sz="4" w:space="0" w:color="auto"/>
              <w:right w:val="single" w:sz="4" w:space="0" w:color="auto"/>
            </w:tcBorders>
            <w:noWrap/>
            <w:vAlign w:val="bottom"/>
            <w:hideMark/>
          </w:tcPr>
          <w:p w14:paraId="44362515" w14:textId="77777777" w:rsidR="001B2BE3" w:rsidRPr="001B2BE3" w:rsidRDefault="001B2BE3" w:rsidP="007563D0">
            <w:pPr>
              <w:spacing w:after="0" w:line="240" w:lineRule="auto"/>
              <w:jc w:val="center"/>
              <w:rPr>
                <w:rFonts w:ascii="Aptos Narrow" w:eastAsia="Times New Roman" w:hAnsi="Aptos Narrow"/>
                <w:color w:val="000000"/>
                <w:lang w:val="es-DO" w:eastAsia="es-DO"/>
              </w:rPr>
            </w:pPr>
            <w:r w:rsidRPr="001B2BE3">
              <w:rPr>
                <w:rFonts w:ascii="Aptos Narrow" w:eastAsia="Times New Roman" w:hAnsi="Aptos Narrow"/>
                <w:color w:val="000000"/>
                <w:lang w:val="es-DO" w:eastAsia="es-DO"/>
              </w:rPr>
              <w:t>40.7%</w:t>
            </w:r>
          </w:p>
        </w:tc>
        <w:tc>
          <w:tcPr>
            <w:tcW w:w="1440" w:type="dxa"/>
            <w:tcBorders>
              <w:top w:val="nil"/>
              <w:left w:val="nil"/>
              <w:bottom w:val="single" w:sz="4" w:space="0" w:color="auto"/>
              <w:right w:val="single" w:sz="4" w:space="0" w:color="auto"/>
            </w:tcBorders>
            <w:noWrap/>
            <w:vAlign w:val="bottom"/>
            <w:hideMark/>
          </w:tcPr>
          <w:p w14:paraId="6C396740" w14:textId="77777777" w:rsidR="001B2BE3" w:rsidRPr="001B2BE3" w:rsidRDefault="001B2BE3" w:rsidP="007563D0">
            <w:pPr>
              <w:spacing w:after="0" w:line="240" w:lineRule="auto"/>
              <w:jc w:val="center"/>
              <w:rPr>
                <w:rFonts w:ascii="Aptos Narrow" w:eastAsia="Times New Roman" w:hAnsi="Aptos Narrow"/>
                <w:color w:val="000000"/>
                <w:lang w:val="es-DO" w:eastAsia="es-DO"/>
              </w:rPr>
            </w:pPr>
            <w:r w:rsidRPr="001B2BE3">
              <w:rPr>
                <w:rFonts w:ascii="Aptos Narrow" w:eastAsia="Times New Roman" w:hAnsi="Aptos Narrow"/>
                <w:color w:val="000000"/>
                <w:lang w:val="es-DO" w:eastAsia="es-DO"/>
              </w:rPr>
              <w:t>3.2%</w:t>
            </w:r>
          </w:p>
        </w:tc>
      </w:tr>
    </w:tbl>
    <w:p w14:paraId="0B1CB463" w14:textId="77777777" w:rsidR="001B2BE3" w:rsidRDefault="001B2BE3" w:rsidP="001B2BE3">
      <w:pPr>
        <w:spacing w:line="278" w:lineRule="auto"/>
        <w:jc w:val="both"/>
        <w:rPr>
          <w:rFonts w:cs="Calibri"/>
          <w:sz w:val="24"/>
          <w:szCs w:val="24"/>
        </w:rPr>
      </w:pPr>
    </w:p>
    <w:p w14:paraId="0B37043E" w14:textId="6A97995B" w:rsidR="001B2BE3" w:rsidRPr="00E83082" w:rsidRDefault="007563D0" w:rsidP="001B2BE3">
      <w:pPr>
        <w:spacing w:line="278" w:lineRule="auto"/>
        <w:jc w:val="both"/>
        <w:rPr>
          <w:rFonts w:cs="Calibri"/>
          <w:sz w:val="24"/>
          <w:szCs w:val="24"/>
        </w:rPr>
      </w:pPr>
      <w:r>
        <w:rPr>
          <w:rFonts w:cs="Calibri"/>
          <w:sz w:val="24"/>
          <w:szCs w:val="24"/>
        </w:rPr>
        <w:t>Ahora bien, e</w:t>
      </w:r>
      <w:r w:rsidR="001B2BE3" w:rsidRPr="00E83082">
        <w:rPr>
          <w:rFonts w:cs="Calibri"/>
          <w:sz w:val="24"/>
          <w:szCs w:val="24"/>
        </w:rPr>
        <w:t xml:space="preserve">l crecimiento de las importaciones está concentrado de manera abrumadora en países </w:t>
      </w:r>
      <w:r>
        <w:rPr>
          <w:rFonts w:cs="Calibri"/>
          <w:sz w:val="24"/>
          <w:szCs w:val="24"/>
        </w:rPr>
        <w:t>con los que la Republica Dominicana no cuenta con Tratados de Libre Comercio (</w:t>
      </w:r>
      <w:r w:rsidR="001B2BE3" w:rsidRPr="00E83082">
        <w:rPr>
          <w:rFonts w:cs="Calibri"/>
          <w:sz w:val="24"/>
          <w:szCs w:val="24"/>
        </w:rPr>
        <w:t>TLC</w:t>
      </w:r>
      <w:r>
        <w:rPr>
          <w:rFonts w:cs="Calibri"/>
          <w:sz w:val="24"/>
          <w:szCs w:val="24"/>
        </w:rPr>
        <w:t>)</w:t>
      </w:r>
      <w:r w:rsidR="001B2BE3" w:rsidRPr="00E83082">
        <w:rPr>
          <w:rFonts w:cs="Calibri"/>
          <w:sz w:val="24"/>
          <w:szCs w:val="24"/>
        </w:rPr>
        <w:t xml:space="preserve">. </w:t>
      </w:r>
      <w:r w:rsidR="001B2BE3" w:rsidRPr="007C6E8F">
        <w:rPr>
          <w:rFonts w:cs="Calibri"/>
          <w:sz w:val="24"/>
          <w:szCs w:val="24"/>
        </w:rPr>
        <w:t xml:space="preserve">Particularmente el </w:t>
      </w:r>
      <w:r w:rsidR="001B2BE3" w:rsidRPr="00E83082">
        <w:rPr>
          <w:rFonts w:cs="Calibri"/>
          <w:sz w:val="24"/>
          <w:szCs w:val="24"/>
        </w:rPr>
        <w:t xml:space="preserve">incremento total de </w:t>
      </w:r>
      <w:r w:rsidR="001B2BE3" w:rsidRPr="007C6E8F">
        <w:rPr>
          <w:rFonts w:cs="Calibri"/>
          <w:sz w:val="24"/>
          <w:szCs w:val="24"/>
        </w:rPr>
        <w:t xml:space="preserve">las importaciones entre el 2022 y el 2024 que totalizo </w:t>
      </w:r>
      <w:r w:rsidR="001B2BE3" w:rsidRPr="00E83082">
        <w:rPr>
          <w:rFonts w:cs="Calibri"/>
          <w:sz w:val="24"/>
          <w:szCs w:val="24"/>
        </w:rPr>
        <w:t>10.3 millones de kilogramos</w:t>
      </w:r>
      <w:r w:rsidR="001B2BE3" w:rsidRPr="007C6E8F">
        <w:rPr>
          <w:rFonts w:cs="Calibri"/>
          <w:sz w:val="24"/>
          <w:szCs w:val="24"/>
        </w:rPr>
        <w:t xml:space="preserve">, </w:t>
      </w:r>
      <w:r w:rsidR="001B2BE3" w:rsidRPr="00E83082">
        <w:rPr>
          <w:rFonts w:cs="Calibri"/>
          <w:sz w:val="24"/>
          <w:szCs w:val="24"/>
        </w:rPr>
        <w:t>prácticamente la totalidad (96% equivalente a 9.8 millones de kg) provino exclusivamente de países sin TLC, mientras que los países con TLC contribuyeron apenas con el 4% restante.</w:t>
      </w:r>
    </w:p>
    <w:p w14:paraId="58AA7871" w14:textId="77777777" w:rsidR="001B2BE3" w:rsidRPr="00E83082" w:rsidRDefault="001B2BE3" w:rsidP="001B2BE3">
      <w:pPr>
        <w:spacing w:line="278" w:lineRule="auto"/>
        <w:jc w:val="both"/>
        <w:rPr>
          <w:rFonts w:cs="Calibri"/>
          <w:sz w:val="24"/>
          <w:szCs w:val="24"/>
        </w:rPr>
      </w:pPr>
      <w:r w:rsidRPr="00E83082">
        <w:rPr>
          <w:rFonts w:cs="Calibri"/>
          <w:sz w:val="24"/>
          <w:szCs w:val="24"/>
        </w:rPr>
        <w:t xml:space="preserve">Esta concentración se refleja en tasas de crecimiento dramáticamente diferentes: los países sin TLC experimentaron un crecimiento explosivo del 78.9% en volumen, contrastando marcadamente con el modesto 3.5% de crecimiento de los países con TLC. Como resultado, la participación de mercado de países sin TLC se </w:t>
      </w:r>
      <w:r w:rsidRPr="007C6E8F">
        <w:rPr>
          <w:rFonts w:cs="Calibri"/>
          <w:sz w:val="24"/>
          <w:szCs w:val="24"/>
        </w:rPr>
        <w:t>incrementó d</w:t>
      </w:r>
      <w:r w:rsidRPr="00E83082">
        <w:rPr>
          <w:rFonts w:cs="Calibri"/>
          <w:sz w:val="24"/>
          <w:szCs w:val="24"/>
        </w:rPr>
        <w:t>el 49% al 63% en solo dos años.</w:t>
      </w:r>
    </w:p>
    <w:p w14:paraId="1EDB708D" w14:textId="77777777" w:rsidR="001B2BE3" w:rsidRDefault="001B2BE3" w:rsidP="001B2BE3">
      <w:pPr>
        <w:spacing w:line="278" w:lineRule="auto"/>
        <w:jc w:val="both"/>
        <w:rPr>
          <w:rFonts w:cs="Calibri"/>
          <w:sz w:val="24"/>
          <w:szCs w:val="24"/>
        </w:rPr>
      </w:pPr>
      <w:r w:rsidRPr="00E83082">
        <w:rPr>
          <w:rFonts w:cs="Calibri"/>
          <w:sz w:val="24"/>
          <w:szCs w:val="24"/>
        </w:rPr>
        <w:t>El incremento problemático es exclusivamente atribuible a países sin TLC, evidenciando comportamientos comerciales claramente diferenciados entre ambos grupos. Cabe destacar que, durante el primer trimestre de 2025, se mantiene esta tendencia creciente, lo que confirma la sostenibilidad del incremento observado. Este crecimiento acelerado no solo amenaza la posición competitiva del sector nacional, sino que también ejerce presión sobre los precios internos.</w:t>
      </w:r>
    </w:p>
    <w:p w14:paraId="6C97F96E" w14:textId="77777777" w:rsidR="001B2BE3" w:rsidRDefault="001B2BE3" w:rsidP="001B2BE3">
      <w:pPr>
        <w:spacing w:line="278" w:lineRule="auto"/>
        <w:jc w:val="both"/>
        <w:rPr>
          <w:rFonts w:cs="Calibri"/>
          <w:sz w:val="24"/>
          <w:szCs w:val="24"/>
        </w:rPr>
      </w:pPr>
    </w:p>
    <w:p w14:paraId="0F9E295C" w14:textId="77777777" w:rsidR="001B2BE3" w:rsidRPr="00E83082" w:rsidRDefault="001B2BE3" w:rsidP="001B2BE3">
      <w:pPr>
        <w:spacing w:line="278" w:lineRule="auto"/>
        <w:jc w:val="both"/>
        <w:rPr>
          <w:rFonts w:cs="Calibri"/>
          <w:sz w:val="24"/>
          <w:szCs w:val="24"/>
        </w:rPr>
      </w:pPr>
    </w:p>
    <w:tbl>
      <w:tblPr>
        <w:tblW w:w="8725" w:type="dxa"/>
        <w:tblCellMar>
          <w:left w:w="70" w:type="dxa"/>
          <w:right w:w="70" w:type="dxa"/>
        </w:tblCellMar>
        <w:tblLook w:val="04A0" w:firstRow="1" w:lastRow="0" w:firstColumn="1" w:lastColumn="0" w:noHBand="0" w:noVBand="1"/>
      </w:tblPr>
      <w:tblGrid>
        <w:gridCol w:w="1980"/>
        <w:gridCol w:w="1460"/>
        <w:gridCol w:w="1325"/>
        <w:gridCol w:w="1440"/>
        <w:gridCol w:w="1260"/>
        <w:gridCol w:w="1260"/>
      </w:tblGrid>
      <w:tr w:rsidR="001B2BE3" w:rsidRPr="00E83082" w14:paraId="417CA952" w14:textId="77777777" w:rsidTr="0036119C">
        <w:trPr>
          <w:trHeight w:val="660"/>
        </w:trPr>
        <w:tc>
          <w:tcPr>
            <w:tcW w:w="8725" w:type="dxa"/>
            <w:gridSpan w:val="6"/>
            <w:tcBorders>
              <w:top w:val="single" w:sz="4" w:space="0" w:color="auto"/>
              <w:left w:val="single" w:sz="4" w:space="0" w:color="auto"/>
              <w:bottom w:val="single" w:sz="4" w:space="0" w:color="auto"/>
              <w:right w:val="single" w:sz="4" w:space="0" w:color="auto"/>
            </w:tcBorders>
            <w:noWrap/>
            <w:hideMark/>
          </w:tcPr>
          <w:p w14:paraId="41A5656B" w14:textId="77777777" w:rsidR="001B2BE3" w:rsidRPr="00E83082" w:rsidRDefault="001B2BE3" w:rsidP="00391D81">
            <w:pPr>
              <w:spacing w:after="0" w:line="240" w:lineRule="auto"/>
              <w:jc w:val="center"/>
              <w:rPr>
                <w:rFonts w:eastAsia="Times New Roman" w:cs="Calibri"/>
                <w:color w:val="000000"/>
                <w:sz w:val="20"/>
                <w:szCs w:val="20"/>
                <w:lang w:eastAsia="es-DO"/>
              </w:rPr>
            </w:pPr>
          </w:p>
          <w:p w14:paraId="0130A027"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Volumen (En Kg)</w:t>
            </w:r>
          </w:p>
        </w:tc>
      </w:tr>
      <w:tr w:rsidR="001B2BE3" w:rsidRPr="00E83082" w14:paraId="1FDA3903" w14:textId="77777777" w:rsidTr="0036119C">
        <w:trPr>
          <w:trHeight w:val="945"/>
        </w:trPr>
        <w:tc>
          <w:tcPr>
            <w:tcW w:w="1980" w:type="dxa"/>
            <w:tcBorders>
              <w:top w:val="nil"/>
              <w:left w:val="single" w:sz="4" w:space="0" w:color="auto"/>
              <w:bottom w:val="single" w:sz="4" w:space="0" w:color="auto"/>
              <w:right w:val="single" w:sz="4" w:space="0" w:color="auto"/>
            </w:tcBorders>
            <w:shd w:val="clear" w:color="99CCFF" w:fill="C0C0C0"/>
            <w:vAlign w:val="center"/>
            <w:hideMark/>
          </w:tcPr>
          <w:p w14:paraId="66788E9F"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Grupo</w:t>
            </w:r>
          </w:p>
        </w:tc>
        <w:tc>
          <w:tcPr>
            <w:tcW w:w="1460" w:type="dxa"/>
            <w:tcBorders>
              <w:top w:val="nil"/>
              <w:left w:val="nil"/>
              <w:bottom w:val="single" w:sz="4" w:space="0" w:color="auto"/>
              <w:right w:val="single" w:sz="4" w:space="0" w:color="auto"/>
            </w:tcBorders>
            <w:shd w:val="clear" w:color="99CCFF" w:fill="C0C0C0"/>
            <w:vAlign w:val="center"/>
            <w:hideMark/>
          </w:tcPr>
          <w:p w14:paraId="3A045B47"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2022</w:t>
            </w:r>
          </w:p>
        </w:tc>
        <w:tc>
          <w:tcPr>
            <w:tcW w:w="1325" w:type="dxa"/>
            <w:tcBorders>
              <w:top w:val="nil"/>
              <w:left w:val="nil"/>
              <w:bottom w:val="single" w:sz="4" w:space="0" w:color="auto"/>
              <w:right w:val="single" w:sz="4" w:space="0" w:color="auto"/>
            </w:tcBorders>
            <w:shd w:val="clear" w:color="99CCFF" w:fill="C0C0C0"/>
            <w:vAlign w:val="center"/>
            <w:hideMark/>
          </w:tcPr>
          <w:p w14:paraId="542E93C0"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2023</w:t>
            </w:r>
          </w:p>
        </w:tc>
        <w:tc>
          <w:tcPr>
            <w:tcW w:w="1440" w:type="dxa"/>
            <w:tcBorders>
              <w:top w:val="nil"/>
              <w:left w:val="nil"/>
              <w:bottom w:val="single" w:sz="4" w:space="0" w:color="auto"/>
              <w:right w:val="single" w:sz="4" w:space="0" w:color="auto"/>
            </w:tcBorders>
            <w:shd w:val="clear" w:color="99CCFF" w:fill="C0C0C0"/>
            <w:vAlign w:val="center"/>
            <w:hideMark/>
          </w:tcPr>
          <w:p w14:paraId="19E7083D"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2024</w:t>
            </w:r>
          </w:p>
        </w:tc>
        <w:tc>
          <w:tcPr>
            <w:tcW w:w="1260" w:type="dxa"/>
            <w:tcBorders>
              <w:top w:val="nil"/>
              <w:left w:val="nil"/>
              <w:bottom w:val="single" w:sz="4" w:space="0" w:color="auto"/>
              <w:right w:val="single" w:sz="4" w:space="0" w:color="auto"/>
            </w:tcBorders>
            <w:shd w:val="clear" w:color="99CCFF" w:fill="C0C0C0"/>
            <w:vAlign w:val="center"/>
            <w:hideMark/>
          </w:tcPr>
          <w:p w14:paraId="4F33DDAE"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Ene - Mar 2024</w:t>
            </w:r>
          </w:p>
        </w:tc>
        <w:tc>
          <w:tcPr>
            <w:tcW w:w="1260" w:type="dxa"/>
            <w:tcBorders>
              <w:top w:val="nil"/>
              <w:left w:val="nil"/>
              <w:bottom w:val="single" w:sz="4" w:space="0" w:color="auto"/>
              <w:right w:val="single" w:sz="4" w:space="0" w:color="auto"/>
            </w:tcBorders>
            <w:shd w:val="clear" w:color="99CCFF" w:fill="C0C0C0"/>
            <w:vAlign w:val="center"/>
            <w:hideMark/>
          </w:tcPr>
          <w:p w14:paraId="13CC4E08"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Ene - Mar 2025</w:t>
            </w:r>
          </w:p>
        </w:tc>
      </w:tr>
      <w:tr w:rsidR="001B2BE3" w:rsidRPr="00E83082" w14:paraId="00B7F9E9" w14:textId="77777777" w:rsidTr="0036119C">
        <w:trPr>
          <w:trHeight w:val="300"/>
        </w:trPr>
        <w:tc>
          <w:tcPr>
            <w:tcW w:w="1980" w:type="dxa"/>
            <w:tcBorders>
              <w:top w:val="nil"/>
              <w:left w:val="single" w:sz="4" w:space="0" w:color="auto"/>
              <w:bottom w:val="single" w:sz="4" w:space="0" w:color="auto"/>
              <w:right w:val="single" w:sz="4" w:space="0" w:color="auto"/>
            </w:tcBorders>
            <w:noWrap/>
            <w:vAlign w:val="bottom"/>
            <w:hideMark/>
          </w:tcPr>
          <w:p w14:paraId="11C9F319" w14:textId="77777777" w:rsidR="001B2BE3" w:rsidRPr="00E83082" w:rsidRDefault="001B2BE3" w:rsidP="00391D81">
            <w:pPr>
              <w:spacing w:after="0" w:line="240" w:lineRule="auto"/>
              <w:rPr>
                <w:rFonts w:eastAsia="Times New Roman" w:cs="Calibri"/>
                <w:color w:val="000000"/>
                <w:sz w:val="20"/>
                <w:szCs w:val="20"/>
                <w:lang w:eastAsia="es-DO"/>
              </w:rPr>
            </w:pPr>
            <w:r w:rsidRPr="00E83082">
              <w:rPr>
                <w:rFonts w:eastAsia="Times New Roman" w:cs="Calibri"/>
                <w:color w:val="000000"/>
                <w:sz w:val="20"/>
                <w:szCs w:val="20"/>
                <w:lang w:eastAsia="es-DO"/>
              </w:rPr>
              <w:t>Países Sin TLC</w:t>
            </w:r>
          </w:p>
        </w:tc>
        <w:tc>
          <w:tcPr>
            <w:tcW w:w="1460" w:type="dxa"/>
            <w:tcBorders>
              <w:top w:val="nil"/>
              <w:left w:val="nil"/>
              <w:bottom w:val="single" w:sz="4" w:space="0" w:color="auto"/>
              <w:right w:val="single" w:sz="4" w:space="0" w:color="auto"/>
            </w:tcBorders>
            <w:noWrap/>
            <w:vAlign w:val="bottom"/>
            <w:hideMark/>
          </w:tcPr>
          <w:p w14:paraId="0B7FB2BE"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12,526,719</w:t>
            </w:r>
          </w:p>
        </w:tc>
        <w:tc>
          <w:tcPr>
            <w:tcW w:w="1325" w:type="dxa"/>
            <w:tcBorders>
              <w:top w:val="nil"/>
              <w:left w:val="nil"/>
              <w:bottom w:val="single" w:sz="4" w:space="0" w:color="auto"/>
              <w:right w:val="single" w:sz="4" w:space="0" w:color="auto"/>
            </w:tcBorders>
            <w:noWrap/>
            <w:vAlign w:val="bottom"/>
            <w:hideMark/>
          </w:tcPr>
          <w:p w14:paraId="3CF8E064"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16,079,025</w:t>
            </w:r>
          </w:p>
        </w:tc>
        <w:tc>
          <w:tcPr>
            <w:tcW w:w="1440" w:type="dxa"/>
            <w:tcBorders>
              <w:top w:val="nil"/>
              <w:left w:val="nil"/>
              <w:bottom w:val="single" w:sz="4" w:space="0" w:color="auto"/>
              <w:right w:val="single" w:sz="4" w:space="0" w:color="auto"/>
            </w:tcBorders>
            <w:noWrap/>
            <w:vAlign w:val="bottom"/>
            <w:hideMark/>
          </w:tcPr>
          <w:p w14:paraId="32C52D1A"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22,408,972</w:t>
            </w:r>
          </w:p>
        </w:tc>
        <w:tc>
          <w:tcPr>
            <w:tcW w:w="1260" w:type="dxa"/>
            <w:tcBorders>
              <w:top w:val="nil"/>
              <w:left w:val="nil"/>
              <w:bottom w:val="single" w:sz="4" w:space="0" w:color="auto"/>
              <w:right w:val="single" w:sz="4" w:space="0" w:color="auto"/>
            </w:tcBorders>
            <w:noWrap/>
            <w:vAlign w:val="bottom"/>
            <w:hideMark/>
          </w:tcPr>
          <w:p w14:paraId="516010F1"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4,218,092</w:t>
            </w:r>
          </w:p>
        </w:tc>
        <w:tc>
          <w:tcPr>
            <w:tcW w:w="1260" w:type="dxa"/>
            <w:tcBorders>
              <w:top w:val="nil"/>
              <w:left w:val="nil"/>
              <w:bottom w:val="single" w:sz="4" w:space="0" w:color="auto"/>
              <w:right w:val="single" w:sz="4" w:space="0" w:color="auto"/>
            </w:tcBorders>
            <w:noWrap/>
            <w:vAlign w:val="bottom"/>
            <w:hideMark/>
          </w:tcPr>
          <w:p w14:paraId="6D76C6DD"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4,328,425</w:t>
            </w:r>
          </w:p>
        </w:tc>
      </w:tr>
      <w:tr w:rsidR="001B2BE3" w:rsidRPr="00E83082" w14:paraId="77604D46" w14:textId="77777777" w:rsidTr="0036119C">
        <w:trPr>
          <w:trHeight w:val="300"/>
        </w:trPr>
        <w:tc>
          <w:tcPr>
            <w:tcW w:w="1980" w:type="dxa"/>
            <w:tcBorders>
              <w:top w:val="nil"/>
              <w:left w:val="single" w:sz="4" w:space="0" w:color="auto"/>
              <w:bottom w:val="single" w:sz="4" w:space="0" w:color="auto"/>
              <w:right w:val="single" w:sz="4" w:space="0" w:color="auto"/>
            </w:tcBorders>
            <w:noWrap/>
            <w:vAlign w:val="bottom"/>
            <w:hideMark/>
          </w:tcPr>
          <w:p w14:paraId="2CFB093B" w14:textId="77777777" w:rsidR="001B2BE3" w:rsidRPr="00E83082" w:rsidRDefault="001B2BE3" w:rsidP="00391D81">
            <w:pPr>
              <w:spacing w:after="0" w:line="240" w:lineRule="auto"/>
              <w:rPr>
                <w:rFonts w:eastAsia="Times New Roman" w:cs="Calibri"/>
                <w:color w:val="000000"/>
                <w:sz w:val="20"/>
                <w:szCs w:val="20"/>
                <w:lang w:eastAsia="es-DO"/>
              </w:rPr>
            </w:pPr>
            <w:r w:rsidRPr="00E83082">
              <w:rPr>
                <w:rFonts w:eastAsia="Times New Roman" w:cs="Calibri"/>
                <w:color w:val="000000"/>
                <w:sz w:val="20"/>
                <w:szCs w:val="20"/>
                <w:lang w:eastAsia="es-DO"/>
              </w:rPr>
              <w:t>Países Con TLC</w:t>
            </w:r>
          </w:p>
        </w:tc>
        <w:tc>
          <w:tcPr>
            <w:tcW w:w="1460" w:type="dxa"/>
            <w:tcBorders>
              <w:top w:val="nil"/>
              <w:left w:val="nil"/>
              <w:bottom w:val="single" w:sz="4" w:space="0" w:color="auto"/>
              <w:right w:val="single" w:sz="4" w:space="0" w:color="auto"/>
            </w:tcBorders>
            <w:noWrap/>
            <w:vAlign w:val="bottom"/>
            <w:hideMark/>
          </w:tcPr>
          <w:p w14:paraId="359DEF02"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12,906,857</w:t>
            </w:r>
          </w:p>
        </w:tc>
        <w:tc>
          <w:tcPr>
            <w:tcW w:w="1325" w:type="dxa"/>
            <w:tcBorders>
              <w:top w:val="nil"/>
              <w:left w:val="nil"/>
              <w:bottom w:val="single" w:sz="4" w:space="0" w:color="auto"/>
              <w:right w:val="single" w:sz="4" w:space="0" w:color="auto"/>
            </w:tcBorders>
            <w:noWrap/>
            <w:vAlign w:val="bottom"/>
            <w:hideMark/>
          </w:tcPr>
          <w:p w14:paraId="06E6E527"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10,637,332</w:t>
            </w:r>
          </w:p>
        </w:tc>
        <w:tc>
          <w:tcPr>
            <w:tcW w:w="1440" w:type="dxa"/>
            <w:tcBorders>
              <w:top w:val="nil"/>
              <w:left w:val="nil"/>
              <w:bottom w:val="single" w:sz="4" w:space="0" w:color="auto"/>
              <w:right w:val="single" w:sz="4" w:space="0" w:color="auto"/>
            </w:tcBorders>
            <w:noWrap/>
            <w:vAlign w:val="bottom"/>
            <w:hideMark/>
          </w:tcPr>
          <w:p w14:paraId="62F1B4A0"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13,368,666</w:t>
            </w:r>
          </w:p>
        </w:tc>
        <w:tc>
          <w:tcPr>
            <w:tcW w:w="1260" w:type="dxa"/>
            <w:tcBorders>
              <w:top w:val="nil"/>
              <w:left w:val="nil"/>
              <w:bottom w:val="single" w:sz="4" w:space="0" w:color="auto"/>
              <w:right w:val="single" w:sz="4" w:space="0" w:color="auto"/>
            </w:tcBorders>
            <w:noWrap/>
            <w:vAlign w:val="bottom"/>
            <w:hideMark/>
          </w:tcPr>
          <w:p w14:paraId="6DAB4573"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2,785,386</w:t>
            </w:r>
          </w:p>
        </w:tc>
        <w:tc>
          <w:tcPr>
            <w:tcW w:w="1260" w:type="dxa"/>
            <w:tcBorders>
              <w:top w:val="nil"/>
              <w:left w:val="nil"/>
              <w:bottom w:val="single" w:sz="4" w:space="0" w:color="auto"/>
              <w:right w:val="single" w:sz="4" w:space="0" w:color="auto"/>
            </w:tcBorders>
            <w:noWrap/>
            <w:vAlign w:val="bottom"/>
            <w:hideMark/>
          </w:tcPr>
          <w:p w14:paraId="5E94391F"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2,897,000</w:t>
            </w:r>
          </w:p>
        </w:tc>
      </w:tr>
      <w:tr w:rsidR="001B2BE3" w:rsidRPr="00E83082" w14:paraId="2147F584" w14:textId="77777777" w:rsidTr="0036119C">
        <w:trPr>
          <w:trHeight w:val="3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44816FAA" w14:textId="77777777" w:rsidR="001B2BE3" w:rsidRPr="00E83082" w:rsidRDefault="001B2BE3" w:rsidP="00391D81">
            <w:pPr>
              <w:spacing w:after="0" w:line="240" w:lineRule="auto"/>
              <w:rPr>
                <w:rFonts w:eastAsia="Times New Roman" w:cs="Calibri"/>
                <w:color w:val="000000"/>
                <w:sz w:val="20"/>
                <w:szCs w:val="20"/>
                <w:lang w:eastAsia="es-DO"/>
              </w:rPr>
            </w:pPr>
            <w:r w:rsidRPr="00E83082">
              <w:rPr>
                <w:rFonts w:eastAsia="Times New Roman" w:cs="Calibri"/>
                <w:color w:val="000000"/>
                <w:sz w:val="20"/>
                <w:szCs w:val="20"/>
                <w:lang w:eastAsia="es-DO"/>
              </w:rPr>
              <w:t>Participación países No TLC</w:t>
            </w:r>
          </w:p>
        </w:tc>
        <w:tc>
          <w:tcPr>
            <w:tcW w:w="1460" w:type="dxa"/>
            <w:tcBorders>
              <w:top w:val="single" w:sz="4" w:space="0" w:color="auto"/>
              <w:left w:val="nil"/>
              <w:bottom w:val="single" w:sz="4" w:space="0" w:color="auto"/>
              <w:right w:val="single" w:sz="4" w:space="0" w:color="auto"/>
            </w:tcBorders>
            <w:noWrap/>
            <w:vAlign w:val="bottom"/>
            <w:hideMark/>
          </w:tcPr>
          <w:p w14:paraId="34A5A2B4"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49%</w:t>
            </w:r>
          </w:p>
        </w:tc>
        <w:tc>
          <w:tcPr>
            <w:tcW w:w="1325" w:type="dxa"/>
            <w:tcBorders>
              <w:top w:val="single" w:sz="4" w:space="0" w:color="auto"/>
              <w:left w:val="nil"/>
              <w:bottom w:val="single" w:sz="4" w:space="0" w:color="auto"/>
              <w:right w:val="single" w:sz="4" w:space="0" w:color="auto"/>
            </w:tcBorders>
            <w:noWrap/>
            <w:vAlign w:val="bottom"/>
            <w:hideMark/>
          </w:tcPr>
          <w:p w14:paraId="515F93FA"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60%</w:t>
            </w:r>
          </w:p>
        </w:tc>
        <w:tc>
          <w:tcPr>
            <w:tcW w:w="1440" w:type="dxa"/>
            <w:tcBorders>
              <w:top w:val="single" w:sz="4" w:space="0" w:color="auto"/>
              <w:left w:val="nil"/>
              <w:bottom w:val="single" w:sz="4" w:space="0" w:color="auto"/>
              <w:right w:val="single" w:sz="4" w:space="0" w:color="auto"/>
            </w:tcBorders>
            <w:noWrap/>
            <w:vAlign w:val="bottom"/>
            <w:hideMark/>
          </w:tcPr>
          <w:p w14:paraId="5ABCCDB0"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63%</w:t>
            </w:r>
          </w:p>
        </w:tc>
        <w:tc>
          <w:tcPr>
            <w:tcW w:w="1260" w:type="dxa"/>
            <w:tcBorders>
              <w:top w:val="single" w:sz="4" w:space="0" w:color="auto"/>
              <w:left w:val="nil"/>
              <w:bottom w:val="single" w:sz="4" w:space="0" w:color="auto"/>
              <w:right w:val="single" w:sz="4" w:space="0" w:color="auto"/>
            </w:tcBorders>
            <w:noWrap/>
            <w:vAlign w:val="bottom"/>
            <w:hideMark/>
          </w:tcPr>
          <w:p w14:paraId="182BBA0C"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60%</w:t>
            </w:r>
          </w:p>
        </w:tc>
        <w:tc>
          <w:tcPr>
            <w:tcW w:w="1260" w:type="dxa"/>
            <w:tcBorders>
              <w:top w:val="single" w:sz="4" w:space="0" w:color="auto"/>
              <w:left w:val="nil"/>
              <w:bottom w:val="single" w:sz="4" w:space="0" w:color="auto"/>
              <w:right w:val="single" w:sz="4" w:space="0" w:color="auto"/>
            </w:tcBorders>
            <w:noWrap/>
            <w:vAlign w:val="bottom"/>
            <w:hideMark/>
          </w:tcPr>
          <w:p w14:paraId="608D216B"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60%</w:t>
            </w:r>
          </w:p>
        </w:tc>
      </w:tr>
    </w:tbl>
    <w:p w14:paraId="60A29527" w14:textId="77777777" w:rsidR="001B2BE3" w:rsidRPr="00670FA4" w:rsidRDefault="001B2BE3" w:rsidP="001B2BE3">
      <w:pPr>
        <w:spacing w:line="278" w:lineRule="auto"/>
        <w:jc w:val="both"/>
        <w:rPr>
          <w:rFonts w:cs="Calibri"/>
          <w:sz w:val="20"/>
          <w:szCs w:val="20"/>
        </w:rPr>
      </w:pPr>
      <w:r w:rsidRPr="00670FA4">
        <w:rPr>
          <w:rFonts w:cs="Calibri"/>
          <w:sz w:val="20"/>
          <w:szCs w:val="20"/>
        </w:rPr>
        <w:t>Fuente: Direccion General de Aduanas</w:t>
      </w:r>
    </w:p>
    <w:p w14:paraId="5840EEF4" w14:textId="77777777" w:rsidR="001B2BE3" w:rsidRPr="00E83082" w:rsidRDefault="001B2BE3" w:rsidP="001B2BE3">
      <w:pPr>
        <w:spacing w:line="278" w:lineRule="auto"/>
        <w:jc w:val="both"/>
        <w:rPr>
          <w:rFonts w:cs="Calibri"/>
          <w:sz w:val="24"/>
          <w:szCs w:val="24"/>
        </w:rPr>
      </w:pPr>
      <w:r w:rsidRPr="00E83082">
        <w:rPr>
          <w:rFonts w:cs="Calibri"/>
          <w:noProof/>
          <w:sz w:val="24"/>
          <w:szCs w:val="24"/>
        </w:rPr>
        <w:drawing>
          <wp:inline distT="0" distB="0" distL="0" distR="0" wp14:anchorId="093F4BE0" wp14:editId="5C4E789C">
            <wp:extent cx="5857875" cy="2743200"/>
            <wp:effectExtent l="0" t="0" r="0" b="0"/>
            <wp:docPr id="61423958" name="Chart 1">
              <a:extLst xmlns:a="http://schemas.openxmlformats.org/drawingml/2006/main">
                <a:ext uri="{FF2B5EF4-FFF2-40B4-BE49-F238E27FC236}">
                  <a16:creationId xmlns:a16="http://schemas.microsoft.com/office/drawing/2014/main" id="{31D4E4E9-78EA-0013-429E-D8F8500257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1BF529" w14:textId="77777777" w:rsidR="001B2BE3" w:rsidRPr="007C6E8F" w:rsidRDefault="001B2BE3" w:rsidP="001B2BE3">
      <w:pPr>
        <w:pStyle w:val="Prrafodelista"/>
        <w:numPr>
          <w:ilvl w:val="0"/>
          <w:numId w:val="8"/>
        </w:numPr>
        <w:spacing w:after="160" w:line="278" w:lineRule="auto"/>
        <w:jc w:val="both"/>
        <w:rPr>
          <w:rFonts w:cs="Calibri"/>
          <w:sz w:val="24"/>
          <w:szCs w:val="24"/>
        </w:rPr>
      </w:pPr>
      <w:r w:rsidRPr="007C6E8F">
        <w:rPr>
          <w:rFonts w:cs="Calibri"/>
          <w:b/>
          <w:bCs/>
          <w:sz w:val="24"/>
          <w:szCs w:val="24"/>
        </w:rPr>
        <w:t>Evolución del Valor de Importaciones</w:t>
      </w:r>
    </w:p>
    <w:p w14:paraId="7BC02DF6" w14:textId="16F083AB" w:rsidR="001B2BE3" w:rsidRPr="00E83082" w:rsidRDefault="001B2BE3" w:rsidP="001B2BE3">
      <w:pPr>
        <w:spacing w:line="278" w:lineRule="auto"/>
        <w:jc w:val="both"/>
        <w:rPr>
          <w:rFonts w:cs="Calibri"/>
          <w:sz w:val="24"/>
          <w:szCs w:val="24"/>
        </w:rPr>
      </w:pPr>
      <w:r w:rsidRPr="00E83082">
        <w:rPr>
          <w:rFonts w:cs="Calibri"/>
          <w:sz w:val="24"/>
          <w:szCs w:val="24"/>
        </w:rPr>
        <w:t>Este crecimiento desproporcionado en volumen se ve reflejado y amplificado cuando analizamos el comportamiento del valor de las importaciones, donde emergen patrones adicionales que refuerzan la diferenciación entre ambos grupos.</w:t>
      </w:r>
      <w:r w:rsidR="007563D0">
        <w:rPr>
          <w:rFonts w:cs="Calibri"/>
          <w:sz w:val="24"/>
          <w:szCs w:val="24"/>
        </w:rPr>
        <w:t xml:space="preserve"> </w:t>
      </w:r>
      <w:r w:rsidRPr="00E83082">
        <w:rPr>
          <w:rFonts w:cs="Calibri"/>
          <w:sz w:val="24"/>
          <w:szCs w:val="24"/>
        </w:rPr>
        <w:t>La divergencia en comportamientos se confirma al analizar el valor de las importaciones. Los países sin TLC no solo incrementaron su volumen agresivamente, sino que también capturaron una porción creciente del valor total del mercado, aumentando su participación del 45% al 52%.</w:t>
      </w:r>
      <w:r w:rsidR="007563D0">
        <w:rPr>
          <w:rFonts w:cs="Calibri"/>
          <w:sz w:val="24"/>
          <w:szCs w:val="24"/>
        </w:rPr>
        <w:t xml:space="preserve">  </w:t>
      </w:r>
      <w:r w:rsidRPr="00E83082">
        <w:rPr>
          <w:rFonts w:cs="Calibri"/>
          <w:sz w:val="24"/>
          <w:szCs w:val="24"/>
        </w:rPr>
        <w:t xml:space="preserve">Mientras los países sin TLC registraron un crecimiento del 60.1% en valor nominal, los países con TLC crecieron apenas un 21.4%. Aún más revelador es que los países sin TLC lograron un crecimiento en volumen (78.9%) que supera significativamente su crecimiento en valor (60.1%), lo que </w:t>
      </w:r>
      <w:r w:rsidRPr="007C6E8F">
        <w:rPr>
          <w:rFonts w:cs="Calibri"/>
          <w:sz w:val="24"/>
          <w:szCs w:val="24"/>
        </w:rPr>
        <w:t xml:space="preserve">refleja precios más bajos, lo que le ha permitido ganar </w:t>
      </w:r>
      <w:r w:rsidRPr="00E83082">
        <w:rPr>
          <w:rFonts w:cs="Calibri"/>
          <w:sz w:val="24"/>
          <w:szCs w:val="24"/>
        </w:rPr>
        <w:t>participación de mercado.</w:t>
      </w:r>
    </w:p>
    <w:p w14:paraId="16B041F6" w14:textId="77777777" w:rsidR="001B2BE3" w:rsidRPr="00E83082" w:rsidRDefault="001B2BE3" w:rsidP="001B2BE3">
      <w:pPr>
        <w:spacing w:line="278" w:lineRule="auto"/>
        <w:jc w:val="both"/>
        <w:rPr>
          <w:rFonts w:cs="Calibri"/>
          <w:sz w:val="24"/>
          <w:szCs w:val="24"/>
        </w:rPr>
      </w:pPr>
      <w:r w:rsidRPr="00E83082">
        <w:rPr>
          <w:rFonts w:cs="Calibri"/>
          <w:sz w:val="24"/>
          <w:szCs w:val="24"/>
        </w:rPr>
        <w:t>Si bien el incremento del valor nominal en países con TLC se explica por factores coyunturales globales, como el aumento internacional en el precio del trigo y costos logísticos, resulta llamativo que los países sin TLC hayan incrementado su volumen incluso más que su valor nominal, sugiriendo una clara reducción en sus precios unitarios.</w:t>
      </w:r>
    </w:p>
    <w:tbl>
      <w:tblPr>
        <w:tblW w:w="8608" w:type="dxa"/>
        <w:tblCellMar>
          <w:left w:w="70" w:type="dxa"/>
          <w:right w:w="70" w:type="dxa"/>
        </w:tblCellMar>
        <w:tblLook w:val="04A0" w:firstRow="1" w:lastRow="0" w:firstColumn="1" w:lastColumn="0" w:noHBand="0" w:noVBand="1"/>
      </w:tblPr>
      <w:tblGrid>
        <w:gridCol w:w="1980"/>
        <w:gridCol w:w="1460"/>
        <w:gridCol w:w="1235"/>
        <w:gridCol w:w="1260"/>
        <w:gridCol w:w="1350"/>
        <w:gridCol w:w="1303"/>
        <w:gridCol w:w="20"/>
      </w:tblGrid>
      <w:tr w:rsidR="001B2BE3" w:rsidRPr="00E83082" w14:paraId="282C652B" w14:textId="77777777" w:rsidTr="0036119C">
        <w:trPr>
          <w:trHeight w:val="660"/>
        </w:trPr>
        <w:tc>
          <w:tcPr>
            <w:tcW w:w="8608" w:type="dxa"/>
            <w:gridSpan w:val="7"/>
            <w:tcBorders>
              <w:top w:val="single" w:sz="4" w:space="0" w:color="auto"/>
              <w:left w:val="single" w:sz="4" w:space="0" w:color="auto"/>
              <w:bottom w:val="single" w:sz="4" w:space="0" w:color="auto"/>
              <w:right w:val="single" w:sz="4" w:space="0" w:color="auto"/>
            </w:tcBorders>
            <w:noWrap/>
            <w:hideMark/>
          </w:tcPr>
          <w:p w14:paraId="02DF3D22" w14:textId="77777777" w:rsidR="001B2BE3" w:rsidRPr="00E83082" w:rsidRDefault="001B2BE3" w:rsidP="00391D81">
            <w:pPr>
              <w:spacing w:after="0" w:line="240" w:lineRule="auto"/>
              <w:jc w:val="center"/>
              <w:rPr>
                <w:rFonts w:eastAsia="Times New Roman" w:cs="Calibri"/>
                <w:color w:val="000000"/>
                <w:sz w:val="20"/>
                <w:szCs w:val="20"/>
                <w:lang w:eastAsia="es-DO"/>
              </w:rPr>
            </w:pPr>
            <w:bookmarkStart w:id="1" w:name="_Hlk202859150"/>
          </w:p>
          <w:p w14:paraId="4938EEC2"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Valor (USD)</w:t>
            </w:r>
          </w:p>
        </w:tc>
      </w:tr>
      <w:tr w:rsidR="001B2BE3" w:rsidRPr="00E83082" w14:paraId="3AEDA7C0" w14:textId="77777777" w:rsidTr="0036119C">
        <w:trPr>
          <w:gridAfter w:val="1"/>
          <w:wAfter w:w="20" w:type="dxa"/>
          <w:trHeight w:val="945"/>
        </w:trPr>
        <w:tc>
          <w:tcPr>
            <w:tcW w:w="1980" w:type="dxa"/>
            <w:tcBorders>
              <w:top w:val="nil"/>
              <w:left w:val="single" w:sz="4" w:space="0" w:color="auto"/>
              <w:bottom w:val="single" w:sz="4" w:space="0" w:color="auto"/>
              <w:right w:val="single" w:sz="4" w:space="0" w:color="auto"/>
            </w:tcBorders>
            <w:shd w:val="clear" w:color="99CCFF" w:fill="C0C0C0"/>
            <w:vAlign w:val="center"/>
            <w:hideMark/>
          </w:tcPr>
          <w:p w14:paraId="4A31E130"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Grupo</w:t>
            </w:r>
          </w:p>
        </w:tc>
        <w:tc>
          <w:tcPr>
            <w:tcW w:w="1460" w:type="dxa"/>
            <w:tcBorders>
              <w:top w:val="nil"/>
              <w:left w:val="nil"/>
              <w:bottom w:val="single" w:sz="4" w:space="0" w:color="auto"/>
              <w:right w:val="single" w:sz="4" w:space="0" w:color="auto"/>
            </w:tcBorders>
            <w:shd w:val="clear" w:color="99CCFF" w:fill="C0C0C0"/>
            <w:vAlign w:val="center"/>
            <w:hideMark/>
          </w:tcPr>
          <w:p w14:paraId="7698BB9C"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2022</w:t>
            </w:r>
          </w:p>
        </w:tc>
        <w:tc>
          <w:tcPr>
            <w:tcW w:w="1235" w:type="dxa"/>
            <w:tcBorders>
              <w:top w:val="nil"/>
              <w:left w:val="nil"/>
              <w:bottom w:val="single" w:sz="4" w:space="0" w:color="auto"/>
              <w:right w:val="single" w:sz="4" w:space="0" w:color="auto"/>
            </w:tcBorders>
            <w:shd w:val="clear" w:color="99CCFF" w:fill="C0C0C0"/>
            <w:vAlign w:val="center"/>
            <w:hideMark/>
          </w:tcPr>
          <w:p w14:paraId="5C625352"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2023</w:t>
            </w:r>
          </w:p>
        </w:tc>
        <w:tc>
          <w:tcPr>
            <w:tcW w:w="1260" w:type="dxa"/>
            <w:tcBorders>
              <w:top w:val="nil"/>
              <w:left w:val="nil"/>
              <w:bottom w:val="single" w:sz="4" w:space="0" w:color="auto"/>
              <w:right w:val="single" w:sz="4" w:space="0" w:color="auto"/>
            </w:tcBorders>
            <w:shd w:val="clear" w:color="99CCFF" w:fill="C0C0C0"/>
            <w:vAlign w:val="center"/>
            <w:hideMark/>
          </w:tcPr>
          <w:p w14:paraId="4323502C"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2024</w:t>
            </w:r>
          </w:p>
        </w:tc>
        <w:tc>
          <w:tcPr>
            <w:tcW w:w="1350" w:type="dxa"/>
            <w:tcBorders>
              <w:top w:val="nil"/>
              <w:left w:val="nil"/>
              <w:bottom w:val="single" w:sz="4" w:space="0" w:color="auto"/>
              <w:right w:val="single" w:sz="4" w:space="0" w:color="auto"/>
            </w:tcBorders>
            <w:shd w:val="clear" w:color="99CCFF" w:fill="C0C0C0"/>
            <w:vAlign w:val="center"/>
            <w:hideMark/>
          </w:tcPr>
          <w:p w14:paraId="3CC78A97"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Ene - Mar 2024</w:t>
            </w:r>
          </w:p>
        </w:tc>
        <w:tc>
          <w:tcPr>
            <w:tcW w:w="1303" w:type="dxa"/>
            <w:tcBorders>
              <w:top w:val="nil"/>
              <w:left w:val="nil"/>
              <w:bottom w:val="single" w:sz="4" w:space="0" w:color="auto"/>
              <w:right w:val="single" w:sz="4" w:space="0" w:color="auto"/>
            </w:tcBorders>
            <w:shd w:val="clear" w:color="99CCFF" w:fill="C0C0C0"/>
            <w:vAlign w:val="center"/>
            <w:hideMark/>
          </w:tcPr>
          <w:p w14:paraId="4E1C9E31" w14:textId="77777777" w:rsidR="001B2BE3" w:rsidRPr="00E83082" w:rsidRDefault="001B2BE3" w:rsidP="00391D81">
            <w:pPr>
              <w:spacing w:after="0" w:line="240" w:lineRule="auto"/>
              <w:jc w:val="center"/>
              <w:rPr>
                <w:rFonts w:eastAsia="Times New Roman" w:cs="Calibri"/>
                <w:b/>
                <w:bCs/>
                <w:sz w:val="20"/>
                <w:szCs w:val="20"/>
                <w:lang w:eastAsia="es-DO"/>
              </w:rPr>
            </w:pPr>
            <w:r w:rsidRPr="00E83082">
              <w:rPr>
                <w:rFonts w:eastAsia="Times New Roman" w:cs="Calibri"/>
                <w:b/>
                <w:bCs/>
                <w:sz w:val="20"/>
                <w:szCs w:val="20"/>
                <w:lang w:eastAsia="es-DO"/>
              </w:rPr>
              <w:t>Ene - Mar 2025</w:t>
            </w:r>
          </w:p>
        </w:tc>
      </w:tr>
      <w:tr w:rsidR="001B2BE3" w:rsidRPr="00E83082" w14:paraId="24AFC488" w14:textId="77777777" w:rsidTr="0036119C">
        <w:trPr>
          <w:gridAfter w:val="1"/>
          <w:wAfter w:w="20" w:type="dxa"/>
          <w:trHeight w:val="300"/>
        </w:trPr>
        <w:tc>
          <w:tcPr>
            <w:tcW w:w="1980" w:type="dxa"/>
            <w:tcBorders>
              <w:top w:val="nil"/>
              <w:left w:val="single" w:sz="4" w:space="0" w:color="auto"/>
              <w:bottom w:val="single" w:sz="4" w:space="0" w:color="auto"/>
              <w:right w:val="single" w:sz="4" w:space="0" w:color="auto"/>
            </w:tcBorders>
            <w:noWrap/>
            <w:vAlign w:val="bottom"/>
            <w:hideMark/>
          </w:tcPr>
          <w:p w14:paraId="4A494472" w14:textId="77777777" w:rsidR="001B2BE3" w:rsidRPr="00E83082" w:rsidRDefault="001B2BE3" w:rsidP="00391D81">
            <w:pPr>
              <w:spacing w:after="0" w:line="240" w:lineRule="auto"/>
              <w:rPr>
                <w:rFonts w:eastAsia="Times New Roman" w:cs="Calibri"/>
                <w:color w:val="000000"/>
                <w:sz w:val="20"/>
                <w:szCs w:val="20"/>
                <w:lang w:eastAsia="es-DO"/>
              </w:rPr>
            </w:pPr>
            <w:r w:rsidRPr="00E83082">
              <w:rPr>
                <w:rFonts w:eastAsia="Times New Roman" w:cs="Calibri"/>
                <w:color w:val="000000"/>
                <w:sz w:val="20"/>
                <w:szCs w:val="20"/>
                <w:lang w:eastAsia="es-DO"/>
              </w:rPr>
              <w:t>Países Sin TLC</w:t>
            </w:r>
          </w:p>
        </w:tc>
        <w:tc>
          <w:tcPr>
            <w:tcW w:w="1460" w:type="dxa"/>
            <w:tcBorders>
              <w:top w:val="nil"/>
              <w:left w:val="nil"/>
              <w:bottom w:val="single" w:sz="4" w:space="0" w:color="auto"/>
              <w:right w:val="single" w:sz="4" w:space="0" w:color="auto"/>
            </w:tcBorders>
            <w:noWrap/>
            <w:vAlign w:val="center"/>
            <w:hideMark/>
          </w:tcPr>
          <w:p w14:paraId="77D39F21"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25,067,047</w:t>
            </w:r>
          </w:p>
        </w:tc>
        <w:tc>
          <w:tcPr>
            <w:tcW w:w="1235" w:type="dxa"/>
            <w:tcBorders>
              <w:top w:val="nil"/>
              <w:left w:val="nil"/>
              <w:bottom w:val="single" w:sz="4" w:space="0" w:color="auto"/>
              <w:right w:val="single" w:sz="4" w:space="0" w:color="auto"/>
            </w:tcBorders>
            <w:noWrap/>
            <w:vAlign w:val="center"/>
            <w:hideMark/>
          </w:tcPr>
          <w:p w14:paraId="0C8CAD67"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31,434,603</w:t>
            </w:r>
          </w:p>
        </w:tc>
        <w:tc>
          <w:tcPr>
            <w:tcW w:w="1260" w:type="dxa"/>
            <w:tcBorders>
              <w:top w:val="nil"/>
              <w:left w:val="nil"/>
              <w:bottom w:val="single" w:sz="4" w:space="0" w:color="auto"/>
              <w:right w:val="single" w:sz="4" w:space="0" w:color="auto"/>
            </w:tcBorders>
            <w:noWrap/>
            <w:vAlign w:val="center"/>
            <w:hideMark/>
          </w:tcPr>
          <w:p w14:paraId="0BE4F800"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40,270,479</w:t>
            </w:r>
          </w:p>
        </w:tc>
        <w:tc>
          <w:tcPr>
            <w:tcW w:w="1350" w:type="dxa"/>
            <w:tcBorders>
              <w:top w:val="nil"/>
              <w:left w:val="nil"/>
              <w:bottom w:val="single" w:sz="4" w:space="0" w:color="auto"/>
              <w:right w:val="single" w:sz="4" w:space="0" w:color="auto"/>
            </w:tcBorders>
            <w:noWrap/>
            <w:vAlign w:val="center"/>
            <w:hideMark/>
          </w:tcPr>
          <w:p w14:paraId="6A0AD896"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7,716,726</w:t>
            </w:r>
          </w:p>
        </w:tc>
        <w:tc>
          <w:tcPr>
            <w:tcW w:w="1303" w:type="dxa"/>
            <w:tcBorders>
              <w:top w:val="nil"/>
              <w:left w:val="nil"/>
              <w:bottom w:val="single" w:sz="4" w:space="0" w:color="auto"/>
              <w:right w:val="single" w:sz="4" w:space="0" w:color="auto"/>
            </w:tcBorders>
            <w:noWrap/>
            <w:vAlign w:val="center"/>
            <w:hideMark/>
          </w:tcPr>
          <w:p w14:paraId="3D23E25C"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7,924,938</w:t>
            </w:r>
          </w:p>
        </w:tc>
      </w:tr>
      <w:tr w:rsidR="001B2BE3" w:rsidRPr="00E83082" w14:paraId="6532E697" w14:textId="77777777" w:rsidTr="0036119C">
        <w:trPr>
          <w:gridAfter w:val="1"/>
          <w:wAfter w:w="20" w:type="dxa"/>
          <w:trHeight w:val="300"/>
        </w:trPr>
        <w:tc>
          <w:tcPr>
            <w:tcW w:w="1980" w:type="dxa"/>
            <w:tcBorders>
              <w:top w:val="nil"/>
              <w:left w:val="single" w:sz="4" w:space="0" w:color="auto"/>
              <w:bottom w:val="single" w:sz="4" w:space="0" w:color="auto"/>
              <w:right w:val="single" w:sz="4" w:space="0" w:color="auto"/>
            </w:tcBorders>
            <w:noWrap/>
            <w:vAlign w:val="bottom"/>
            <w:hideMark/>
          </w:tcPr>
          <w:p w14:paraId="06135879" w14:textId="77777777" w:rsidR="001B2BE3" w:rsidRPr="00E83082" w:rsidRDefault="001B2BE3" w:rsidP="00391D81">
            <w:pPr>
              <w:spacing w:after="0" w:line="240" w:lineRule="auto"/>
              <w:rPr>
                <w:rFonts w:eastAsia="Times New Roman" w:cs="Calibri"/>
                <w:color w:val="000000"/>
                <w:sz w:val="20"/>
                <w:szCs w:val="20"/>
                <w:lang w:eastAsia="es-DO"/>
              </w:rPr>
            </w:pPr>
            <w:r w:rsidRPr="00E83082">
              <w:rPr>
                <w:rFonts w:eastAsia="Times New Roman" w:cs="Calibri"/>
                <w:color w:val="000000"/>
                <w:sz w:val="20"/>
                <w:szCs w:val="20"/>
                <w:lang w:eastAsia="es-DO"/>
              </w:rPr>
              <w:t>Países Con TLC</w:t>
            </w:r>
          </w:p>
        </w:tc>
        <w:tc>
          <w:tcPr>
            <w:tcW w:w="1460" w:type="dxa"/>
            <w:tcBorders>
              <w:top w:val="nil"/>
              <w:left w:val="nil"/>
              <w:bottom w:val="single" w:sz="4" w:space="0" w:color="auto"/>
              <w:right w:val="single" w:sz="4" w:space="0" w:color="auto"/>
            </w:tcBorders>
            <w:noWrap/>
            <w:vAlign w:val="center"/>
            <w:hideMark/>
          </w:tcPr>
          <w:p w14:paraId="2F35BCE0"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31,198,944</w:t>
            </w:r>
          </w:p>
        </w:tc>
        <w:tc>
          <w:tcPr>
            <w:tcW w:w="1235" w:type="dxa"/>
            <w:tcBorders>
              <w:top w:val="nil"/>
              <w:left w:val="nil"/>
              <w:bottom w:val="single" w:sz="4" w:space="0" w:color="auto"/>
              <w:right w:val="single" w:sz="4" w:space="0" w:color="auto"/>
            </w:tcBorders>
            <w:noWrap/>
            <w:vAlign w:val="center"/>
            <w:hideMark/>
          </w:tcPr>
          <w:p w14:paraId="3B9BA994"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30,451,044</w:t>
            </w:r>
          </w:p>
        </w:tc>
        <w:tc>
          <w:tcPr>
            <w:tcW w:w="1260" w:type="dxa"/>
            <w:tcBorders>
              <w:top w:val="nil"/>
              <w:left w:val="nil"/>
              <w:bottom w:val="single" w:sz="4" w:space="0" w:color="auto"/>
              <w:right w:val="single" w:sz="4" w:space="0" w:color="auto"/>
            </w:tcBorders>
            <w:noWrap/>
            <w:vAlign w:val="center"/>
            <w:hideMark/>
          </w:tcPr>
          <w:p w14:paraId="5DC56230"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37,901,791</w:t>
            </w:r>
          </w:p>
        </w:tc>
        <w:tc>
          <w:tcPr>
            <w:tcW w:w="1350" w:type="dxa"/>
            <w:tcBorders>
              <w:top w:val="nil"/>
              <w:left w:val="nil"/>
              <w:bottom w:val="single" w:sz="4" w:space="0" w:color="auto"/>
              <w:right w:val="single" w:sz="4" w:space="0" w:color="auto"/>
            </w:tcBorders>
            <w:noWrap/>
            <w:vAlign w:val="center"/>
            <w:hideMark/>
          </w:tcPr>
          <w:p w14:paraId="7854B9F4"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8,140,967</w:t>
            </w:r>
          </w:p>
        </w:tc>
        <w:tc>
          <w:tcPr>
            <w:tcW w:w="1303" w:type="dxa"/>
            <w:tcBorders>
              <w:top w:val="nil"/>
              <w:left w:val="nil"/>
              <w:bottom w:val="single" w:sz="4" w:space="0" w:color="auto"/>
              <w:right w:val="single" w:sz="4" w:space="0" w:color="auto"/>
            </w:tcBorders>
            <w:noWrap/>
            <w:vAlign w:val="center"/>
            <w:hideMark/>
          </w:tcPr>
          <w:p w14:paraId="656EC2C5"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8,060,170</w:t>
            </w:r>
          </w:p>
        </w:tc>
      </w:tr>
      <w:tr w:rsidR="001B2BE3" w:rsidRPr="00E83082" w14:paraId="559AD4C5" w14:textId="77777777" w:rsidTr="0036119C">
        <w:trPr>
          <w:gridAfter w:val="1"/>
          <w:wAfter w:w="20" w:type="dxa"/>
          <w:trHeight w:val="575"/>
        </w:trPr>
        <w:tc>
          <w:tcPr>
            <w:tcW w:w="1980" w:type="dxa"/>
            <w:tcBorders>
              <w:top w:val="nil"/>
              <w:left w:val="single" w:sz="4" w:space="0" w:color="auto"/>
              <w:bottom w:val="single" w:sz="4" w:space="0" w:color="auto"/>
              <w:right w:val="single" w:sz="4" w:space="0" w:color="auto"/>
            </w:tcBorders>
            <w:noWrap/>
            <w:vAlign w:val="bottom"/>
            <w:hideMark/>
          </w:tcPr>
          <w:p w14:paraId="6CC525B0" w14:textId="77777777" w:rsidR="001B2BE3" w:rsidRPr="00E83082" w:rsidRDefault="001B2BE3" w:rsidP="00391D81">
            <w:pPr>
              <w:spacing w:after="0" w:line="240" w:lineRule="auto"/>
              <w:rPr>
                <w:rFonts w:eastAsia="Times New Roman" w:cs="Calibri"/>
                <w:color w:val="000000"/>
                <w:sz w:val="20"/>
                <w:szCs w:val="20"/>
                <w:lang w:eastAsia="es-DO"/>
              </w:rPr>
            </w:pPr>
            <w:r w:rsidRPr="00E83082">
              <w:rPr>
                <w:rFonts w:eastAsia="Times New Roman" w:cs="Calibri"/>
                <w:color w:val="000000"/>
                <w:sz w:val="20"/>
                <w:szCs w:val="20"/>
                <w:lang w:eastAsia="es-DO"/>
              </w:rPr>
              <w:t>Participación No TLC</w:t>
            </w:r>
          </w:p>
        </w:tc>
        <w:tc>
          <w:tcPr>
            <w:tcW w:w="1460" w:type="dxa"/>
            <w:tcBorders>
              <w:top w:val="nil"/>
              <w:left w:val="nil"/>
              <w:bottom w:val="single" w:sz="4" w:space="0" w:color="auto"/>
              <w:right w:val="single" w:sz="4" w:space="0" w:color="auto"/>
            </w:tcBorders>
            <w:noWrap/>
            <w:vAlign w:val="center"/>
            <w:hideMark/>
          </w:tcPr>
          <w:p w14:paraId="6243D449"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45%</w:t>
            </w:r>
          </w:p>
        </w:tc>
        <w:tc>
          <w:tcPr>
            <w:tcW w:w="1235" w:type="dxa"/>
            <w:tcBorders>
              <w:top w:val="nil"/>
              <w:left w:val="nil"/>
              <w:bottom w:val="single" w:sz="4" w:space="0" w:color="auto"/>
              <w:right w:val="single" w:sz="4" w:space="0" w:color="auto"/>
            </w:tcBorders>
            <w:noWrap/>
            <w:vAlign w:val="center"/>
            <w:hideMark/>
          </w:tcPr>
          <w:p w14:paraId="5F33DE64"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51%</w:t>
            </w:r>
          </w:p>
        </w:tc>
        <w:tc>
          <w:tcPr>
            <w:tcW w:w="1260" w:type="dxa"/>
            <w:tcBorders>
              <w:top w:val="nil"/>
              <w:left w:val="nil"/>
              <w:bottom w:val="single" w:sz="4" w:space="0" w:color="auto"/>
              <w:right w:val="single" w:sz="4" w:space="0" w:color="auto"/>
            </w:tcBorders>
            <w:noWrap/>
            <w:vAlign w:val="center"/>
            <w:hideMark/>
          </w:tcPr>
          <w:p w14:paraId="63E7956B"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52%</w:t>
            </w:r>
          </w:p>
        </w:tc>
        <w:tc>
          <w:tcPr>
            <w:tcW w:w="1350" w:type="dxa"/>
            <w:tcBorders>
              <w:top w:val="nil"/>
              <w:left w:val="nil"/>
              <w:bottom w:val="single" w:sz="4" w:space="0" w:color="auto"/>
              <w:right w:val="single" w:sz="4" w:space="0" w:color="auto"/>
            </w:tcBorders>
            <w:noWrap/>
            <w:vAlign w:val="center"/>
            <w:hideMark/>
          </w:tcPr>
          <w:p w14:paraId="465C03B6"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49%</w:t>
            </w:r>
          </w:p>
        </w:tc>
        <w:tc>
          <w:tcPr>
            <w:tcW w:w="1303" w:type="dxa"/>
            <w:tcBorders>
              <w:top w:val="nil"/>
              <w:left w:val="nil"/>
              <w:bottom w:val="single" w:sz="4" w:space="0" w:color="auto"/>
              <w:right w:val="single" w:sz="4" w:space="0" w:color="auto"/>
            </w:tcBorders>
            <w:noWrap/>
            <w:vAlign w:val="center"/>
            <w:hideMark/>
          </w:tcPr>
          <w:p w14:paraId="53072ECA" w14:textId="77777777" w:rsidR="001B2BE3" w:rsidRPr="00E83082" w:rsidRDefault="001B2BE3" w:rsidP="00391D81">
            <w:pPr>
              <w:spacing w:after="0" w:line="240" w:lineRule="auto"/>
              <w:jc w:val="center"/>
              <w:rPr>
                <w:rFonts w:eastAsia="Times New Roman" w:cs="Calibri"/>
                <w:color w:val="000000"/>
                <w:sz w:val="20"/>
                <w:szCs w:val="20"/>
                <w:lang w:eastAsia="es-DO"/>
              </w:rPr>
            </w:pPr>
            <w:r w:rsidRPr="00E83082">
              <w:rPr>
                <w:rFonts w:eastAsia="Times New Roman" w:cs="Calibri"/>
                <w:color w:val="000000"/>
                <w:sz w:val="20"/>
                <w:szCs w:val="20"/>
                <w:lang w:eastAsia="es-DO"/>
              </w:rPr>
              <w:t>50%</w:t>
            </w:r>
          </w:p>
        </w:tc>
      </w:tr>
    </w:tbl>
    <w:bookmarkEnd w:id="1"/>
    <w:p w14:paraId="2FE17E28" w14:textId="77777777" w:rsidR="001B2BE3" w:rsidRPr="00670FA4" w:rsidRDefault="001B2BE3" w:rsidP="001B2BE3">
      <w:pPr>
        <w:spacing w:line="278" w:lineRule="auto"/>
        <w:jc w:val="both"/>
        <w:rPr>
          <w:rFonts w:cs="Calibri"/>
          <w:sz w:val="20"/>
          <w:szCs w:val="20"/>
        </w:rPr>
      </w:pPr>
      <w:r w:rsidRPr="00670FA4">
        <w:rPr>
          <w:rFonts w:cs="Calibri"/>
          <w:sz w:val="20"/>
          <w:szCs w:val="20"/>
        </w:rPr>
        <w:t>Fuente: Direccion General de Aduanas</w:t>
      </w:r>
    </w:p>
    <w:p w14:paraId="7C201C86" w14:textId="77777777" w:rsidR="007563D0" w:rsidRPr="00E83082" w:rsidRDefault="007563D0" w:rsidP="001B2BE3">
      <w:pPr>
        <w:spacing w:line="278" w:lineRule="auto"/>
        <w:jc w:val="both"/>
        <w:rPr>
          <w:rFonts w:cs="Calibri"/>
          <w:sz w:val="24"/>
          <w:szCs w:val="24"/>
        </w:rPr>
      </w:pPr>
    </w:p>
    <w:p w14:paraId="78B19048" w14:textId="77777777" w:rsidR="001B2BE3" w:rsidRPr="00E83082" w:rsidRDefault="001B2BE3" w:rsidP="001B2BE3">
      <w:pPr>
        <w:spacing w:line="278" w:lineRule="auto"/>
        <w:jc w:val="both"/>
        <w:rPr>
          <w:rFonts w:cs="Calibri"/>
          <w:sz w:val="24"/>
          <w:szCs w:val="24"/>
        </w:rPr>
      </w:pPr>
      <w:r w:rsidRPr="00E83082">
        <w:rPr>
          <w:rFonts w:cs="Calibri"/>
          <w:noProof/>
          <w:sz w:val="24"/>
          <w:szCs w:val="24"/>
        </w:rPr>
        <w:drawing>
          <wp:inline distT="0" distB="0" distL="0" distR="0" wp14:anchorId="4975E744" wp14:editId="11DB57B4">
            <wp:extent cx="5724940" cy="2743200"/>
            <wp:effectExtent l="0" t="0" r="0" b="0"/>
            <wp:docPr id="83849634" name="Chart 1">
              <a:extLst xmlns:a="http://schemas.openxmlformats.org/drawingml/2006/main">
                <a:ext uri="{FF2B5EF4-FFF2-40B4-BE49-F238E27FC236}">
                  <a16:creationId xmlns:a16="http://schemas.microsoft.com/office/drawing/2014/main" id="{31D4E4E9-78EA-0013-429E-D8F8500257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A76515" w14:textId="77777777" w:rsidR="001B2BE3" w:rsidRPr="007C6E8F" w:rsidRDefault="001B2BE3" w:rsidP="001B2BE3">
      <w:pPr>
        <w:pStyle w:val="Prrafodelista"/>
        <w:numPr>
          <w:ilvl w:val="0"/>
          <w:numId w:val="8"/>
        </w:numPr>
        <w:spacing w:after="160" w:line="278" w:lineRule="auto"/>
        <w:jc w:val="both"/>
        <w:rPr>
          <w:rFonts w:cs="Calibri"/>
          <w:sz w:val="24"/>
          <w:szCs w:val="24"/>
        </w:rPr>
      </w:pPr>
      <w:r w:rsidRPr="007C6E8F">
        <w:rPr>
          <w:rFonts w:cs="Calibri"/>
          <w:b/>
          <w:bCs/>
          <w:sz w:val="24"/>
          <w:szCs w:val="24"/>
        </w:rPr>
        <w:t>Análisis de Precios y Subvaloración</w:t>
      </w:r>
    </w:p>
    <w:p w14:paraId="3BD6EE7D" w14:textId="77777777" w:rsidR="00D00BC9" w:rsidRDefault="001B2BE3" w:rsidP="001B2BE3">
      <w:pPr>
        <w:spacing w:line="278" w:lineRule="auto"/>
        <w:jc w:val="both"/>
        <w:rPr>
          <w:rFonts w:cs="Calibri"/>
          <w:sz w:val="24"/>
          <w:szCs w:val="24"/>
        </w:rPr>
      </w:pPr>
      <w:r w:rsidRPr="00E83082">
        <w:rPr>
          <w:rFonts w:cs="Calibri"/>
          <w:sz w:val="24"/>
          <w:szCs w:val="24"/>
        </w:rPr>
        <w:t xml:space="preserve">Sin embargo, la evidencia que mejor apoya nuestro </w:t>
      </w:r>
      <w:r w:rsidRPr="007C6E8F">
        <w:rPr>
          <w:rFonts w:cs="Calibri"/>
          <w:sz w:val="24"/>
          <w:szCs w:val="24"/>
        </w:rPr>
        <w:t>argumento</w:t>
      </w:r>
      <w:r w:rsidRPr="00E83082">
        <w:rPr>
          <w:rFonts w:cs="Calibri"/>
          <w:sz w:val="24"/>
          <w:szCs w:val="24"/>
        </w:rPr>
        <w:t xml:space="preserve"> es el comportamiento diferenciado </w:t>
      </w:r>
      <w:r w:rsidR="007563D0">
        <w:rPr>
          <w:rFonts w:cs="Calibri"/>
          <w:sz w:val="24"/>
          <w:szCs w:val="24"/>
        </w:rPr>
        <w:t xml:space="preserve">que </w:t>
      </w:r>
      <w:r w:rsidRPr="00E83082">
        <w:rPr>
          <w:rFonts w:cs="Calibri"/>
          <w:sz w:val="24"/>
          <w:szCs w:val="24"/>
        </w:rPr>
        <w:t>emerge al examinar los precios unitarios</w:t>
      </w:r>
      <w:r w:rsidR="00D00BC9">
        <w:rPr>
          <w:rFonts w:cs="Calibri"/>
          <w:sz w:val="24"/>
          <w:szCs w:val="24"/>
        </w:rPr>
        <w:t xml:space="preserve">. </w:t>
      </w:r>
    </w:p>
    <w:p w14:paraId="16C1B9AE" w14:textId="77777777" w:rsidR="00D00BC9" w:rsidRDefault="001B2BE3" w:rsidP="001B2BE3">
      <w:pPr>
        <w:spacing w:line="278" w:lineRule="auto"/>
        <w:jc w:val="both"/>
        <w:rPr>
          <w:rFonts w:cs="Calibri"/>
          <w:sz w:val="24"/>
          <w:szCs w:val="24"/>
        </w:rPr>
      </w:pPr>
      <w:r w:rsidRPr="00E83082">
        <w:rPr>
          <w:rFonts w:cs="Calibri"/>
          <w:sz w:val="24"/>
          <w:szCs w:val="24"/>
        </w:rPr>
        <w:t>Los datos de precios unitarios</w:t>
      </w:r>
      <w:r w:rsidR="00D00BC9">
        <w:rPr>
          <w:rFonts w:cs="Calibri"/>
          <w:sz w:val="24"/>
          <w:szCs w:val="24"/>
        </w:rPr>
        <w:t xml:space="preserve"> en US$ por Kg</w:t>
      </w:r>
      <w:r w:rsidRPr="00E83082">
        <w:rPr>
          <w:rFonts w:cs="Calibri"/>
          <w:sz w:val="24"/>
          <w:szCs w:val="24"/>
        </w:rPr>
        <w:t xml:space="preserve"> revelan una </w:t>
      </w:r>
      <w:r w:rsidR="00D00BC9">
        <w:rPr>
          <w:rFonts w:cs="Calibri"/>
          <w:sz w:val="24"/>
          <w:szCs w:val="24"/>
        </w:rPr>
        <w:t xml:space="preserve">clara diferencia entre estos dos grupos de países. </w:t>
      </w:r>
      <w:r w:rsidRPr="00E83082">
        <w:rPr>
          <w:rFonts w:cs="Calibri"/>
          <w:sz w:val="24"/>
          <w:szCs w:val="24"/>
        </w:rPr>
        <w:t xml:space="preserve"> En 2022, </w:t>
      </w:r>
      <w:r w:rsidR="00D00BC9">
        <w:rPr>
          <w:rFonts w:cs="Calibri"/>
          <w:sz w:val="24"/>
          <w:szCs w:val="24"/>
        </w:rPr>
        <w:t xml:space="preserve">el precio promedio por kg de galletas en US$ provenientes de los </w:t>
      </w:r>
      <w:r w:rsidR="00D00BC9" w:rsidRPr="00E83082">
        <w:rPr>
          <w:rFonts w:cs="Calibri"/>
          <w:sz w:val="24"/>
          <w:szCs w:val="24"/>
        </w:rPr>
        <w:t>países</w:t>
      </w:r>
      <w:r w:rsidRPr="00E83082">
        <w:rPr>
          <w:rFonts w:cs="Calibri"/>
          <w:sz w:val="24"/>
          <w:szCs w:val="24"/>
        </w:rPr>
        <w:t xml:space="preserve"> sin TLC </w:t>
      </w:r>
      <w:r w:rsidR="00D00BC9">
        <w:rPr>
          <w:rFonts w:cs="Calibri"/>
          <w:sz w:val="24"/>
          <w:szCs w:val="24"/>
        </w:rPr>
        <w:t xml:space="preserve">fue un </w:t>
      </w:r>
      <w:r w:rsidRPr="00E83082">
        <w:rPr>
          <w:rFonts w:cs="Calibri"/>
          <w:sz w:val="24"/>
          <w:szCs w:val="24"/>
        </w:rPr>
        <w:t xml:space="preserve">21% </w:t>
      </w:r>
      <w:r w:rsidR="00D00BC9">
        <w:rPr>
          <w:rFonts w:cs="Calibri"/>
          <w:sz w:val="24"/>
          <w:szCs w:val="24"/>
        </w:rPr>
        <w:t xml:space="preserve">inferior a los precios promedios de los </w:t>
      </w:r>
      <w:r w:rsidR="00D00BC9" w:rsidRPr="00E83082">
        <w:rPr>
          <w:rFonts w:cs="Calibri"/>
          <w:sz w:val="24"/>
          <w:szCs w:val="24"/>
        </w:rPr>
        <w:t>países</w:t>
      </w:r>
      <w:r w:rsidRPr="00E83082">
        <w:rPr>
          <w:rFonts w:cs="Calibri"/>
          <w:sz w:val="24"/>
          <w:szCs w:val="24"/>
        </w:rPr>
        <w:t xml:space="preserve"> con TLC. </w:t>
      </w:r>
      <w:r w:rsidR="00D00BC9">
        <w:rPr>
          <w:rFonts w:cs="Calibri"/>
          <w:sz w:val="24"/>
          <w:szCs w:val="24"/>
        </w:rPr>
        <w:t xml:space="preserve">Para el </w:t>
      </w:r>
      <w:r w:rsidRPr="00E83082">
        <w:rPr>
          <w:rFonts w:cs="Calibri"/>
          <w:sz w:val="24"/>
          <w:szCs w:val="24"/>
        </w:rPr>
        <w:t>2024, esta brecha se amplió dramáticamente hasta alcanzar el 58%.</w:t>
      </w:r>
      <w:r w:rsidR="00D00BC9">
        <w:rPr>
          <w:rFonts w:cs="Calibri"/>
          <w:sz w:val="24"/>
          <w:szCs w:val="24"/>
        </w:rPr>
        <w:t xml:space="preserve">  </w:t>
      </w:r>
      <w:r w:rsidRPr="00E83082">
        <w:rPr>
          <w:rFonts w:cs="Calibri"/>
          <w:sz w:val="24"/>
          <w:szCs w:val="24"/>
        </w:rPr>
        <w:t>Esta ampliación de la diferencia de precios del 21% al 58% no representa una fluctuación normal del mercado</w:t>
      </w:r>
      <w:r w:rsidR="00D00BC9">
        <w:rPr>
          <w:rFonts w:cs="Calibri"/>
          <w:sz w:val="24"/>
          <w:szCs w:val="24"/>
        </w:rPr>
        <w:t xml:space="preserve">.  Lo </w:t>
      </w:r>
      <w:r w:rsidRPr="00E83082">
        <w:rPr>
          <w:rFonts w:cs="Calibri"/>
          <w:sz w:val="24"/>
          <w:szCs w:val="24"/>
        </w:rPr>
        <w:t>datos del primer trimestre de 2025 confirman que esta tendencia persiste</w:t>
      </w:r>
      <w:r w:rsidR="00D00BC9">
        <w:rPr>
          <w:rFonts w:cs="Calibri"/>
          <w:sz w:val="24"/>
          <w:szCs w:val="24"/>
        </w:rPr>
        <w:t xml:space="preserve">. </w:t>
      </w:r>
    </w:p>
    <w:p w14:paraId="58C9BCDC" w14:textId="77777777" w:rsidR="001B2BE3" w:rsidRPr="00E83082" w:rsidRDefault="001B2BE3" w:rsidP="001B2BE3">
      <w:pPr>
        <w:spacing w:line="278" w:lineRule="auto"/>
        <w:jc w:val="center"/>
        <w:rPr>
          <w:rFonts w:cs="Calibri"/>
          <w:sz w:val="24"/>
          <w:szCs w:val="24"/>
        </w:rPr>
      </w:pPr>
      <w:r w:rsidRPr="00E83082">
        <w:rPr>
          <w:rFonts w:cs="Calibri"/>
          <w:noProof/>
          <w:sz w:val="24"/>
          <w:szCs w:val="24"/>
        </w:rPr>
        <w:lastRenderedPageBreak/>
        <w:drawing>
          <wp:inline distT="0" distB="0" distL="0" distR="0" wp14:anchorId="70AF2071" wp14:editId="097C7854">
            <wp:extent cx="4572000" cy="2743200"/>
            <wp:effectExtent l="0" t="0" r="0" b="0"/>
            <wp:docPr id="1699169403" name="Chart 1">
              <a:extLst xmlns:a="http://schemas.openxmlformats.org/drawingml/2006/main">
                <a:ext uri="{FF2B5EF4-FFF2-40B4-BE49-F238E27FC236}">
                  <a16:creationId xmlns:a16="http://schemas.microsoft.com/office/drawing/2014/main" id="{4EFB710C-24E0-C653-4EC7-32238938C8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5F1DD6" w14:textId="312A0485" w:rsidR="001B2BE3" w:rsidRPr="00E83082" w:rsidRDefault="001B2BE3" w:rsidP="001B2BE3">
      <w:pPr>
        <w:spacing w:line="278" w:lineRule="auto"/>
        <w:jc w:val="center"/>
        <w:rPr>
          <w:rFonts w:cs="Calibri"/>
          <w:b/>
          <w:bCs/>
          <w:sz w:val="24"/>
          <w:szCs w:val="24"/>
        </w:rPr>
      </w:pPr>
      <w:r w:rsidRPr="00E83082">
        <w:rPr>
          <w:rFonts w:cs="Calibri"/>
          <w:noProof/>
          <w:sz w:val="24"/>
          <w:szCs w:val="24"/>
        </w:rPr>
        <w:drawing>
          <wp:inline distT="0" distB="0" distL="0" distR="0" wp14:anchorId="0720E9F0" wp14:editId="14BB513D">
            <wp:extent cx="4572000" cy="2743200"/>
            <wp:effectExtent l="0" t="0" r="0" b="0"/>
            <wp:docPr id="804999270" name="Chart 1">
              <a:extLst xmlns:a="http://schemas.openxmlformats.org/drawingml/2006/main">
                <a:ext uri="{FF2B5EF4-FFF2-40B4-BE49-F238E27FC236}">
                  <a16:creationId xmlns:a16="http://schemas.microsoft.com/office/drawing/2014/main" id="{9503AAD4-B626-FAD4-1D99-43CA8A171D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2087362" w14:textId="77777777" w:rsidR="001B2BE3" w:rsidRDefault="001B2BE3" w:rsidP="001B2BE3">
      <w:pPr>
        <w:spacing w:line="278" w:lineRule="auto"/>
        <w:jc w:val="both"/>
        <w:rPr>
          <w:rFonts w:cs="Calibri"/>
          <w:b/>
          <w:bCs/>
          <w:sz w:val="24"/>
          <w:szCs w:val="24"/>
        </w:rPr>
      </w:pPr>
    </w:p>
    <w:p w14:paraId="6DF303D5" w14:textId="77777777" w:rsidR="00C822E0" w:rsidRPr="00E83082" w:rsidRDefault="00C822E0" w:rsidP="001B2BE3">
      <w:pPr>
        <w:spacing w:line="278" w:lineRule="auto"/>
        <w:jc w:val="both"/>
        <w:rPr>
          <w:rFonts w:cs="Calibri"/>
          <w:b/>
          <w:bCs/>
          <w:sz w:val="24"/>
          <w:szCs w:val="24"/>
        </w:rPr>
      </w:pPr>
    </w:p>
    <w:p w14:paraId="7422F4FB" w14:textId="77777777" w:rsidR="000B55CA" w:rsidRPr="009564E2" w:rsidRDefault="000B55CA" w:rsidP="00905917">
      <w:pPr>
        <w:spacing w:line="240" w:lineRule="auto"/>
        <w:jc w:val="both"/>
        <w:rPr>
          <w:rFonts w:asciiTheme="minorHAnsi" w:hAnsiTheme="minorHAnsi" w:cstheme="minorHAnsi"/>
          <w:b/>
          <w:sz w:val="24"/>
          <w:szCs w:val="24"/>
        </w:rPr>
      </w:pPr>
      <w:r w:rsidRPr="009564E2">
        <w:rPr>
          <w:rFonts w:asciiTheme="minorHAnsi" w:hAnsiTheme="minorHAnsi" w:cstheme="minorHAnsi"/>
          <w:b/>
          <w:sz w:val="24"/>
          <w:szCs w:val="24"/>
        </w:rPr>
        <w:t>III.- DESCRIPCION DE LA SITUACIÓN DE DAÑO A LA PRODUCCIÓN NACIONAL</w:t>
      </w:r>
    </w:p>
    <w:p w14:paraId="7C1D26DC" w14:textId="77777777" w:rsidR="00107152" w:rsidRPr="009564E2" w:rsidRDefault="00107152" w:rsidP="00905917">
      <w:pPr>
        <w:spacing w:line="240" w:lineRule="auto"/>
        <w:jc w:val="both"/>
        <w:rPr>
          <w:rFonts w:asciiTheme="minorHAnsi" w:hAnsiTheme="minorHAnsi" w:cstheme="minorHAnsi"/>
          <w:b/>
          <w:sz w:val="24"/>
          <w:szCs w:val="24"/>
        </w:rPr>
      </w:pPr>
      <w:r w:rsidRPr="009564E2">
        <w:rPr>
          <w:rFonts w:asciiTheme="minorHAnsi" w:hAnsiTheme="minorHAnsi" w:cstheme="minorHAnsi"/>
          <w:b/>
          <w:sz w:val="24"/>
          <w:szCs w:val="24"/>
        </w:rPr>
        <w:t xml:space="preserve">III.1.- </w:t>
      </w:r>
      <w:r w:rsidR="00750209" w:rsidRPr="009564E2">
        <w:rPr>
          <w:rFonts w:asciiTheme="minorHAnsi" w:hAnsiTheme="minorHAnsi" w:cstheme="minorHAnsi"/>
          <w:b/>
          <w:sz w:val="24"/>
          <w:szCs w:val="24"/>
        </w:rPr>
        <w:t>Carac</w:t>
      </w:r>
      <w:r w:rsidRPr="009564E2">
        <w:rPr>
          <w:rFonts w:asciiTheme="minorHAnsi" w:hAnsiTheme="minorHAnsi" w:cstheme="minorHAnsi"/>
          <w:b/>
          <w:sz w:val="24"/>
          <w:szCs w:val="24"/>
        </w:rPr>
        <w:t xml:space="preserve">terísticas de la rama de producción </w:t>
      </w:r>
      <w:r w:rsidR="00750209" w:rsidRPr="009564E2">
        <w:rPr>
          <w:rFonts w:asciiTheme="minorHAnsi" w:hAnsiTheme="minorHAnsi" w:cstheme="minorHAnsi"/>
          <w:b/>
          <w:sz w:val="24"/>
          <w:szCs w:val="24"/>
        </w:rPr>
        <w:t>nacional:</w:t>
      </w:r>
      <w:r w:rsidRPr="009564E2">
        <w:rPr>
          <w:rFonts w:asciiTheme="minorHAnsi" w:hAnsiTheme="minorHAnsi" w:cstheme="minorHAnsi"/>
          <w:b/>
          <w:sz w:val="24"/>
          <w:szCs w:val="24"/>
        </w:rPr>
        <w:t xml:space="preserve"> </w:t>
      </w:r>
    </w:p>
    <w:p w14:paraId="0568B27F" w14:textId="5D80FB9B" w:rsidR="00763B94" w:rsidRPr="003B3F76" w:rsidRDefault="00763B94" w:rsidP="00905917">
      <w:pPr>
        <w:spacing w:line="240" w:lineRule="auto"/>
        <w:jc w:val="both"/>
        <w:rPr>
          <w:rFonts w:asciiTheme="minorHAnsi" w:hAnsiTheme="minorHAnsi" w:cstheme="minorHAnsi"/>
          <w:sz w:val="24"/>
          <w:szCs w:val="24"/>
        </w:rPr>
      </w:pPr>
      <w:r w:rsidRPr="009564E2">
        <w:rPr>
          <w:rFonts w:asciiTheme="minorHAnsi" w:hAnsiTheme="minorHAnsi" w:cstheme="minorHAnsi"/>
          <w:sz w:val="24"/>
          <w:szCs w:val="24"/>
        </w:rPr>
        <w:t>La</w:t>
      </w:r>
      <w:r w:rsidR="00C822E0">
        <w:rPr>
          <w:rFonts w:asciiTheme="minorHAnsi" w:hAnsiTheme="minorHAnsi" w:cstheme="minorHAnsi"/>
          <w:sz w:val="24"/>
          <w:szCs w:val="24"/>
        </w:rPr>
        <w:t>s</w:t>
      </w:r>
      <w:r w:rsidRPr="009564E2">
        <w:rPr>
          <w:rFonts w:asciiTheme="minorHAnsi" w:hAnsiTheme="minorHAnsi" w:cstheme="minorHAnsi"/>
          <w:sz w:val="24"/>
          <w:szCs w:val="24"/>
        </w:rPr>
        <w:t xml:space="preserve"> empresa</w:t>
      </w:r>
      <w:r w:rsidR="00C822E0">
        <w:rPr>
          <w:rFonts w:asciiTheme="minorHAnsi" w:hAnsiTheme="minorHAnsi" w:cstheme="minorHAnsi"/>
          <w:sz w:val="24"/>
          <w:szCs w:val="24"/>
        </w:rPr>
        <w:t>s</w:t>
      </w:r>
      <w:r w:rsidRPr="009564E2">
        <w:rPr>
          <w:rFonts w:asciiTheme="minorHAnsi" w:hAnsiTheme="minorHAnsi" w:cstheme="minorHAnsi"/>
          <w:sz w:val="24"/>
          <w:szCs w:val="24"/>
        </w:rPr>
        <w:t xml:space="preserve"> </w:t>
      </w:r>
      <w:r w:rsidR="00D80E68">
        <w:rPr>
          <w:rFonts w:asciiTheme="minorHAnsi" w:hAnsiTheme="minorHAnsi" w:cstheme="minorHAnsi"/>
          <w:sz w:val="24"/>
          <w:szCs w:val="24"/>
        </w:rPr>
        <w:t>actuantes como Rama de Producción Nacional</w:t>
      </w:r>
      <w:r w:rsidR="00187C95" w:rsidRPr="009564E2">
        <w:rPr>
          <w:rFonts w:asciiTheme="minorHAnsi" w:hAnsiTheme="minorHAnsi" w:cstheme="minorHAnsi"/>
          <w:color w:val="0070C0"/>
          <w:sz w:val="24"/>
          <w:szCs w:val="24"/>
        </w:rPr>
        <w:t xml:space="preserve"> </w:t>
      </w:r>
      <w:r w:rsidR="00187C95" w:rsidRPr="009564E2">
        <w:rPr>
          <w:rFonts w:asciiTheme="minorHAnsi" w:hAnsiTheme="minorHAnsi" w:cstheme="minorHAnsi"/>
          <w:sz w:val="24"/>
          <w:szCs w:val="24"/>
        </w:rPr>
        <w:t>representan un</w:t>
      </w:r>
      <w:r w:rsidR="00187C95" w:rsidRPr="009564E2">
        <w:rPr>
          <w:rFonts w:asciiTheme="minorHAnsi" w:hAnsiTheme="minorHAnsi" w:cstheme="minorHAnsi"/>
          <w:color w:val="0070C0"/>
          <w:sz w:val="24"/>
          <w:szCs w:val="24"/>
        </w:rPr>
        <w:t xml:space="preserve"> </w:t>
      </w:r>
      <w:r w:rsidR="00D80E68" w:rsidRPr="003B3F76">
        <w:rPr>
          <w:rFonts w:asciiTheme="minorHAnsi" w:hAnsiTheme="minorHAnsi" w:cstheme="minorHAnsi"/>
          <w:sz w:val="24"/>
          <w:szCs w:val="24"/>
        </w:rPr>
        <w:t>92</w:t>
      </w:r>
      <w:r w:rsidR="00670FA4" w:rsidRPr="003B3F76">
        <w:rPr>
          <w:rFonts w:asciiTheme="minorHAnsi" w:hAnsiTheme="minorHAnsi" w:cstheme="minorHAnsi"/>
          <w:sz w:val="24"/>
          <w:szCs w:val="24"/>
        </w:rPr>
        <w:t>% de</w:t>
      </w:r>
      <w:r w:rsidRPr="003B3F76">
        <w:rPr>
          <w:rFonts w:asciiTheme="minorHAnsi" w:hAnsiTheme="minorHAnsi" w:cstheme="minorHAnsi"/>
          <w:sz w:val="24"/>
          <w:szCs w:val="24"/>
        </w:rPr>
        <w:t xml:space="preserve"> la producción nacional</w:t>
      </w:r>
      <w:r w:rsidR="00563DBA" w:rsidRPr="003B3F76">
        <w:rPr>
          <w:rFonts w:asciiTheme="minorHAnsi" w:hAnsiTheme="minorHAnsi" w:cstheme="minorHAnsi"/>
          <w:sz w:val="24"/>
          <w:szCs w:val="24"/>
        </w:rPr>
        <w:t xml:space="preserve"> </w:t>
      </w:r>
      <w:r w:rsidR="00187C95" w:rsidRPr="003B3F76">
        <w:rPr>
          <w:rFonts w:asciiTheme="minorHAnsi" w:hAnsiTheme="minorHAnsi" w:cstheme="minorHAnsi"/>
          <w:sz w:val="24"/>
          <w:szCs w:val="24"/>
        </w:rPr>
        <w:t xml:space="preserve">legítima su facultad de solicitar el inicio de una investigación por </w:t>
      </w:r>
      <w:r w:rsidR="00D80E68" w:rsidRPr="003B3F76">
        <w:rPr>
          <w:rFonts w:asciiTheme="minorHAnsi" w:hAnsiTheme="minorHAnsi" w:cstheme="minorHAnsi"/>
          <w:sz w:val="24"/>
          <w:szCs w:val="24"/>
        </w:rPr>
        <w:t>salvaguard</w:t>
      </w:r>
      <w:r w:rsidR="00642CF7" w:rsidRPr="003B3F76">
        <w:rPr>
          <w:rFonts w:asciiTheme="minorHAnsi" w:hAnsiTheme="minorHAnsi" w:cstheme="minorHAnsi"/>
          <w:sz w:val="24"/>
          <w:szCs w:val="24"/>
        </w:rPr>
        <w:t>i</w:t>
      </w:r>
      <w:r w:rsidR="00D80E68" w:rsidRPr="003B3F76">
        <w:rPr>
          <w:rFonts w:asciiTheme="minorHAnsi" w:hAnsiTheme="minorHAnsi" w:cstheme="minorHAnsi"/>
          <w:sz w:val="24"/>
          <w:szCs w:val="24"/>
        </w:rPr>
        <w:t xml:space="preserve">a. </w:t>
      </w:r>
    </w:p>
    <w:p w14:paraId="1C946D42" w14:textId="735B215C" w:rsidR="00750209" w:rsidRPr="009564E2" w:rsidRDefault="00750209" w:rsidP="00905917">
      <w:pPr>
        <w:spacing w:line="240" w:lineRule="auto"/>
        <w:jc w:val="both"/>
        <w:rPr>
          <w:rFonts w:asciiTheme="minorHAnsi" w:hAnsiTheme="minorHAnsi" w:cstheme="minorHAnsi"/>
          <w:b/>
          <w:sz w:val="24"/>
          <w:szCs w:val="24"/>
        </w:rPr>
      </w:pPr>
      <w:r w:rsidRPr="009564E2">
        <w:rPr>
          <w:rFonts w:asciiTheme="minorHAnsi" w:hAnsiTheme="minorHAnsi" w:cstheme="minorHAnsi"/>
          <w:b/>
          <w:sz w:val="24"/>
          <w:szCs w:val="24"/>
        </w:rPr>
        <w:t xml:space="preserve">III.2.- </w:t>
      </w:r>
      <w:r w:rsidR="00D00BC9">
        <w:rPr>
          <w:rFonts w:asciiTheme="minorHAnsi" w:hAnsiTheme="minorHAnsi" w:cstheme="minorHAnsi"/>
          <w:b/>
          <w:sz w:val="24"/>
          <w:szCs w:val="24"/>
        </w:rPr>
        <w:t xml:space="preserve">El aumento súbito de las importaciones de países con los cuales la </w:t>
      </w:r>
      <w:r w:rsidR="00642CF7">
        <w:rPr>
          <w:rFonts w:asciiTheme="minorHAnsi" w:hAnsiTheme="minorHAnsi" w:cstheme="minorHAnsi"/>
          <w:b/>
          <w:sz w:val="24"/>
          <w:szCs w:val="24"/>
        </w:rPr>
        <w:t>República</w:t>
      </w:r>
      <w:r w:rsidR="00D00BC9">
        <w:rPr>
          <w:rFonts w:asciiTheme="minorHAnsi" w:hAnsiTheme="minorHAnsi" w:cstheme="minorHAnsi"/>
          <w:b/>
          <w:sz w:val="24"/>
          <w:szCs w:val="24"/>
        </w:rPr>
        <w:t xml:space="preserve"> Dominicana no tienen Tratados de Libre Comercio, ha generado un daño grave a la Rama de Producción Nacional</w:t>
      </w:r>
      <w:r w:rsidRPr="009564E2">
        <w:rPr>
          <w:rFonts w:asciiTheme="minorHAnsi" w:hAnsiTheme="minorHAnsi" w:cstheme="minorHAnsi"/>
          <w:b/>
          <w:sz w:val="24"/>
          <w:szCs w:val="24"/>
        </w:rPr>
        <w:t xml:space="preserve">: </w:t>
      </w:r>
    </w:p>
    <w:p w14:paraId="66ED5674" w14:textId="77777777" w:rsidR="00642CF7" w:rsidRDefault="00D00BC9" w:rsidP="00D00BC9">
      <w:pPr>
        <w:spacing w:line="278" w:lineRule="auto"/>
        <w:jc w:val="both"/>
        <w:rPr>
          <w:rFonts w:cs="Calibri"/>
          <w:sz w:val="24"/>
          <w:szCs w:val="24"/>
        </w:rPr>
      </w:pPr>
      <w:r>
        <w:rPr>
          <w:rFonts w:cs="Calibri"/>
          <w:sz w:val="24"/>
          <w:szCs w:val="24"/>
        </w:rPr>
        <w:t xml:space="preserve">El aumento súbito de estas importaciones ha generado un daño grave a la Rama de Producción Nacional.  </w:t>
      </w:r>
      <w:r w:rsidRPr="00E83082">
        <w:rPr>
          <w:rFonts w:cs="Calibri"/>
          <w:sz w:val="24"/>
          <w:szCs w:val="24"/>
        </w:rPr>
        <w:t>Los datos</w:t>
      </w:r>
      <w:r>
        <w:rPr>
          <w:rFonts w:cs="Calibri"/>
          <w:sz w:val="24"/>
          <w:szCs w:val="24"/>
        </w:rPr>
        <w:t xml:space="preserve"> </w:t>
      </w:r>
      <w:r w:rsidRPr="00E83082">
        <w:rPr>
          <w:rFonts w:cs="Calibri"/>
          <w:sz w:val="24"/>
          <w:szCs w:val="24"/>
        </w:rPr>
        <w:t>evidencian</w:t>
      </w:r>
      <w:r w:rsidRPr="007C6E8F">
        <w:rPr>
          <w:rFonts w:cs="Calibri"/>
          <w:sz w:val="24"/>
          <w:szCs w:val="24"/>
        </w:rPr>
        <w:t xml:space="preserve"> </w:t>
      </w:r>
      <w:r>
        <w:rPr>
          <w:rFonts w:cs="Calibri"/>
          <w:sz w:val="24"/>
          <w:szCs w:val="24"/>
        </w:rPr>
        <w:t xml:space="preserve">que dicho daño es atribuible a las </w:t>
      </w:r>
      <w:r>
        <w:rPr>
          <w:rFonts w:cs="Calibri"/>
          <w:sz w:val="24"/>
          <w:szCs w:val="24"/>
        </w:rPr>
        <w:lastRenderedPageBreak/>
        <w:t xml:space="preserve">importaciones de países con los cuales la Republica Dominicana no cuenta con tratados de libre comercio. </w:t>
      </w:r>
      <w:r w:rsidRPr="00E83082">
        <w:rPr>
          <w:rFonts w:cs="Calibri"/>
          <w:sz w:val="24"/>
          <w:szCs w:val="24"/>
        </w:rPr>
        <w:t xml:space="preserve">Mientras los países con TLC mantienen patrones comerciales estables y coherentes con las condiciones globales, los países sin TLC exhiben </w:t>
      </w:r>
      <w:r w:rsidR="00186D05">
        <w:rPr>
          <w:rFonts w:cs="Calibri"/>
          <w:sz w:val="24"/>
          <w:szCs w:val="24"/>
        </w:rPr>
        <w:t xml:space="preserve">un comportamiento </w:t>
      </w:r>
      <w:r w:rsidRPr="00E83082">
        <w:rPr>
          <w:rFonts w:cs="Calibri"/>
          <w:sz w:val="24"/>
          <w:szCs w:val="24"/>
        </w:rPr>
        <w:t>agresiv</w:t>
      </w:r>
      <w:r w:rsidR="00186D05">
        <w:rPr>
          <w:rFonts w:cs="Calibri"/>
          <w:sz w:val="24"/>
          <w:szCs w:val="24"/>
        </w:rPr>
        <w:t>o</w:t>
      </w:r>
      <w:r w:rsidRPr="007C6E8F">
        <w:rPr>
          <w:rFonts w:cs="Calibri"/>
          <w:sz w:val="24"/>
          <w:szCs w:val="24"/>
        </w:rPr>
        <w:t xml:space="preserve"> en términos de volúmenes importados a precios inferiores. </w:t>
      </w:r>
    </w:p>
    <w:p w14:paraId="24866D20" w14:textId="0A1BC8A7" w:rsidR="00D00BC9" w:rsidRDefault="00D00BC9" w:rsidP="00D00BC9">
      <w:pPr>
        <w:spacing w:line="278" w:lineRule="auto"/>
        <w:jc w:val="both"/>
        <w:rPr>
          <w:rFonts w:cs="Calibri"/>
          <w:sz w:val="24"/>
          <w:szCs w:val="24"/>
        </w:rPr>
      </w:pPr>
      <w:r w:rsidRPr="007C6E8F">
        <w:rPr>
          <w:rFonts w:cs="Calibri"/>
          <w:sz w:val="24"/>
          <w:szCs w:val="24"/>
        </w:rPr>
        <w:t xml:space="preserve"> </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0"/>
        <w:gridCol w:w="1345"/>
        <w:gridCol w:w="1440"/>
        <w:gridCol w:w="1350"/>
        <w:gridCol w:w="1260"/>
        <w:gridCol w:w="8"/>
        <w:gridCol w:w="1342"/>
      </w:tblGrid>
      <w:tr w:rsidR="00186D05" w:rsidRPr="00186D05" w14:paraId="5CDA4D3E" w14:textId="77777777" w:rsidTr="0036119C">
        <w:trPr>
          <w:trHeight w:val="945"/>
        </w:trPr>
        <w:tc>
          <w:tcPr>
            <w:tcW w:w="1980" w:type="dxa"/>
            <w:shd w:val="clear" w:color="99CCFF" w:fill="C0C0C0"/>
            <w:vAlign w:val="center"/>
            <w:hideMark/>
          </w:tcPr>
          <w:p w14:paraId="1FF29004" w14:textId="33832829"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volúmenes Importados en KG</w:t>
            </w:r>
          </w:p>
        </w:tc>
        <w:tc>
          <w:tcPr>
            <w:tcW w:w="1345" w:type="dxa"/>
            <w:shd w:val="clear" w:color="99CCFF" w:fill="C0C0C0"/>
            <w:vAlign w:val="center"/>
            <w:hideMark/>
          </w:tcPr>
          <w:p w14:paraId="378BB43B" w14:textId="77777777"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2022</w:t>
            </w:r>
          </w:p>
        </w:tc>
        <w:tc>
          <w:tcPr>
            <w:tcW w:w="1440" w:type="dxa"/>
            <w:shd w:val="clear" w:color="99CCFF" w:fill="C0C0C0"/>
            <w:vAlign w:val="center"/>
            <w:hideMark/>
          </w:tcPr>
          <w:p w14:paraId="058E1FEB" w14:textId="77777777"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2023</w:t>
            </w:r>
          </w:p>
        </w:tc>
        <w:tc>
          <w:tcPr>
            <w:tcW w:w="1350" w:type="dxa"/>
            <w:shd w:val="clear" w:color="99CCFF" w:fill="C0C0C0"/>
            <w:vAlign w:val="center"/>
            <w:hideMark/>
          </w:tcPr>
          <w:p w14:paraId="386B1DBD" w14:textId="77777777"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2024</w:t>
            </w:r>
          </w:p>
        </w:tc>
        <w:tc>
          <w:tcPr>
            <w:tcW w:w="1260" w:type="dxa"/>
            <w:shd w:val="clear" w:color="99CCFF" w:fill="C0C0C0"/>
            <w:vAlign w:val="center"/>
            <w:hideMark/>
          </w:tcPr>
          <w:p w14:paraId="0060AB50" w14:textId="77777777"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Ene - Mar 2024</w:t>
            </w:r>
          </w:p>
        </w:tc>
        <w:tc>
          <w:tcPr>
            <w:tcW w:w="1350" w:type="dxa"/>
            <w:gridSpan w:val="2"/>
            <w:shd w:val="clear" w:color="99CCFF" w:fill="C0C0C0"/>
            <w:vAlign w:val="center"/>
            <w:hideMark/>
          </w:tcPr>
          <w:p w14:paraId="1798D2C3" w14:textId="77777777"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Ene - Mar 2025</w:t>
            </w:r>
          </w:p>
        </w:tc>
      </w:tr>
      <w:tr w:rsidR="00186D05" w:rsidRPr="00186D05" w14:paraId="2BBAD1DE" w14:textId="77777777" w:rsidTr="0036119C">
        <w:trPr>
          <w:trHeight w:val="300"/>
        </w:trPr>
        <w:tc>
          <w:tcPr>
            <w:tcW w:w="1980" w:type="dxa"/>
            <w:noWrap/>
            <w:vAlign w:val="bottom"/>
            <w:hideMark/>
          </w:tcPr>
          <w:p w14:paraId="3DD239E4" w14:textId="77777777" w:rsidR="00186D05" w:rsidRPr="00186D05" w:rsidRDefault="00186D05" w:rsidP="00186D05">
            <w:pPr>
              <w:spacing w:after="0" w:line="240" w:lineRule="auto"/>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NO TLC</w:t>
            </w:r>
          </w:p>
        </w:tc>
        <w:tc>
          <w:tcPr>
            <w:tcW w:w="1345" w:type="dxa"/>
            <w:noWrap/>
            <w:vAlign w:val="bottom"/>
            <w:hideMark/>
          </w:tcPr>
          <w:p w14:paraId="4503C13C" w14:textId="459F81C8"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 xml:space="preserve">12,526,719 </w:t>
            </w:r>
          </w:p>
        </w:tc>
        <w:tc>
          <w:tcPr>
            <w:tcW w:w="1440" w:type="dxa"/>
            <w:noWrap/>
            <w:vAlign w:val="bottom"/>
            <w:hideMark/>
          </w:tcPr>
          <w:p w14:paraId="3C18F9BB" w14:textId="182D866A"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 xml:space="preserve">16,079,025 </w:t>
            </w:r>
          </w:p>
        </w:tc>
        <w:tc>
          <w:tcPr>
            <w:tcW w:w="1350" w:type="dxa"/>
            <w:noWrap/>
            <w:vAlign w:val="bottom"/>
            <w:hideMark/>
          </w:tcPr>
          <w:p w14:paraId="25315A18" w14:textId="304D7348"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 xml:space="preserve">22,408,972 </w:t>
            </w:r>
          </w:p>
        </w:tc>
        <w:tc>
          <w:tcPr>
            <w:tcW w:w="1260" w:type="dxa"/>
            <w:noWrap/>
            <w:vAlign w:val="bottom"/>
            <w:hideMark/>
          </w:tcPr>
          <w:p w14:paraId="715A186B" w14:textId="4ABEF55C"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 xml:space="preserve">4,218,092 </w:t>
            </w:r>
          </w:p>
        </w:tc>
        <w:tc>
          <w:tcPr>
            <w:tcW w:w="1350" w:type="dxa"/>
            <w:gridSpan w:val="2"/>
            <w:noWrap/>
            <w:vAlign w:val="bottom"/>
            <w:hideMark/>
          </w:tcPr>
          <w:p w14:paraId="2867A893" w14:textId="7B18AEEF"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 xml:space="preserve">4,328,425 </w:t>
            </w:r>
          </w:p>
        </w:tc>
      </w:tr>
      <w:tr w:rsidR="00186D05" w:rsidRPr="00186D05" w14:paraId="3024B17C" w14:textId="77777777" w:rsidTr="0036119C">
        <w:trPr>
          <w:trHeight w:val="300"/>
        </w:trPr>
        <w:tc>
          <w:tcPr>
            <w:tcW w:w="1980" w:type="dxa"/>
            <w:noWrap/>
            <w:vAlign w:val="bottom"/>
            <w:hideMark/>
          </w:tcPr>
          <w:p w14:paraId="3911E98C" w14:textId="77777777" w:rsidR="00186D05" w:rsidRPr="00186D05" w:rsidRDefault="00186D05" w:rsidP="00186D05">
            <w:pPr>
              <w:spacing w:after="0" w:line="240" w:lineRule="auto"/>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TLC</w:t>
            </w:r>
          </w:p>
        </w:tc>
        <w:tc>
          <w:tcPr>
            <w:tcW w:w="1345" w:type="dxa"/>
            <w:noWrap/>
            <w:vAlign w:val="bottom"/>
            <w:hideMark/>
          </w:tcPr>
          <w:p w14:paraId="7F3966AA" w14:textId="34B730F8"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 xml:space="preserve">12,906,857 </w:t>
            </w:r>
          </w:p>
        </w:tc>
        <w:tc>
          <w:tcPr>
            <w:tcW w:w="1440" w:type="dxa"/>
            <w:noWrap/>
            <w:vAlign w:val="bottom"/>
            <w:hideMark/>
          </w:tcPr>
          <w:p w14:paraId="58247A8C" w14:textId="55602B25"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 xml:space="preserve">10,637,332 </w:t>
            </w:r>
          </w:p>
        </w:tc>
        <w:tc>
          <w:tcPr>
            <w:tcW w:w="1350" w:type="dxa"/>
            <w:noWrap/>
            <w:vAlign w:val="bottom"/>
            <w:hideMark/>
          </w:tcPr>
          <w:p w14:paraId="0A7E3131" w14:textId="64B602BE"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 xml:space="preserve">13,368,666 </w:t>
            </w:r>
          </w:p>
        </w:tc>
        <w:tc>
          <w:tcPr>
            <w:tcW w:w="1260" w:type="dxa"/>
            <w:noWrap/>
            <w:vAlign w:val="bottom"/>
            <w:hideMark/>
          </w:tcPr>
          <w:p w14:paraId="2631E098" w14:textId="463FD6BF"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 xml:space="preserve">2,785,386 </w:t>
            </w:r>
          </w:p>
        </w:tc>
        <w:tc>
          <w:tcPr>
            <w:tcW w:w="1350" w:type="dxa"/>
            <w:gridSpan w:val="2"/>
            <w:noWrap/>
            <w:vAlign w:val="bottom"/>
            <w:hideMark/>
          </w:tcPr>
          <w:p w14:paraId="6281FF1C" w14:textId="554F469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 xml:space="preserve">2,897,000 </w:t>
            </w:r>
          </w:p>
        </w:tc>
      </w:tr>
      <w:tr w:rsidR="00186D05" w:rsidRPr="00186D05" w14:paraId="4879C044" w14:textId="77777777" w:rsidTr="0036119C">
        <w:trPr>
          <w:trHeight w:val="300"/>
        </w:trPr>
        <w:tc>
          <w:tcPr>
            <w:tcW w:w="1980" w:type="dxa"/>
            <w:noWrap/>
            <w:vAlign w:val="bottom"/>
            <w:hideMark/>
          </w:tcPr>
          <w:p w14:paraId="0AB9B37F" w14:textId="77777777" w:rsidR="00186D05" w:rsidRPr="00186D05" w:rsidRDefault="00186D05" w:rsidP="00186D05">
            <w:pPr>
              <w:spacing w:after="0" w:line="240" w:lineRule="auto"/>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Total</w:t>
            </w:r>
          </w:p>
        </w:tc>
        <w:tc>
          <w:tcPr>
            <w:tcW w:w="1345" w:type="dxa"/>
            <w:noWrap/>
            <w:vAlign w:val="bottom"/>
            <w:hideMark/>
          </w:tcPr>
          <w:p w14:paraId="1127D3A0" w14:textId="65ACF23A" w:rsidR="00186D05" w:rsidRPr="00186D05" w:rsidRDefault="00186D05" w:rsidP="00186D05">
            <w:pPr>
              <w:spacing w:after="0" w:line="240" w:lineRule="auto"/>
              <w:jc w:val="right"/>
              <w:rPr>
                <w:rFonts w:ascii="Aptos Narrow" w:eastAsia="Times New Roman" w:hAnsi="Aptos Narrow"/>
                <w:b/>
                <w:bCs/>
                <w:color w:val="000000"/>
                <w:sz w:val="20"/>
                <w:szCs w:val="20"/>
                <w:lang w:val="es-DO" w:eastAsia="es-DO"/>
              </w:rPr>
            </w:pPr>
            <w:r w:rsidRPr="00186D05">
              <w:rPr>
                <w:rFonts w:ascii="Aptos Narrow" w:eastAsia="Times New Roman" w:hAnsi="Aptos Narrow"/>
                <w:b/>
                <w:bCs/>
                <w:color w:val="000000"/>
                <w:sz w:val="20"/>
                <w:szCs w:val="20"/>
                <w:lang w:val="es-DO" w:eastAsia="es-DO"/>
              </w:rPr>
              <w:t xml:space="preserve">25,433,576 </w:t>
            </w:r>
          </w:p>
        </w:tc>
        <w:tc>
          <w:tcPr>
            <w:tcW w:w="1440" w:type="dxa"/>
            <w:noWrap/>
            <w:vAlign w:val="bottom"/>
            <w:hideMark/>
          </w:tcPr>
          <w:p w14:paraId="3FEE555A" w14:textId="71164F03" w:rsidR="00186D05" w:rsidRPr="00186D05" w:rsidRDefault="00186D05" w:rsidP="00186D05">
            <w:pPr>
              <w:spacing w:after="0" w:line="240" w:lineRule="auto"/>
              <w:jc w:val="right"/>
              <w:rPr>
                <w:rFonts w:ascii="Aptos Narrow" w:eastAsia="Times New Roman" w:hAnsi="Aptos Narrow"/>
                <w:b/>
                <w:bCs/>
                <w:color w:val="000000"/>
                <w:sz w:val="20"/>
                <w:szCs w:val="20"/>
                <w:lang w:val="es-DO" w:eastAsia="es-DO"/>
              </w:rPr>
            </w:pPr>
            <w:r w:rsidRPr="00186D05">
              <w:rPr>
                <w:rFonts w:ascii="Aptos Narrow" w:eastAsia="Times New Roman" w:hAnsi="Aptos Narrow"/>
                <w:b/>
                <w:bCs/>
                <w:color w:val="000000"/>
                <w:sz w:val="20"/>
                <w:szCs w:val="20"/>
                <w:lang w:val="es-DO" w:eastAsia="es-DO"/>
              </w:rPr>
              <w:t xml:space="preserve"> 26,716,356 </w:t>
            </w:r>
          </w:p>
        </w:tc>
        <w:tc>
          <w:tcPr>
            <w:tcW w:w="1350" w:type="dxa"/>
            <w:noWrap/>
            <w:vAlign w:val="bottom"/>
            <w:hideMark/>
          </w:tcPr>
          <w:p w14:paraId="354D2853" w14:textId="70AA728E" w:rsidR="00186D05" w:rsidRPr="00186D05" w:rsidRDefault="00186D05" w:rsidP="00186D05">
            <w:pPr>
              <w:spacing w:after="0" w:line="240" w:lineRule="auto"/>
              <w:jc w:val="right"/>
              <w:rPr>
                <w:rFonts w:ascii="Aptos Narrow" w:eastAsia="Times New Roman" w:hAnsi="Aptos Narrow"/>
                <w:b/>
                <w:bCs/>
                <w:color w:val="000000"/>
                <w:sz w:val="20"/>
                <w:szCs w:val="20"/>
                <w:lang w:val="es-DO" w:eastAsia="es-DO"/>
              </w:rPr>
            </w:pPr>
            <w:r w:rsidRPr="00186D05">
              <w:rPr>
                <w:rFonts w:ascii="Aptos Narrow" w:eastAsia="Times New Roman" w:hAnsi="Aptos Narrow"/>
                <w:b/>
                <w:bCs/>
                <w:color w:val="000000"/>
                <w:sz w:val="20"/>
                <w:szCs w:val="20"/>
                <w:lang w:val="es-DO" w:eastAsia="es-DO"/>
              </w:rPr>
              <w:t xml:space="preserve"> 35,777,638 </w:t>
            </w:r>
          </w:p>
        </w:tc>
        <w:tc>
          <w:tcPr>
            <w:tcW w:w="1260" w:type="dxa"/>
            <w:noWrap/>
            <w:vAlign w:val="bottom"/>
            <w:hideMark/>
          </w:tcPr>
          <w:p w14:paraId="6C10CEB1" w14:textId="31345003" w:rsidR="00186D05" w:rsidRPr="00186D05" w:rsidRDefault="00186D05" w:rsidP="00186D05">
            <w:pPr>
              <w:spacing w:after="0" w:line="240" w:lineRule="auto"/>
              <w:jc w:val="right"/>
              <w:rPr>
                <w:rFonts w:ascii="Aptos Narrow" w:eastAsia="Times New Roman" w:hAnsi="Aptos Narrow"/>
                <w:b/>
                <w:bCs/>
                <w:color w:val="000000"/>
                <w:sz w:val="20"/>
                <w:szCs w:val="20"/>
                <w:lang w:val="es-DO" w:eastAsia="es-DO"/>
              </w:rPr>
            </w:pPr>
            <w:r w:rsidRPr="00186D05">
              <w:rPr>
                <w:rFonts w:ascii="Aptos Narrow" w:eastAsia="Times New Roman" w:hAnsi="Aptos Narrow"/>
                <w:b/>
                <w:bCs/>
                <w:color w:val="000000"/>
                <w:sz w:val="20"/>
                <w:szCs w:val="20"/>
                <w:lang w:val="es-DO" w:eastAsia="es-DO"/>
              </w:rPr>
              <w:t xml:space="preserve"> 7,003,477 </w:t>
            </w:r>
          </w:p>
        </w:tc>
        <w:tc>
          <w:tcPr>
            <w:tcW w:w="1350" w:type="dxa"/>
            <w:gridSpan w:val="2"/>
            <w:noWrap/>
            <w:vAlign w:val="bottom"/>
            <w:hideMark/>
          </w:tcPr>
          <w:p w14:paraId="5BD654A2" w14:textId="02285994" w:rsidR="00186D05" w:rsidRPr="00186D05" w:rsidRDefault="00186D05" w:rsidP="00186D05">
            <w:pPr>
              <w:spacing w:after="0" w:line="240" w:lineRule="auto"/>
              <w:jc w:val="right"/>
              <w:rPr>
                <w:rFonts w:ascii="Aptos Narrow" w:eastAsia="Times New Roman" w:hAnsi="Aptos Narrow"/>
                <w:b/>
                <w:bCs/>
                <w:color w:val="000000"/>
                <w:sz w:val="20"/>
                <w:szCs w:val="20"/>
                <w:lang w:val="es-DO" w:eastAsia="es-DO"/>
              </w:rPr>
            </w:pPr>
            <w:r w:rsidRPr="00186D05">
              <w:rPr>
                <w:rFonts w:ascii="Aptos Narrow" w:eastAsia="Times New Roman" w:hAnsi="Aptos Narrow"/>
                <w:b/>
                <w:bCs/>
                <w:color w:val="000000"/>
                <w:sz w:val="20"/>
                <w:szCs w:val="20"/>
                <w:lang w:val="es-DO" w:eastAsia="es-DO"/>
              </w:rPr>
              <w:t xml:space="preserve">7,225,426 </w:t>
            </w:r>
          </w:p>
        </w:tc>
      </w:tr>
      <w:tr w:rsidR="00186D05" w:rsidRPr="00186D05" w14:paraId="624A10E0" w14:textId="77777777" w:rsidTr="0036119C">
        <w:trPr>
          <w:trHeight w:val="300"/>
        </w:trPr>
        <w:tc>
          <w:tcPr>
            <w:tcW w:w="1980" w:type="dxa"/>
            <w:noWrap/>
            <w:vAlign w:val="bottom"/>
            <w:hideMark/>
          </w:tcPr>
          <w:p w14:paraId="01D1BC63" w14:textId="6237211B" w:rsidR="00186D05" w:rsidRPr="00186D05" w:rsidRDefault="00186D05" w:rsidP="00186D05">
            <w:pPr>
              <w:spacing w:after="0" w:line="240" w:lineRule="auto"/>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Participación No TLC</w:t>
            </w:r>
          </w:p>
        </w:tc>
        <w:tc>
          <w:tcPr>
            <w:tcW w:w="1345" w:type="dxa"/>
            <w:noWrap/>
            <w:vAlign w:val="bottom"/>
            <w:hideMark/>
          </w:tcPr>
          <w:p w14:paraId="6634C09C"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49%</w:t>
            </w:r>
          </w:p>
        </w:tc>
        <w:tc>
          <w:tcPr>
            <w:tcW w:w="1440" w:type="dxa"/>
            <w:noWrap/>
            <w:vAlign w:val="bottom"/>
            <w:hideMark/>
          </w:tcPr>
          <w:p w14:paraId="10CE05AE"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60%</w:t>
            </w:r>
          </w:p>
        </w:tc>
        <w:tc>
          <w:tcPr>
            <w:tcW w:w="1350" w:type="dxa"/>
            <w:noWrap/>
            <w:vAlign w:val="bottom"/>
            <w:hideMark/>
          </w:tcPr>
          <w:p w14:paraId="4ABCA8FF"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63%</w:t>
            </w:r>
          </w:p>
        </w:tc>
        <w:tc>
          <w:tcPr>
            <w:tcW w:w="1260" w:type="dxa"/>
            <w:noWrap/>
            <w:vAlign w:val="bottom"/>
            <w:hideMark/>
          </w:tcPr>
          <w:p w14:paraId="42AC0EBC"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60%</w:t>
            </w:r>
          </w:p>
        </w:tc>
        <w:tc>
          <w:tcPr>
            <w:tcW w:w="1350" w:type="dxa"/>
            <w:gridSpan w:val="2"/>
            <w:noWrap/>
            <w:vAlign w:val="bottom"/>
            <w:hideMark/>
          </w:tcPr>
          <w:p w14:paraId="5DBE22CE"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60%</w:t>
            </w:r>
          </w:p>
        </w:tc>
      </w:tr>
      <w:tr w:rsidR="00186D05" w:rsidRPr="00186D05" w14:paraId="32F92A20" w14:textId="77777777" w:rsidTr="00361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2" w:type="dxa"/>
          <w:trHeight w:val="300"/>
        </w:trPr>
        <w:tc>
          <w:tcPr>
            <w:tcW w:w="1980" w:type="dxa"/>
            <w:tcBorders>
              <w:top w:val="single" w:sz="4" w:space="0" w:color="auto"/>
              <w:left w:val="single" w:sz="4" w:space="0" w:color="auto"/>
              <w:bottom w:val="single" w:sz="4" w:space="0" w:color="auto"/>
              <w:right w:val="single" w:sz="4" w:space="0" w:color="auto"/>
            </w:tcBorders>
            <w:noWrap/>
            <w:vAlign w:val="bottom"/>
            <w:hideMark/>
          </w:tcPr>
          <w:p w14:paraId="04A9550D" w14:textId="77777777" w:rsidR="00186D05" w:rsidRPr="00186D05" w:rsidRDefault="00186D05" w:rsidP="00186D05">
            <w:pPr>
              <w:spacing w:after="0" w:line="240" w:lineRule="auto"/>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 </w:t>
            </w:r>
          </w:p>
        </w:tc>
        <w:tc>
          <w:tcPr>
            <w:tcW w:w="5403" w:type="dxa"/>
            <w:gridSpan w:val="5"/>
            <w:tcBorders>
              <w:top w:val="single" w:sz="4" w:space="0" w:color="auto"/>
              <w:left w:val="nil"/>
              <w:bottom w:val="single" w:sz="4" w:space="0" w:color="auto"/>
              <w:right w:val="single" w:sz="4" w:space="0" w:color="auto"/>
            </w:tcBorders>
            <w:shd w:val="clear" w:color="99CC00" w:fill="C0C0C0"/>
            <w:vAlign w:val="center"/>
            <w:hideMark/>
          </w:tcPr>
          <w:p w14:paraId="6F308207" w14:textId="77777777"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Variación porcentual Volumen (%)</w:t>
            </w:r>
          </w:p>
        </w:tc>
      </w:tr>
      <w:tr w:rsidR="00186D05" w:rsidRPr="00186D05" w14:paraId="4450A8CD" w14:textId="77777777" w:rsidTr="00361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350" w:type="dxa"/>
          <w:trHeight w:val="900"/>
        </w:trPr>
        <w:tc>
          <w:tcPr>
            <w:tcW w:w="1980" w:type="dxa"/>
            <w:tcBorders>
              <w:top w:val="nil"/>
              <w:left w:val="single" w:sz="4" w:space="0" w:color="auto"/>
              <w:bottom w:val="single" w:sz="4" w:space="0" w:color="auto"/>
              <w:right w:val="single" w:sz="4" w:space="0" w:color="auto"/>
            </w:tcBorders>
            <w:shd w:val="clear" w:color="99CCFF" w:fill="C0C0C0"/>
            <w:vAlign w:val="center"/>
            <w:hideMark/>
          </w:tcPr>
          <w:p w14:paraId="1BD1D08A" w14:textId="77777777"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Grupo</w:t>
            </w:r>
          </w:p>
        </w:tc>
        <w:tc>
          <w:tcPr>
            <w:tcW w:w="1345" w:type="dxa"/>
            <w:tcBorders>
              <w:top w:val="nil"/>
              <w:left w:val="nil"/>
              <w:bottom w:val="single" w:sz="4" w:space="0" w:color="auto"/>
              <w:right w:val="single" w:sz="4" w:space="0" w:color="auto"/>
            </w:tcBorders>
            <w:shd w:val="clear" w:color="99CC00" w:fill="C0C0C0"/>
            <w:vAlign w:val="center"/>
            <w:hideMark/>
          </w:tcPr>
          <w:p w14:paraId="5B39F97A" w14:textId="77777777"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Año 2023 / Año 2022</w:t>
            </w:r>
          </w:p>
        </w:tc>
        <w:tc>
          <w:tcPr>
            <w:tcW w:w="1440" w:type="dxa"/>
            <w:tcBorders>
              <w:top w:val="nil"/>
              <w:left w:val="nil"/>
              <w:bottom w:val="single" w:sz="4" w:space="0" w:color="auto"/>
              <w:right w:val="single" w:sz="4" w:space="0" w:color="auto"/>
            </w:tcBorders>
            <w:shd w:val="clear" w:color="99CC00" w:fill="C0C0C0"/>
            <w:vAlign w:val="center"/>
            <w:hideMark/>
          </w:tcPr>
          <w:p w14:paraId="5A2491C3" w14:textId="77777777"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Año 2024 / Año 2023</w:t>
            </w:r>
          </w:p>
        </w:tc>
        <w:tc>
          <w:tcPr>
            <w:tcW w:w="1350" w:type="dxa"/>
            <w:tcBorders>
              <w:top w:val="nil"/>
              <w:left w:val="nil"/>
              <w:bottom w:val="single" w:sz="4" w:space="0" w:color="auto"/>
              <w:right w:val="single" w:sz="4" w:space="0" w:color="auto"/>
            </w:tcBorders>
            <w:shd w:val="clear" w:color="99CC00" w:fill="C0C0C0"/>
            <w:vAlign w:val="center"/>
            <w:hideMark/>
          </w:tcPr>
          <w:p w14:paraId="47F8DAE1" w14:textId="77777777"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Año 2024 / Año 2022</w:t>
            </w:r>
          </w:p>
        </w:tc>
        <w:tc>
          <w:tcPr>
            <w:tcW w:w="1260" w:type="dxa"/>
            <w:tcBorders>
              <w:top w:val="nil"/>
              <w:left w:val="nil"/>
              <w:bottom w:val="single" w:sz="4" w:space="0" w:color="auto"/>
              <w:right w:val="single" w:sz="4" w:space="0" w:color="auto"/>
            </w:tcBorders>
            <w:shd w:val="clear" w:color="99CC00" w:fill="C0C0C0"/>
            <w:vAlign w:val="center"/>
            <w:hideMark/>
          </w:tcPr>
          <w:p w14:paraId="30F1B8F0" w14:textId="77777777" w:rsidR="00186D05" w:rsidRPr="00186D05" w:rsidRDefault="00186D05" w:rsidP="00186D05">
            <w:pPr>
              <w:spacing w:after="0" w:line="240" w:lineRule="auto"/>
              <w:jc w:val="center"/>
              <w:rPr>
                <w:rFonts w:ascii="Arial" w:eastAsia="Times New Roman" w:hAnsi="Arial" w:cs="Arial"/>
                <w:b/>
                <w:bCs/>
                <w:sz w:val="20"/>
                <w:szCs w:val="20"/>
                <w:lang w:val="es-DO" w:eastAsia="es-DO"/>
              </w:rPr>
            </w:pPr>
            <w:r w:rsidRPr="00186D05">
              <w:rPr>
                <w:rFonts w:ascii="Arial" w:eastAsia="Times New Roman" w:hAnsi="Arial" w:cs="Arial"/>
                <w:b/>
                <w:bCs/>
                <w:sz w:val="20"/>
                <w:szCs w:val="20"/>
                <w:lang w:val="es-DO" w:eastAsia="es-DO"/>
              </w:rPr>
              <w:t>Ene Mar 2024 / Ene - Mar 2025</w:t>
            </w:r>
          </w:p>
        </w:tc>
      </w:tr>
      <w:tr w:rsidR="00186D05" w:rsidRPr="00186D05" w14:paraId="42B4635B" w14:textId="77777777" w:rsidTr="00361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350" w:type="dxa"/>
          <w:trHeight w:val="300"/>
        </w:trPr>
        <w:tc>
          <w:tcPr>
            <w:tcW w:w="1980" w:type="dxa"/>
            <w:tcBorders>
              <w:top w:val="nil"/>
              <w:left w:val="single" w:sz="4" w:space="0" w:color="auto"/>
              <w:bottom w:val="single" w:sz="4" w:space="0" w:color="auto"/>
              <w:right w:val="single" w:sz="4" w:space="0" w:color="auto"/>
            </w:tcBorders>
            <w:noWrap/>
            <w:vAlign w:val="bottom"/>
            <w:hideMark/>
          </w:tcPr>
          <w:p w14:paraId="6568A39A" w14:textId="77777777" w:rsidR="00186D05" w:rsidRPr="00186D05" w:rsidRDefault="00186D05" w:rsidP="00186D05">
            <w:pPr>
              <w:spacing w:after="0" w:line="240" w:lineRule="auto"/>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NO TLC</w:t>
            </w:r>
          </w:p>
        </w:tc>
        <w:tc>
          <w:tcPr>
            <w:tcW w:w="1345" w:type="dxa"/>
            <w:tcBorders>
              <w:top w:val="nil"/>
              <w:left w:val="nil"/>
              <w:bottom w:val="single" w:sz="4" w:space="0" w:color="auto"/>
              <w:right w:val="single" w:sz="4" w:space="0" w:color="auto"/>
            </w:tcBorders>
            <w:noWrap/>
            <w:vAlign w:val="bottom"/>
            <w:hideMark/>
          </w:tcPr>
          <w:p w14:paraId="7A5930B2"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28.4%</w:t>
            </w:r>
          </w:p>
        </w:tc>
        <w:tc>
          <w:tcPr>
            <w:tcW w:w="1440" w:type="dxa"/>
            <w:tcBorders>
              <w:top w:val="nil"/>
              <w:left w:val="nil"/>
              <w:bottom w:val="single" w:sz="4" w:space="0" w:color="auto"/>
              <w:right w:val="single" w:sz="4" w:space="0" w:color="auto"/>
            </w:tcBorders>
            <w:noWrap/>
            <w:vAlign w:val="bottom"/>
            <w:hideMark/>
          </w:tcPr>
          <w:p w14:paraId="4AAE1021"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39.4%</w:t>
            </w:r>
          </w:p>
        </w:tc>
        <w:tc>
          <w:tcPr>
            <w:tcW w:w="1350" w:type="dxa"/>
            <w:tcBorders>
              <w:top w:val="nil"/>
              <w:left w:val="nil"/>
              <w:bottom w:val="single" w:sz="4" w:space="0" w:color="auto"/>
              <w:right w:val="single" w:sz="4" w:space="0" w:color="auto"/>
            </w:tcBorders>
            <w:noWrap/>
            <w:vAlign w:val="bottom"/>
            <w:hideMark/>
          </w:tcPr>
          <w:p w14:paraId="12AD9862" w14:textId="77777777" w:rsidR="00186D05" w:rsidRPr="00186D05" w:rsidRDefault="00186D05" w:rsidP="00186D05">
            <w:pPr>
              <w:spacing w:after="0" w:line="240" w:lineRule="auto"/>
              <w:jc w:val="right"/>
              <w:rPr>
                <w:rFonts w:ascii="Aptos Narrow" w:eastAsia="Times New Roman" w:hAnsi="Aptos Narrow"/>
                <w:b/>
                <w:bCs/>
                <w:color w:val="000000"/>
                <w:sz w:val="20"/>
                <w:szCs w:val="20"/>
                <w:lang w:val="es-DO" w:eastAsia="es-DO"/>
              </w:rPr>
            </w:pPr>
            <w:r w:rsidRPr="00186D05">
              <w:rPr>
                <w:rFonts w:ascii="Aptos Narrow" w:eastAsia="Times New Roman" w:hAnsi="Aptos Narrow"/>
                <w:b/>
                <w:bCs/>
                <w:color w:val="000000"/>
                <w:lang w:val="es-DO" w:eastAsia="es-DO"/>
              </w:rPr>
              <w:t>78.9%</w:t>
            </w:r>
          </w:p>
        </w:tc>
        <w:tc>
          <w:tcPr>
            <w:tcW w:w="1260" w:type="dxa"/>
            <w:tcBorders>
              <w:top w:val="nil"/>
              <w:left w:val="nil"/>
              <w:bottom w:val="single" w:sz="4" w:space="0" w:color="auto"/>
              <w:right w:val="single" w:sz="4" w:space="0" w:color="auto"/>
            </w:tcBorders>
            <w:noWrap/>
            <w:vAlign w:val="bottom"/>
            <w:hideMark/>
          </w:tcPr>
          <w:p w14:paraId="28BBABA3"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2.6%</w:t>
            </w:r>
          </w:p>
        </w:tc>
      </w:tr>
      <w:tr w:rsidR="00186D05" w:rsidRPr="00186D05" w14:paraId="20B75A0E" w14:textId="77777777" w:rsidTr="00361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350" w:type="dxa"/>
          <w:trHeight w:val="300"/>
        </w:trPr>
        <w:tc>
          <w:tcPr>
            <w:tcW w:w="1980" w:type="dxa"/>
            <w:tcBorders>
              <w:top w:val="nil"/>
              <w:left w:val="single" w:sz="4" w:space="0" w:color="auto"/>
              <w:bottom w:val="single" w:sz="4" w:space="0" w:color="auto"/>
              <w:right w:val="single" w:sz="4" w:space="0" w:color="auto"/>
            </w:tcBorders>
            <w:noWrap/>
            <w:vAlign w:val="bottom"/>
            <w:hideMark/>
          </w:tcPr>
          <w:p w14:paraId="1D547D6A" w14:textId="77777777" w:rsidR="00186D05" w:rsidRPr="00186D05" w:rsidRDefault="00186D05" w:rsidP="00186D05">
            <w:pPr>
              <w:spacing w:after="0" w:line="240" w:lineRule="auto"/>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TLC</w:t>
            </w:r>
          </w:p>
        </w:tc>
        <w:tc>
          <w:tcPr>
            <w:tcW w:w="1345" w:type="dxa"/>
            <w:tcBorders>
              <w:top w:val="nil"/>
              <w:left w:val="nil"/>
              <w:bottom w:val="single" w:sz="4" w:space="0" w:color="auto"/>
              <w:right w:val="single" w:sz="4" w:space="0" w:color="auto"/>
            </w:tcBorders>
            <w:noWrap/>
            <w:vAlign w:val="bottom"/>
            <w:hideMark/>
          </w:tcPr>
          <w:p w14:paraId="4D5C1FCD"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-17.6%</w:t>
            </w:r>
          </w:p>
        </w:tc>
        <w:tc>
          <w:tcPr>
            <w:tcW w:w="1440" w:type="dxa"/>
            <w:tcBorders>
              <w:top w:val="nil"/>
              <w:left w:val="nil"/>
              <w:bottom w:val="single" w:sz="4" w:space="0" w:color="auto"/>
              <w:right w:val="single" w:sz="4" w:space="0" w:color="auto"/>
            </w:tcBorders>
            <w:noWrap/>
            <w:vAlign w:val="bottom"/>
            <w:hideMark/>
          </w:tcPr>
          <w:p w14:paraId="623CE292"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25.7%</w:t>
            </w:r>
          </w:p>
        </w:tc>
        <w:tc>
          <w:tcPr>
            <w:tcW w:w="1350" w:type="dxa"/>
            <w:tcBorders>
              <w:top w:val="nil"/>
              <w:left w:val="nil"/>
              <w:bottom w:val="single" w:sz="4" w:space="0" w:color="auto"/>
              <w:right w:val="single" w:sz="4" w:space="0" w:color="auto"/>
            </w:tcBorders>
            <w:noWrap/>
            <w:vAlign w:val="bottom"/>
            <w:hideMark/>
          </w:tcPr>
          <w:p w14:paraId="54CCF8D8" w14:textId="77777777" w:rsidR="00186D05" w:rsidRPr="00186D05" w:rsidRDefault="00186D05" w:rsidP="00186D05">
            <w:pPr>
              <w:spacing w:after="0" w:line="240" w:lineRule="auto"/>
              <w:jc w:val="right"/>
              <w:rPr>
                <w:rFonts w:ascii="Aptos Narrow" w:eastAsia="Times New Roman" w:hAnsi="Aptos Narrow"/>
                <w:b/>
                <w:bCs/>
                <w:color w:val="000000"/>
                <w:sz w:val="20"/>
                <w:szCs w:val="20"/>
                <w:lang w:val="es-DO" w:eastAsia="es-DO"/>
              </w:rPr>
            </w:pPr>
            <w:r w:rsidRPr="00186D05">
              <w:rPr>
                <w:rFonts w:ascii="Aptos Narrow" w:eastAsia="Times New Roman" w:hAnsi="Aptos Narrow"/>
                <w:b/>
                <w:bCs/>
                <w:color w:val="000000"/>
                <w:lang w:val="es-DO" w:eastAsia="es-DO"/>
              </w:rPr>
              <w:t>3.6%</w:t>
            </w:r>
          </w:p>
        </w:tc>
        <w:tc>
          <w:tcPr>
            <w:tcW w:w="1260" w:type="dxa"/>
            <w:tcBorders>
              <w:top w:val="nil"/>
              <w:left w:val="nil"/>
              <w:bottom w:val="single" w:sz="4" w:space="0" w:color="auto"/>
              <w:right w:val="single" w:sz="4" w:space="0" w:color="auto"/>
            </w:tcBorders>
            <w:noWrap/>
            <w:vAlign w:val="bottom"/>
            <w:hideMark/>
          </w:tcPr>
          <w:p w14:paraId="56734F55"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4.0%</w:t>
            </w:r>
          </w:p>
        </w:tc>
      </w:tr>
      <w:tr w:rsidR="00186D05" w:rsidRPr="00186D05" w14:paraId="05E25CE4" w14:textId="77777777" w:rsidTr="003611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350" w:type="dxa"/>
          <w:trHeight w:val="300"/>
        </w:trPr>
        <w:tc>
          <w:tcPr>
            <w:tcW w:w="1980" w:type="dxa"/>
            <w:tcBorders>
              <w:top w:val="nil"/>
              <w:left w:val="single" w:sz="4" w:space="0" w:color="auto"/>
              <w:bottom w:val="single" w:sz="4" w:space="0" w:color="auto"/>
              <w:right w:val="nil"/>
            </w:tcBorders>
            <w:noWrap/>
            <w:vAlign w:val="bottom"/>
            <w:hideMark/>
          </w:tcPr>
          <w:p w14:paraId="35068D53" w14:textId="77777777" w:rsidR="00186D05" w:rsidRPr="00186D05" w:rsidRDefault="00186D05" w:rsidP="00186D05">
            <w:pPr>
              <w:spacing w:after="0" w:line="240" w:lineRule="auto"/>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Total</w:t>
            </w:r>
          </w:p>
        </w:tc>
        <w:tc>
          <w:tcPr>
            <w:tcW w:w="1345" w:type="dxa"/>
            <w:tcBorders>
              <w:top w:val="nil"/>
              <w:left w:val="single" w:sz="4" w:space="0" w:color="auto"/>
              <w:bottom w:val="single" w:sz="4" w:space="0" w:color="auto"/>
              <w:right w:val="single" w:sz="4" w:space="0" w:color="auto"/>
            </w:tcBorders>
            <w:noWrap/>
            <w:vAlign w:val="bottom"/>
            <w:hideMark/>
          </w:tcPr>
          <w:p w14:paraId="57687282"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5.0%</w:t>
            </w:r>
          </w:p>
        </w:tc>
        <w:tc>
          <w:tcPr>
            <w:tcW w:w="1440" w:type="dxa"/>
            <w:tcBorders>
              <w:top w:val="nil"/>
              <w:left w:val="nil"/>
              <w:bottom w:val="single" w:sz="4" w:space="0" w:color="auto"/>
              <w:right w:val="single" w:sz="4" w:space="0" w:color="auto"/>
            </w:tcBorders>
            <w:noWrap/>
            <w:vAlign w:val="bottom"/>
            <w:hideMark/>
          </w:tcPr>
          <w:p w14:paraId="5CFDB865"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33.9%</w:t>
            </w:r>
          </w:p>
        </w:tc>
        <w:tc>
          <w:tcPr>
            <w:tcW w:w="1350" w:type="dxa"/>
            <w:tcBorders>
              <w:top w:val="nil"/>
              <w:left w:val="nil"/>
              <w:bottom w:val="single" w:sz="4" w:space="0" w:color="auto"/>
              <w:right w:val="single" w:sz="4" w:space="0" w:color="auto"/>
            </w:tcBorders>
            <w:noWrap/>
            <w:vAlign w:val="bottom"/>
            <w:hideMark/>
          </w:tcPr>
          <w:p w14:paraId="0C97EC5C" w14:textId="77777777" w:rsidR="00186D05" w:rsidRPr="00186D05" w:rsidRDefault="00186D05" w:rsidP="00186D05">
            <w:pPr>
              <w:spacing w:after="0" w:line="240" w:lineRule="auto"/>
              <w:jc w:val="right"/>
              <w:rPr>
                <w:rFonts w:ascii="Aptos Narrow" w:eastAsia="Times New Roman" w:hAnsi="Aptos Narrow"/>
                <w:b/>
                <w:bCs/>
                <w:color w:val="000000"/>
                <w:sz w:val="20"/>
                <w:szCs w:val="20"/>
                <w:lang w:val="es-DO" w:eastAsia="es-DO"/>
              </w:rPr>
            </w:pPr>
            <w:r w:rsidRPr="00186D05">
              <w:rPr>
                <w:rFonts w:ascii="Aptos Narrow" w:eastAsia="Times New Roman" w:hAnsi="Aptos Narrow"/>
                <w:b/>
                <w:bCs/>
                <w:color w:val="000000"/>
                <w:lang w:val="es-DO" w:eastAsia="es-DO"/>
              </w:rPr>
              <w:t>40.7%</w:t>
            </w:r>
          </w:p>
        </w:tc>
        <w:tc>
          <w:tcPr>
            <w:tcW w:w="1260" w:type="dxa"/>
            <w:tcBorders>
              <w:top w:val="nil"/>
              <w:left w:val="nil"/>
              <w:bottom w:val="single" w:sz="4" w:space="0" w:color="auto"/>
              <w:right w:val="single" w:sz="4" w:space="0" w:color="auto"/>
            </w:tcBorders>
            <w:noWrap/>
            <w:vAlign w:val="bottom"/>
            <w:hideMark/>
          </w:tcPr>
          <w:p w14:paraId="3B534DF4" w14:textId="77777777" w:rsidR="00186D05" w:rsidRPr="00186D05" w:rsidRDefault="00186D05" w:rsidP="00186D05">
            <w:pPr>
              <w:spacing w:after="0" w:line="240" w:lineRule="auto"/>
              <w:jc w:val="right"/>
              <w:rPr>
                <w:rFonts w:ascii="Aptos Narrow" w:eastAsia="Times New Roman" w:hAnsi="Aptos Narrow"/>
                <w:color w:val="000000"/>
                <w:sz w:val="20"/>
                <w:szCs w:val="20"/>
                <w:lang w:val="es-DO" w:eastAsia="es-DO"/>
              </w:rPr>
            </w:pPr>
            <w:r w:rsidRPr="00186D05">
              <w:rPr>
                <w:rFonts w:ascii="Aptos Narrow" w:eastAsia="Times New Roman" w:hAnsi="Aptos Narrow"/>
                <w:color w:val="000000"/>
                <w:sz w:val="20"/>
                <w:szCs w:val="20"/>
                <w:lang w:val="es-DO" w:eastAsia="es-DO"/>
              </w:rPr>
              <w:t>3.2%</w:t>
            </w:r>
          </w:p>
        </w:tc>
      </w:tr>
    </w:tbl>
    <w:p w14:paraId="38F5B76D" w14:textId="26482346" w:rsidR="00186D05" w:rsidRPr="00642CF7" w:rsidRDefault="00642CF7" w:rsidP="00D00BC9">
      <w:pPr>
        <w:spacing w:line="278" w:lineRule="auto"/>
        <w:jc w:val="both"/>
        <w:rPr>
          <w:rFonts w:cs="Calibri"/>
          <w:sz w:val="20"/>
          <w:szCs w:val="20"/>
        </w:rPr>
      </w:pPr>
      <w:r w:rsidRPr="00642CF7">
        <w:rPr>
          <w:rFonts w:cs="Calibri"/>
          <w:sz w:val="20"/>
          <w:szCs w:val="20"/>
        </w:rPr>
        <w:t>Fuente: Dirección General de Aduanas (DGA)</w:t>
      </w:r>
    </w:p>
    <w:p w14:paraId="483DDB10" w14:textId="0809C2E4" w:rsidR="00186D05" w:rsidRPr="00E83082" w:rsidRDefault="00186D05" w:rsidP="00D00BC9">
      <w:pPr>
        <w:spacing w:line="278" w:lineRule="auto"/>
        <w:jc w:val="both"/>
        <w:rPr>
          <w:rFonts w:cs="Calibri"/>
          <w:sz w:val="24"/>
          <w:szCs w:val="24"/>
        </w:rPr>
      </w:pPr>
      <w:r>
        <w:rPr>
          <w:rFonts w:cs="Calibri"/>
          <w:sz w:val="24"/>
          <w:szCs w:val="24"/>
        </w:rPr>
        <w:t xml:space="preserve">Por tales razones, el </w:t>
      </w:r>
      <w:r w:rsidRPr="00E83082">
        <w:rPr>
          <w:rFonts w:cs="Calibri"/>
          <w:sz w:val="24"/>
          <w:szCs w:val="24"/>
        </w:rPr>
        <w:t>periodo</w:t>
      </w:r>
      <w:r w:rsidRPr="00E83082">
        <w:rPr>
          <w:rFonts w:cs="Calibri"/>
          <w:b/>
          <w:bCs/>
          <w:sz w:val="24"/>
          <w:szCs w:val="24"/>
        </w:rPr>
        <w:t xml:space="preserve"> 2022-2024</w:t>
      </w:r>
      <w:r w:rsidRPr="00E83082">
        <w:rPr>
          <w:rFonts w:cs="Calibri"/>
          <w:sz w:val="24"/>
          <w:szCs w:val="24"/>
        </w:rPr>
        <w:t xml:space="preserve"> </w:t>
      </w:r>
      <w:r>
        <w:rPr>
          <w:rFonts w:cs="Calibri"/>
          <w:sz w:val="24"/>
          <w:szCs w:val="24"/>
        </w:rPr>
        <w:t xml:space="preserve">se </w:t>
      </w:r>
      <w:r w:rsidRPr="00E83082">
        <w:rPr>
          <w:rFonts w:cs="Calibri"/>
          <w:sz w:val="24"/>
          <w:szCs w:val="24"/>
        </w:rPr>
        <w:t>caracterizada por:</w:t>
      </w:r>
    </w:p>
    <w:p w14:paraId="54152763" w14:textId="3123166D" w:rsidR="00D00BC9" w:rsidRPr="00E83082" w:rsidRDefault="00D00BC9" w:rsidP="00D00BC9">
      <w:pPr>
        <w:numPr>
          <w:ilvl w:val="0"/>
          <w:numId w:val="10"/>
        </w:numPr>
        <w:spacing w:after="160" w:line="278" w:lineRule="auto"/>
        <w:contextualSpacing/>
        <w:jc w:val="both"/>
        <w:rPr>
          <w:rFonts w:cs="Calibri"/>
          <w:sz w:val="24"/>
          <w:szCs w:val="24"/>
        </w:rPr>
      </w:pPr>
      <w:r w:rsidRPr="00E83082">
        <w:rPr>
          <w:rFonts w:cs="Calibri"/>
          <w:sz w:val="24"/>
          <w:szCs w:val="24"/>
        </w:rPr>
        <w:t xml:space="preserve">Crecimiento agresivo del </w:t>
      </w:r>
      <w:r w:rsidRPr="00E83082">
        <w:rPr>
          <w:rFonts w:cs="Calibri"/>
          <w:b/>
          <w:bCs/>
          <w:sz w:val="24"/>
          <w:szCs w:val="24"/>
        </w:rPr>
        <w:t>78.9%</w:t>
      </w:r>
      <w:r w:rsidRPr="00E83082">
        <w:rPr>
          <w:rFonts w:cs="Calibri"/>
          <w:sz w:val="24"/>
          <w:szCs w:val="24"/>
        </w:rPr>
        <w:t xml:space="preserve"> en volumen exportado </w:t>
      </w:r>
      <w:r w:rsidR="00186D05">
        <w:rPr>
          <w:rFonts w:cs="Calibri"/>
          <w:sz w:val="24"/>
          <w:szCs w:val="24"/>
        </w:rPr>
        <w:t xml:space="preserve">por países con los cuales no tenemos tratados de libre comercio. </w:t>
      </w:r>
      <w:r w:rsidRPr="00E83082">
        <w:rPr>
          <w:rFonts w:cs="Calibri"/>
          <w:sz w:val="24"/>
          <w:szCs w:val="24"/>
        </w:rPr>
        <w:t xml:space="preserve"> </w:t>
      </w:r>
    </w:p>
    <w:p w14:paraId="4A94D4BC" w14:textId="77777777" w:rsidR="00D00BC9" w:rsidRPr="00E83082" w:rsidRDefault="00D00BC9" w:rsidP="00D00BC9">
      <w:pPr>
        <w:numPr>
          <w:ilvl w:val="0"/>
          <w:numId w:val="10"/>
        </w:numPr>
        <w:spacing w:after="160" w:line="278" w:lineRule="auto"/>
        <w:contextualSpacing/>
        <w:jc w:val="both"/>
        <w:rPr>
          <w:rFonts w:cs="Calibri"/>
          <w:sz w:val="24"/>
          <w:szCs w:val="24"/>
        </w:rPr>
      </w:pPr>
      <w:r w:rsidRPr="00E83082">
        <w:rPr>
          <w:rFonts w:cs="Calibri"/>
          <w:sz w:val="24"/>
          <w:szCs w:val="24"/>
        </w:rPr>
        <w:t xml:space="preserve">En dicho periodo, los países sin TLC capturaron el </w:t>
      </w:r>
      <w:r w:rsidRPr="00E83082">
        <w:rPr>
          <w:rFonts w:cs="Calibri"/>
          <w:b/>
          <w:bCs/>
          <w:sz w:val="24"/>
          <w:szCs w:val="24"/>
        </w:rPr>
        <w:t>96%</w:t>
      </w:r>
      <w:r w:rsidRPr="00E83082">
        <w:rPr>
          <w:rFonts w:cs="Calibri"/>
          <w:sz w:val="24"/>
          <w:szCs w:val="24"/>
        </w:rPr>
        <w:t xml:space="preserve"> del crecimiento total del mercado de importaciones.  </w:t>
      </w:r>
    </w:p>
    <w:p w14:paraId="2BA8ED79" w14:textId="3B4C6A22" w:rsidR="00D00BC9" w:rsidRPr="00670FA4" w:rsidRDefault="00D00BC9" w:rsidP="00D00BC9">
      <w:pPr>
        <w:numPr>
          <w:ilvl w:val="0"/>
          <w:numId w:val="10"/>
        </w:numPr>
        <w:spacing w:after="160" w:line="278" w:lineRule="auto"/>
        <w:contextualSpacing/>
        <w:jc w:val="both"/>
        <w:rPr>
          <w:rFonts w:cs="Calibri"/>
          <w:sz w:val="24"/>
          <w:szCs w:val="24"/>
        </w:rPr>
      </w:pPr>
      <w:r w:rsidRPr="00E83082">
        <w:rPr>
          <w:rFonts w:cs="Calibri"/>
          <w:sz w:val="24"/>
          <w:szCs w:val="24"/>
        </w:rPr>
        <w:t xml:space="preserve">En términos de precios por kg, se ha visto una diferencia de precios entre las importaciones de países con TLC y países sin TLC, mientras en el 2022 los países sin TLC tenían precios </w:t>
      </w:r>
      <w:r w:rsidRPr="00E83082">
        <w:rPr>
          <w:rFonts w:cs="Calibri"/>
          <w:b/>
          <w:bCs/>
          <w:sz w:val="24"/>
          <w:szCs w:val="24"/>
        </w:rPr>
        <w:t>21% inferiores</w:t>
      </w:r>
      <w:r w:rsidRPr="00E83082">
        <w:rPr>
          <w:rFonts w:cs="Calibri"/>
          <w:sz w:val="24"/>
          <w:szCs w:val="24"/>
        </w:rPr>
        <w:t xml:space="preserve"> a los países con TLC, para el 2024 la cifra se desplazó </w:t>
      </w:r>
      <w:r w:rsidRPr="00E83082">
        <w:rPr>
          <w:rFonts w:cs="Calibri"/>
          <w:b/>
          <w:bCs/>
          <w:sz w:val="24"/>
          <w:szCs w:val="24"/>
        </w:rPr>
        <w:t>a un 58%.</w:t>
      </w:r>
    </w:p>
    <w:p w14:paraId="3AB41ABC" w14:textId="77777777" w:rsidR="00670FA4" w:rsidRPr="00833C4F" w:rsidRDefault="00670FA4" w:rsidP="00670FA4">
      <w:pPr>
        <w:spacing w:after="160" w:line="278" w:lineRule="auto"/>
        <w:ind w:left="1080"/>
        <w:contextualSpacing/>
        <w:jc w:val="both"/>
        <w:rPr>
          <w:rFonts w:cs="Calibri"/>
          <w:sz w:val="24"/>
          <w:szCs w:val="24"/>
        </w:rPr>
      </w:pPr>
    </w:p>
    <w:p w14:paraId="74817A2F" w14:textId="77777777" w:rsidR="00624304" w:rsidRDefault="00D00BC9" w:rsidP="00D00BC9">
      <w:pPr>
        <w:spacing w:line="278" w:lineRule="auto"/>
        <w:jc w:val="both"/>
        <w:rPr>
          <w:rFonts w:cs="Calibri"/>
          <w:sz w:val="24"/>
          <w:szCs w:val="24"/>
        </w:rPr>
      </w:pPr>
      <w:r w:rsidRPr="00E83082">
        <w:rPr>
          <w:rFonts w:cs="Calibri"/>
          <w:sz w:val="24"/>
          <w:szCs w:val="24"/>
        </w:rPr>
        <w:t xml:space="preserve">La convergencia de evidencia en las tres dimensiones analizadas, volumen, valor y precios, permite establecer conclusiones definitivas </w:t>
      </w:r>
      <w:r w:rsidRPr="007C6E8F">
        <w:rPr>
          <w:rFonts w:cs="Calibri"/>
          <w:sz w:val="24"/>
          <w:szCs w:val="24"/>
        </w:rPr>
        <w:t>que las importaciones que generan daño</w:t>
      </w:r>
      <w:r w:rsidRPr="00E83082">
        <w:rPr>
          <w:rFonts w:cs="Calibri"/>
          <w:sz w:val="24"/>
          <w:szCs w:val="24"/>
        </w:rPr>
        <w:t xml:space="preserve"> a la producción nacional</w:t>
      </w:r>
      <w:r w:rsidRPr="007C6E8F">
        <w:rPr>
          <w:rFonts w:cs="Calibri"/>
          <w:sz w:val="24"/>
          <w:szCs w:val="24"/>
        </w:rPr>
        <w:t xml:space="preserve"> son las importaciones que provienen de países que no tienen TLC</w:t>
      </w:r>
      <w:r w:rsidRPr="00E83082">
        <w:rPr>
          <w:rFonts w:cs="Calibri"/>
          <w:sz w:val="24"/>
          <w:szCs w:val="24"/>
        </w:rPr>
        <w:t xml:space="preserve">. </w:t>
      </w:r>
    </w:p>
    <w:p w14:paraId="5782A24B" w14:textId="495EFC49" w:rsidR="00D00BC9" w:rsidRPr="00E83082" w:rsidRDefault="00D00BC9" w:rsidP="00D00BC9">
      <w:pPr>
        <w:spacing w:line="278" w:lineRule="auto"/>
        <w:jc w:val="both"/>
        <w:rPr>
          <w:rFonts w:cs="Calibri"/>
          <w:b/>
          <w:bCs/>
          <w:sz w:val="24"/>
          <w:szCs w:val="24"/>
        </w:rPr>
      </w:pPr>
      <w:r w:rsidRPr="00E83082">
        <w:rPr>
          <w:rFonts w:cs="Calibri"/>
          <w:sz w:val="24"/>
          <w:szCs w:val="24"/>
        </w:rPr>
        <w:t xml:space="preserve">Los resultados permiten concluir que el daño </w:t>
      </w:r>
      <w:r w:rsidRPr="007C6E8F">
        <w:rPr>
          <w:rFonts w:cs="Calibri"/>
          <w:sz w:val="24"/>
          <w:szCs w:val="24"/>
        </w:rPr>
        <w:t xml:space="preserve">grave </w:t>
      </w:r>
      <w:r w:rsidRPr="00E83082">
        <w:rPr>
          <w:rFonts w:cs="Calibri"/>
          <w:sz w:val="24"/>
          <w:szCs w:val="24"/>
        </w:rPr>
        <w:t xml:space="preserve">observado a la rama de producción nacional es atribuible al </w:t>
      </w:r>
      <w:r w:rsidR="00923DB4">
        <w:rPr>
          <w:rFonts w:cs="Calibri"/>
          <w:sz w:val="24"/>
          <w:szCs w:val="24"/>
        </w:rPr>
        <w:t xml:space="preserve">aumento súbito e importante </w:t>
      </w:r>
      <w:r w:rsidR="00923DB4" w:rsidRPr="00E83082">
        <w:rPr>
          <w:rFonts w:cs="Calibri"/>
          <w:sz w:val="24"/>
          <w:szCs w:val="24"/>
        </w:rPr>
        <w:t>de</w:t>
      </w:r>
      <w:r w:rsidRPr="00E83082">
        <w:rPr>
          <w:rFonts w:cs="Calibri"/>
          <w:sz w:val="24"/>
          <w:szCs w:val="24"/>
        </w:rPr>
        <w:t xml:space="preserve"> </w:t>
      </w:r>
      <w:r w:rsidR="00923DB4">
        <w:rPr>
          <w:rFonts w:cs="Calibri"/>
          <w:sz w:val="24"/>
          <w:szCs w:val="24"/>
        </w:rPr>
        <w:t xml:space="preserve">las importaciones provenientes de </w:t>
      </w:r>
      <w:r w:rsidR="00923DB4" w:rsidRPr="00E83082">
        <w:rPr>
          <w:rFonts w:cs="Calibri"/>
          <w:sz w:val="24"/>
          <w:szCs w:val="24"/>
        </w:rPr>
        <w:t>países</w:t>
      </w:r>
      <w:r w:rsidRPr="00E83082">
        <w:rPr>
          <w:rFonts w:cs="Calibri"/>
          <w:sz w:val="24"/>
          <w:szCs w:val="24"/>
        </w:rPr>
        <w:t xml:space="preserve"> </w:t>
      </w:r>
      <w:r w:rsidR="00923DB4">
        <w:rPr>
          <w:rFonts w:cs="Calibri"/>
          <w:sz w:val="24"/>
          <w:szCs w:val="24"/>
        </w:rPr>
        <w:t xml:space="preserve">que Republica Dominicana no cuenta con tratados de libre comercio, contrastando con el </w:t>
      </w:r>
      <w:r w:rsidR="00923DB4" w:rsidRPr="00E83082">
        <w:rPr>
          <w:rFonts w:cs="Calibri"/>
          <w:sz w:val="24"/>
          <w:szCs w:val="24"/>
        </w:rPr>
        <w:t>bloque</w:t>
      </w:r>
      <w:r w:rsidRPr="00E83082">
        <w:rPr>
          <w:rFonts w:cs="Calibri"/>
          <w:sz w:val="24"/>
          <w:szCs w:val="24"/>
        </w:rPr>
        <w:t xml:space="preserve"> </w:t>
      </w:r>
      <w:r w:rsidR="00923DB4">
        <w:rPr>
          <w:rFonts w:cs="Calibri"/>
          <w:sz w:val="24"/>
          <w:szCs w:val="24"/>
        </w:rPr>
        <w:t xml:space="preserve">de países con </w:t>
      </w:r>
      <w:r w:rsidRPr="00E83082">
        <w:rPr>
          <w:rFonts w:cs="Calibri"/>
          <w:sz w:val="24"/>
          <w:szCs w:val="24"/>
        </w:rPr>
        <w:t>TLC</w:t>
      </w:r>
      <w:r w:rsidR="00923DB4">
        <w:rPr>
          <w:rFonts w:cs="Calibri"/>
          <w:sz w:val="24"/>
          <w:szCs w:val="24"/>
        </w:rPr>
        <w:t xml:space="preserve">, cuyo </w:t>
      </w:r>
      <w:r w:rsidRPr="00E83082">
        <w:rPr>
          <w:rFonts w:cs="Calibri"/>
          <w:sz w:val="24"/>
          <w:szCs w:val="24"/>
        </w:rPr>
        <w:t xml:space="preserve">desempeño </w:t>
      </w:r>
      <w:r w:rsidR="00923DB4">
        <w:rPr>
          <w:rFonts w:cs="Calibri"/>
          <w:sz w:val="24"/>
          <w:szCs w:val="24"/>
        </w:rPr>
        <w:t xml:space="preserve">ha sido </w:t>
      </w:r>
      <w:r w:rsidRPr="00E83082">
        <w:rPr>
          <w:rFonts w:cs="Calibri"/>
          <w:sz w:val="24"/>
          <w:szCs w:val="24"/>
        </w:rPr>
        <w:t xml:space="preserve">estable y coherente con el contexto </w:t>
      </w:r>
      <w:r w:rsidR="00923DB4">
        <w:rPr>
          <w:rFonts w:cs="Calibri"/>
          <w:sz w:val="24"/>
          <w:szCs w:val="24"/>
        </w:rPr>
        <w:t xml:space="preserve">nacional e </w:t>
      </w:r>
      <w:r w:rsidRPr="00E83082">
        <w:rPr>
          <w:rFonts w:cs="Calibri"/>
          <w:sz w:val="24"/>
          <w:szCs w:val="24"/>
        </w:rPr>
        <w:t xml:space="preserve">internacional. </w:t>
      </w:r>
      <w:r w:rsidR="00624304">
        <w:rPr>
          <w:rFonts w:cs="Calibri"/>
          <w:sz w:val="24"/>
          <w:szCs w:val="24"/>
        </w:rPr>
        <w:t xml:space="preserve">  </w:t>
      </w:r>
    </w:p>
    <w:p w14:paraId="3CFE4553" w14:textId="297B82E1" w:rsidR="00624304" w:rsidRDefault="00624304" w:rsidP="00624304">
      <w:pPr>
        <w:jc w:val="both"/>
        <w:rPr>
          <w:sz w:val="24"/>
          <w:szCs w:val="24"/>
        </w:rPr>
      </w:pPr>
      <w:r w:rsidRPr="00624304">
        <w:rPr>
          <w:sz w:val="24"/>
          <w:szCs w:val="24"/>
        </w:rPr>
        <w:lastRenderedPageBreak/>
        <w:t>El impacto del aumento súbito de estas importaciones de galletas sobre la Rama de Producción Nacional (RPN) se evidencia de manera clara en el deterioro de múltiples indicadores clave de desempeño económico y operativo. Entre los más afectados se encuentran el volumen de ventas, la participación de mercado, la utilización de la capacidad instalada, los niveles de inventarios, el empleo directo en las plantas de producción, así como los principales indicadores financieros como la utilidad operativa (EBIT), la utilidad neta, el flujo de caja y el rendimiento sobre las inversiones. El análisis de estos indicadores permite identificar con claridad la magnitud del daño sufrido por la industria nacional como consecuencia de</w:t>
      </w:r>
      <w:r>
        <w:rPr>
          <w:sz w:val="24"/>
          <w:szCs w:val="24"/>
        </w:rPr>
        <w:t xml:space="preserve"> dichas importaciones </w:t>
      </w:r>
      <w:r w:rsidRPr="00624304">
        <w:rPr>
          <w:sz w:val="24"/>
          <w:szCs w:val="24"/>
        </w:rPr>
        <w:t>a precios inferiores.</w:t>
      </w:r>
      <w:r>
        <w:rPr>
          <w:sz w:val="24"/>
          <w:szCs w:val="24"/>
        </w:rPr>
        <w:t xml:space="preserve">  </w:t>
      </w:r>
    </w:p>
    <w:p w14:paraId="1E8A77DC" w14:textId="15EE1CF6" w:rsidR="00624304" w:rsidRPr="00670FA4" w:rsidRDefault="00624304" w:rsidP="00624304">
      <w:pPr>
        <w:jc w:val="both"/>
        <w:rPr>
          <w:rFonts w:cs="Calibri"/>
          <w:sz w:val="24"/>
          <w:szCs w:val="24"/>
        </w:rPr>
      </w:pPr>
      <w:r w:rsidRPr="00670FA4">
        <w:rPr>
          <w:sz w:val="24"/>
          <w:szCs w:val="24"/>
        </w:rPr>
        <w:t>A continuación, ampliamos sobre evidencia de daño gravo a la R</w:t>
      </w:r>
      <w:r w:rsidR="00833C4F" w:rsidRPr="00670FA4">
        <w:rPr>
          <w:sz w:val="24"/>
          <w:szCs w:val="24"/>
        </w:rPr>
        <w:t>ama de Producción Nacional</w:t>
      </w:r>
      <w:r w:rsidRPr="00670FA4">
        <w:rPr>
          <w:sz w:val="24"/>
          <w:szCs w:val="24"/>
        </w:rPr>
        <w:t xml:space="preserve">: </w:t>
      </w:r>
    </w:p>
    <w:p w14:paraId="047369D6" w14:textId="167270A3" w:rsidR="00D00BC9" w:rsidRPr="00670FA4" w:rsidRDefault="00F1703E" w:rsidP="00D00BC9">
      <w:pPr>
        <w:pStyle w:val="Prrafodelista"/>
        <w:numPr>
          <w:ilvl w:val="0"/>
          <w:numId w:val="11"/>
        </w:numPr>
        <w:spacing w:after="160" w:line="259" w:lineRule="auto"/>
        <w:rPr>
          <w:rFonts w:cs="Calibri"/>
          <w:b/>
          <w:bCs/>
          <w:sz w:val="24"/>
          <w:szCs w:val="24"/>
        </w:rPr>
      </w:pPr>
      <w:bookmarkStart w:id="2" w:name="_Hlk205193602"/>
      <w:r w:rsidRPr="00670FA4">
        <w:rPr>
          <w:rFonts w:cs="Calibri"/>
          <w:b/>
          <w:bCs/>
          <w:sz w:val="24"/>
          <w:szCs w:val="24"/>
        </w:rPr>
        <w:t>Afectación del Volumen</w:t>
      </w:r>
      <w:r w:rsidR="00D00BC9" w:rsidRPr="00670FA4">
        <w:rPr>
          <w:rFonts w:cs="Calibri"/>
          <w:b/>
          <w:bCs/>
          <w:sz w:val="24"/>
          <w:szCs w:val="24"/>
        </w:rPr>
        <w:t xml:space="preserve"> de </w:t>
      </w:r>
      <w:r w:rsidRPr="00670FA4">
        <w:rPr>
          <w:rFonts w:cs="Calibri"/>
          <w:b/>
          <w:bCs/>
          <w:sz w:val="24"/>
          <w:szCs w:val="24"/>
        </w:rPr>
        <w:t>Ventas por las Importaciones</w:t>
      </w:r>
      <w:r w:rsidR="00D00BC9" w:rsidRPr="00670FA4">
        <w:rPr>
          <w:rFonts w:cs="Calibri"/>
          <w:b/>
          <w:bCs/>
          <w:sz w:val="24"/>
          <w:szCs w:val="24"/>
        </w:rPr>
        <w:t xml:space="preserve"> galletas</w:t>
      </w:r>
    </w:p>
    <w:p w14:paraId="20C4E518" w14:textId="77777777" w:rsidR="00F1703E" w:rsidRPr="00670FA4" w:rsidRDefault="00D00BC9" w:rsidP="00D00BC9">
      <w:pPr>
        <w:jc w:val="both"/>
        <w:rPr>
          <w:rFonts w:cs="Calibri"/>
          <w:sz w:val="24"/>
          <w:szCs w:val="24"/>
        </w:rPr>
      </w:pPr>
      <w:r w:rsidRPr="00670FA4">
        <w:rPr>
          <w:rFonts w:cs="Calibri"/>
          <w:sz w:val="24"/>
          <w:szCs w:val="24"/>
        </w:rPr>
        <w:t xml:space="preserve">Mientras entre el 2023 y el 2022 la RPN tuvo un crecimiento en sus ventas domésticas </w:t>
      </w:r>
      <w:r w:rsidRPr="000C362E">
        <w:rPr>
          <w:rFonts w:cs="Calibri"/>
          <w:sz w:val="24"/>
          <w:szCs w:val="24"/>
        </w:rPr>
        <w:t>de 9.3%,</w:t>
      </w:r>
      <w:r w:rsidRPr="00670FA4">
        <w:rPr>
          <w:rFonts w:cs="Calibri"/>
          <w:sz w:val="24"/>
          <w:szCs w:val="24"/>
        </w:rPr>
        <w:t xml:space="preserve"> para el periodo 2023 al 2024 apenas creció </w:t>
      </w:r>
      <w:r w:rsidRPr="000C362E">
        <w:rPr>
          <w:rFonts w:cs="Calibri"/>
          <w:sz w:val="24"/>
          <w:szCs w:val="24"/>
        </w:rPr>
        <w:t>un 0.6%,</w:t>
      </w:r>
      <w:r w:rsidRPr="00670FA4">
        <w:rPr>
          <w:rFonts w:cs="Calibri"/>
          <w:b/>
          <w:bCs/>
          <w:sz w:val="24"/>
          <w:szCs w:val="24"/>
        </w:rPr>
        <w:t xml:space="preserve"> </w:t>
      </w:r>
      <w:r w:rsidRPr="00670FA4">
        <w:rPr>
          <w:rFonts w:cs="Calibri"/>
          <w:sz w:val="24"/>
          <w:szCs w:val="24"/>
        </w:rPr>
        <w:t xml:space="preserve">y ya para el periodo más reciente (enero marzo 2025 Vs enero marzo 2024), las ventas se habían contraído en un </w:t>
      </w:r>
      <w:r w:rsidRPr="000C362E">
        <w:rPr>
          <w:rFonts w:cs="Calibri"/>
          <w:sz w:val="24"/>
          <w:szCs w:val="24"/>
        </w:rPr>
        <w:t>4%</w:t>
      </w:r>
      <w:r w:rsidRPr="00670FA4">
        <w:rPr>
          <w:rFonts w:cs="Calibri"/>
          <w:sz w:val="24"/>
          <w:szCs w:val="24"/>
        </w:rPr>
        <w:t xml:space="preserve">. </w:t>
      </w:r>
    </w:p>
    <w:p w14:paraId="5AAFE26D" w14:textId="06FFBE44" w:rsidR="00D00BC9" w:rsidRPr="00670FA4" w:rsidRDefault="00F1703E" w:rsidP="00D00BC9">
      <w:pPr>
        <w:jc w:val="both"/>
        <w:rPr>
          <w:rFonts w:cs="Calibri"/>
          <w:sz w:val="24"/>
          <w:szCs w:val="24"/>
        </w:rPr>
      </w:pPr>
      <w:r w:rsidRPr="00670FA4">
        <w:rPr>
          <w:rFonts w:cs="Calibri"/>
          <w:sz w:val="24"/>
          <w:szCs w:val="24"/>
        </w:rPr>
        <w:t>Este comportamiento contrasta</w:t>
      </w:r>
      <w:r w:rsidR="00D00BC9" w:rsidRPr="00670FA4">
        <w:rPr>
          <w:rFonts w:cs="Calibri"/>
          <w:sz w:val="24"/>
          <w:szCs w:val="24"/>
        </w:rPr>
        <w:t xml:space="preserve"> con </w:t>
      </w:r>
      <w:r w:rsidRPr="00670FA4">
        <w:rPr>
          <w:rFonts w:cs="Calibri"/>
          <w:sz w:val="24"/>
          <w:szCs w:val="24"/>
        </w:rPr>
        <w:t xml:space="preserve">el aumento de </w:t>
      </w:r>
      <w:r w:rsidR="00483A67" w:rsidRPr="00670FA4">
        <w:rPr>
          <w:rFonts w:cs="Calibri"/>
          <w:sz w:val="24"/>
          <w:szCs w:val="24"/>
        </w:rPr>
        <w:t>las importaciones</w:t>
      </w:r>
      <w:r w:rsidR="00D00BC9" w:rsidRPr="00670FA4">
        <w:rPr>
          <w:rFonts w:cs="Calibri"/>
          <w:sz w:val="24"/>
          <w:szCs w:val="24"/>
        </w:rPr>
        <w:t xml:space="preserve">, principalmente las originarias de países con los cuales no tenemos tratados de libre comercio, las cuales crecieron en un </w:t>
      </w:r>
      <w:r w:rsidR="00D00BC9" w:rsidRPr="000C362E">
        <w:rPr>
          <w:rFonts w:cs="Calibri"/>
          <w:sz w:val="24"/>
          <w:szCs w:val="24"/>
        </w:rPr>
        <w:t>28</w:t>
      </w:r>
      <w:r w:rsidR="00D00BC9" w:rsidRPr="001564A1">
        <w:rPr>
          <w:rFonts w:cs="Calibri"/>
          <w:b/>
          <w:bCs/>
          <w:sz w:val="24"/>
          <w:szCs w:val="24"/>
        </w:rPr>
        <w:t>%</w:t>
      </w:r>
      <w:r w:rsidR="00D00BC9" w:rsidRPr="00670FA4">
        <w:rPr>
          <w:rFonts w:cs="Calibri"/>
          <w:sz w:val="24"/>
          <w:szCs w:val="24"/>
        </w:rPr>
        <w:t xml:space="preserve"> del 2022 al 2023 y un </w:t>
      </w:r>
      <w:r w:rsidR="00D00BC9" w:rsidRPr="000C362E">
        <w:rPr>
          <w:rFonts w:cs="Calibri"/>
          <w:sz w:val="24"/>
          <w:szCs w:val="24"/>
        </w:rPr>
        <w:t>39%</w:t>
      </w:r>
      <w:r w:rsidR="00D00BC9" w:rsidRPr="00670FA4">
        <w:rPr>
          <w:rFonts w:cs="Calibri"/>
          <w:sz w:val="24"/>
          <w:szCs w:val="24"/>
        </w:rPr>
        <w:t xml:space="preserve"> entre el 2024 y el 2023.  Estas importaciones a precios inferiores a los de la RPN capturaron participación de mercado, y presionaron los precios internos, afectando los márgenes financieros. </w:t>
      </w:r>
    </w:p>
    <w:p w14:paraId="1B0CA927" w14:textId="77777777" w:rsidR="00D00BC9" w:rsidRPr="00670FA4" w:rsidRDefault="00D00BC9" w:rsidP="00D00BC9">
      <w:pPr>
        <w:pStyle w:val="Prrafodelista"/>
        <w:numPr>
          <w:ilvl w:val="0"/>
          <w:numId w:val="11"/>
        </w:numPr>
        <w:spacing w:after="160" w:line="259" w:lineRule="auto"/>
        <w:rPr>
          <w:rFonts w:cs="Calibri"/>
          <w:b/>
          <w:bCs/>
          <w:sz w:val="24"/>
          <w:szCs w:val="24"/>
        </w:rPr>
      </w:pPr>
      <w:r w:rsidRPr="00670FA4">
        <w:rPr>
          <w:rFonts w:cs="Calibri"/>
          <w:b/>
          <w:bCs/>
          <w:sz w:val="24"/>
          <w:szCs w:val="24"/>
        </w:rPr>
        <w:t xml:space="preserve">Afectación de los volúmenes de Ventas por el aumento de las importaciones </w:t>
      </w:r>
    </w:p>
    <w:p w14:paraId="4FC1FAFC" w14:textId="1C459CA3" w:rsidR="00D00BC9" w:rsidRPr="000C362E" w:rsidRDefault="00D00BC9" w:rsidP="00D00BC9">
      <w:pPr>
        <w:jc w:val="both"/>
        <w:rPr>
          <w:rFonts w:cs="Calibri"/>
          <w:sz w:val="24"/>
          <w:szCs w:val="24"/>
        </w:rPr>
      </w:pPr>
      <w:r w:rsidRPr="00670FA4">
        <w:rPr>
          <w:rFonts w:cs="Calibri"/>
          <w:sz w:val="24"/>
          <w:szCs w:val="24"/>
        </w:rPr>
        <w:t xml:space="preserve">En términos de crecimiento de los volúmenes de galletas (en Kg), entre el 2022 y el 2024 las ventas de la RPN en aumentaron en un </w:t>
      </w:r>
      <w:r w:rsidRPr="000C362E">
        <w:rPr>
          <w:rFonts w:cs="Calibri"/>
          <w:sz w:val="24"/>
          <w:szCs w:val="24"/>
        </w:rPr>
        <w:t>10%</w:t>
      </w:r>
      <w:r w:rsidRPr="00670FA4">
        <w:rPr>
          <w:rFonts w:cs="Calibri"/>
          <w:sz w:val="24"/>
          <w:szCs w:val="24"/>
        </w:rPr>
        <w:t xml:space="preserve">, sin embargo, las importaciones aumentaron un </w:t>
      </w:r>
      <w:r w:rsidRPr="000C362E">
        <w:rPr>
          <w:rFonts w:cs="Calibri"/>
          <w:sz w:val="24"/>
          <w:szCs w:val="24"/>
        </w:rPr>
        <w:t>40.7%</w:t>
      </w:r>
      <w:r w:rsidRPr="00670FA4">
        <w:rPr>
          <w:rFonts w:cs="Calibri"/>
          <w:b/>
          <w:bCs/>
          <w:sz w:val="24"/>
          <w:szCs w:val="24"/>
        </w:rPr>
        <w:t>.</w:t>
      </w:r>
      <w:r w:rsidRPr="00670FA4">
        <w:rPr>
          <w:rFonts w:cs="Calibri"/>
          <w:sz w:val="24"/>
          <w:szCs w:val="24"/>
        </w:rPr>
        <w:t xml:space="preserve">  Al segregar el comportamiento de las importaciones, las importaciones </w:t>
      </w:r>
      <w:r w:rsidR="00483A67" w:rsidRPr="00670FA4">
        <w:rPr>
          <w:rFonts w:cs="Calibri"/>
          <w:sz w:val="24"/>
          <w:szCs w:val="24"/>
        </w:rPr>
        <w:t>de países</w:t>
      </w:r>
      <w:r w:rsidRPr="00670FA4">
        <w:rPr>
          <w:rFonts w:cs="Calibri"/>
          <w:sz w:val="24"/>
          <w:szCs w:val="24"/>
        </w:rPr>
        <w:t xml:space="preserve"> con los cuales tenemos tratados de libre comercio aumentaron un </w:t>
      </w:r>
      <w:r w:rsidRPr="000C362E">
        <w:rPr>
          <w:rFonts w:cs="Calibri"/>
          <w:sz w:val="24"/>
          <w:szCs w:val="24"/>
        </w:rPr>
        <w:t>3.6%,</w:t>
      </w:r>
      <w:r w:rsidRPr="00670FA4">
        <w:rPr>
          <w:rFonts w:cs="Calibri"/>
          <w:sz w:val="24"/>
          <w:szCs w:val="24"/>
        </w:rPr>
        <w:t xml:space="preserve"> mientras que los países con los que No tenemos </w:t>
      </w:r>
      <w:r w:rsidR="00483A67" w:rsidRPr="00670FA4">
        <w:rPr>
          <w:rFonts w:cs="Calibri"/>
          <w:sz w:val="24"/>
          <w:szCs w:val="24"/>
        </w:rPr>
        <w:t>TLC</w:t>
      </w:r>
      <w:r w:rsidRPr="00670FA4">
        <w:rPr>
          <w:rFonts w:cs="Calibri"/>
          <w:sz w:val="24"/>
          <w:szCs w:val="24"/>
        </w:rPr>
        <w:t xml:space="preserve"> aumentaron un </w:t>
      </w:r>
      <w:r w:rsidRPr="000C362E">
        <w:rPr>
          <w:rFonts w:cs="Calibri"/>
          <w:sz w:val="24"/>
          <w:szCs w:val="24"/>
        </w:rPr>
        <w:t xml:space="preserve">78.9%. </w:t>
      </w:r>
    </w:p>
    <w:p w14:paraId="4EFEFFC1" w14:textId="24D21D33" w:rsidR="00D00BC9" w:rsidRPr="00670FA4" w:rsidRDefault="00D00BC9" w:rsidP="00D00BC9">
      <w:pPr>
        <w:jc w:val="both"/>
        <w:rPr>
          <w:rFonts w:cs="Calibri"/>
          <w:sz w:val="24"/>
          <w:szCs w:val="24"/>
        </w:rPr>
      </w:pPr>
      <w:r w:rsidRPr="00670FA4">
        <w:rPr>
          <w:rFonts w:cs="Calibri"/>
          <w:sz w:val="24"/>
          <w:szCs w:val="24"/>
        </w:rPr>
        <w:t xml:space="preserve">El impacto súbito de las importaciones es evidente al analizar el comportamiento ocurrido en el 2024, cuando el crecimiento de las ventas de la RPN fue de </w:t>
      </w:r>
      <w:r w:rsidR="00483A67" w:rsidRPr="00670FA4">
        <w:rPr>
          <w:rFonts w:cs="Calibri"/>
          <w:sz w:val="24"/>
          <w:szCs w:val="24"/>
        </w:rPr>
        <w:t xml:space="preserve">apenas </w:t>
      </w:r>
      <w:r w:rsidR="009D6D63">
        <w:rPr>
          <w:rFonts w:cs="Calibri"/>
          <w:sz w:val="24"/>
          <w:szCs w:val="24"/>
        </w:rPr>
        <w:t>273</w:t>
      </w:r>
      <w:r w:rsidR="00446835">
        <w:rPr>
          <w:rFonts w:cs="Calibri"/>
          <w:sz w:val="24"/>
          <w:szCs w:val="24"/>
        </w:rPr>
        <w:t>.1</w:t>
      </w:r>
      <w:r w:rsidR="00446835">
        <w:rPr>
          <w:rStyle w:val="Refdenotaalpie"/>
          <w:rFonts w:cs="Calibri"/>
          <w:sz w:val="24"/>
          <w:szCs w:val="24"/>
        </w:rPr>
        <w:footnoteReference w:id="1"/>
      </w:r>
      <w:r w:rsidR="00446835">
        <w:rPr>
          <w:rFonts w:cs="Calibri"/>
          <w:sz w:val="24"/>
          <w:szCs w:val="24"/>
        </w:rPr>
        <w:t xml:space="preserve"> </w:t>
      </w:r>
      <w:r w:rsidRPr="00670FA4">
        <w:rPr>
          <w:rFonts w:cs="Calibri"/>
          <w:sz w:val="24"/>
          <w:szCs w:val="24"/>
        </w:rPr>
        <w:t xml:space="preserve">mil Kg, en comparación con el 2023, mientras que el crecimiento de las importaciones </w:t>
      </w:r>
      <w:r w:rsidRPr="00670FA4">
        <w:rPr>
          <w:rFonts w:cs="Calibri"/>
          <w:sz w:val="24"/>
          <w:szCs w:val="24"/>
        </w:rPr>
        <w:lastRenderedPageBreak/>
        <w:t xml:space="preserve">fue </w:t>
      </w:r>
      <w:r w:rsidRPr="000C362E">
        <w:rPr>
          <w:rFonts w:cs="Calibri"/>
          <w:sz w:val="24"/>
          <w:szCs w:val="24"/>
        </w:rPr>
        <w:t>de 9 millones de kg</w:t>
      </w:r>
      <w:r w:rsidRPr="00670FA4">
        <w:rPr>
          <w:rFonts w:cs="Calibri"/>
          <w:sz w:val="24"/>
          <w:szCs w:val="24"/>
        </w:rPr>
        <w:t xml:space="preserve">, donde el </w:t>
      </w:r>
      <w:r w:rsidRPr="000C362E">
        <w:rPr>
          <w:rFonts w:cs="Calibri"/>
          <w:sz w:val="24"/>
          <w:szCs w:val="24"/>
        </w:rPr>
        <w:t xml:space="preserve">70% </w:t>
      </w:r>
      <w:r w:rsidRPr="00670FA4">
        <w:rPr>
          <w:rFonts w:cs="Calibri"/>
          <w:sz w:val="24"/>
          <w:szCs w:val="24"/>
        </w:rPr>
        <w:t xml:space="preserve">de este crecimiento recayó en países que NO tienen TLC. </w:t>
      </w:r>
    </w:p>
    <w:p w14:paraId="2BD00AA6" w14:textId="77777777" w:rsidR="00D00BC9" w:rsidRDefault="00D00BC9" w:rsidP="00D00BC9">
      <w:pPr>
        <w:rPr>
          <w:rFonts w:cs="Calibri"/>
        </w:rPr>
      </w:pPr>
      <w:r>
        <w:rPr>
          <w:rFonts w:cs="Calibri"/>
        </w:rPr>
        <w:t xml:space="preserve">A raíz de este comportamiento las importaciones de países que No tenemos tratados de libre comercio pasaron de representar </w:t>
      </w:r>
      <w:r w:rsidRPr="00F76F54">
        <w:rPr>
          <w:rFonts w:cs="Calibri"/>
        </w:rPr>
        <w:t>el 44% del total de ventas de la RPN a un 71% en el 2024.</w:t>
      </w:r>
    </w:p>
    <w:p w14:paraId="207193EA" w14:textId="77777777" w:rsidR="0036119C" w:rsidRDefault="0036119C" w:rsidP="00D00BC9">
      <w:pPr>
        <w:rPr>
          <w:rFonts w:cs="Calibri"/>
        </w:rPr>
      </w:pPr>
    </w:p>
    <w:tbl>
      <w:tblPr>
        <w:tblW w:w="8380" w:type="dxa"/>
        <w:tblCellMar>
          <w:left w:w="70" w:type="dxa"/>
          <w:right w:w="70" w:type="dxa"/>
        </w:tblCellMar>
        <w:tblLook w:val="04A0" w:firstRow="1" w:lastRow="0" w:firstColumn="1" w:lastColumn="0" w:noHBand="0" w:noVBand="1"/>
      </w:tblPr>
      <w:tblGrid>
        <w:gridCol w:w="5215"/>
        <w:gridCol w:w="990"/>
        <w:gridCol w:w="1170"/>
        <w:gridCol w:w="1005"/>
      </w:tblGrid>
      <w:tr w:rsidR="00D00BC9" w:rsidRPr="002A2E2F" w14:paraId="29BB1CB0" w14:textId="77777777" w:rsidTr="00391D81">
        <w:trPr>
          <w:trHeight w:val="440"/>
        </w:trPr>
        <w:tc>
          <w:tcPr>
            <w:tcW w:w="5215" w:type="dxa"/>
            <w:tcBorders>
              <w:top w:val="single" w:sz="4" w:space="0" w:color="auto"/>
              <w:left w:val="single" w:sz="4" w:space="0" w:color="auto"/>
              <w:bottom w:val="single" w:sz="4" w:space="0" w:color="auto"/>
              <w:right w:val="single" w:sz="4" w:space="0" w:color="auto"/>
            </w:tcBorders>
            <w:shd w:val="clear" w:color="000000" w:fill="BFBFBF"/>
            <w:vAlign w:val="bottom"/>
            <w:hideMark/>
          </w:tcPr>
          <w:p w14:paraId="673542D1" w14:textId="77777777" w:rsidR="00D00BC9" w:rsidRPr="002A2E2F" w:rsidRDefault="00D00BC9" w:rsidP="00391D81">
            <w:pPr>
              <w:spacing w:after="0" w:line="240" w:lineRule="auto"/>
              <w:jc w:val="center"/>
              <w:rPr>
                <w:rFonts w:ascii="Arial" w:eastAsia="Times New Roman" w:hAnsi="Arial" w:cs="Arial"/>
                <w:b/>
                <w:bCs/>
                <w:color w:val="000000"/>
                <w:sz w:val="20"/>
                <w:szCs w:val="20"/>
                <w:lang w:eastAsia="es-DO"/>
              </w:rPr>
            </w:pPr>
            <w:r>
              <w:rPr>
                <w:rFonts w:cs="Calibri"/>
              </w:rPr>
              <w:t xml:space="preserve"> </w:t>
            </w:r>
          </w:p>
        </w:tc>
        <w:tc>
          <w:tcPr>
            <w:tcW w:w="990" w:type="dxa"/>
            <w:tcBorders>
              <w:top w:val="single" w:sz="4" w:space="0" w:color="auto"/>
              <w:left w:val="nil"/>
              <w:bottom w:val="single" w:sz="4" w:space="0" w:color="auto"/>
              <w:right w:val="single" w:sz="4" w:space="0" w:color="auto"/>
            </w:tcBorders>
            <w:shd w:val="clear" w:color="000000" w:fill="BFBFBF"/>
            <w:vAlign w:val="bottom"/>
            <w:hideMark/>
          </w:tcPr>
          <w:p w14:paraId="015134D4" w14:textId="77777777" w:rsidR="00D00BC9" w:rsidRPr="002A2E2F" w:rsidRDefault="00D00BC9" w:rsidP="00391D81">
            <w:pPr>
              <w:spacing w:after="0" w:line="240" w:lineRule="auto"/>
              <w:jc w:val="center"/>
              <w:rPr>
                <w:rFonts w:ascii="Arial" w:eastAsia="Times New Roman" w:hAnsi="Arial" w:cs="Arial"/>
                <w:b/>
                <w:bCs/>
                <w:color w:val="000000"/>
                <w:sz w:val="20"/>
                <w:szCs w:val="20"/>
                <w:lang w:eastAsia="es-DO"/>
              </w:rPr>
            </w:pPr>
            <w:r w:rsidRPr="002A2E2F">
              <w:rPr>
                <w:rFonts w:ascii="Arial" w:eastAsia="Times New Roman" w:hAnsi="Arial" w:cs="Arial"/>
                <w:b/>
                <w:bCs/>
                <w:color w:val="000000"/>
                <w:sz w:val="20"/>
                <w:szCs w:val="20"/>
                <w:lang w:eastAsia="es-DO"/>
              </w:rPr>
              <w:t>2022</w:t>
            </w:r>
          </w:p>
        </w:tc>
        <w:tc>
          <w:tcPr>
            <w:tcW w:w="1170" w:type="dxa"/>
            <w:tcBorders>
              <w:top w:val="single" w:sz="4" w:space="0" w:color="auto"/>
              <w:left w:val="nil"/>
              <w:bottom w:val="single" w:sz="4" w:space="0" w:color="auto"/>
              <w:right w:val="single" w:sz="4" w:space="0" w:color="auto"/>
            </w:tcBorders>
            <w:shd w:val="clear" w:color="000000" w:fill="BFBFBF"/>
            <w:vAlign w:val="bottom"/>
            <w:hideMark/>
          </w:tcPr>
          <w:p w14:paraId="236467E2" w14:textId="77777777" w:rsidR="00D00BC9" w:rsidRPr="002A2E2F" w:rsidRDefault="00D00BC9" w:rsidP="00391D81">
            <w:pPr>
              <w:spacing w:after="0" w:line="240" w:lineRule="auto"/>
              <w:jc w:val="center"/>
              <w:rPr>
                <w:rFonts w:ascii="Arial" w:eastAsia="Times New Roman" w:hAnsi="Arial" w:cs="Arial"/>
                <w:b/>
                <w:bCs/>
                <w:color w:val="000000"/>
                <w:sz w:val="20"/>
                <w:szCs w:val="20"/>
                <w:lang w:eastAsia="es-DO"/>
              </w:rPr>
            </w:pPr>
            <w:r w:rsidRPr="002A2E2F">
              <w:rPr>
                <w:rFonts w:ascii="Arial" w:eastAsia="Times New Roman" w:hAnsi="Arial" w:cs="Arial"/>
                <w:b/>
                <w:bCs/>
                <w:color w:val="000000"/>
                <w:sz w:val="20"/>
                <w:szCs w:val="20"/>
                <w:lang w:eastAsia="es-DO"/>
              </w:rPr>
              <w:t>2023</w:t>
            </w:r>
          </w:p>
        </w:tc>
        <w:tc>
          <w:tcPr>
            <w:tcW w:w="1005" w:type="dxa"/>
            <w:tcBorders>
              <w:top w:val="single" w:sz="4" w:space="0" w:color="auto"/>
              <w:left w:val="nil"/>
              <w:bottom w:val="single" w:sz="4" w:space="0" w:color="auto"/>
              <w:right w:val="single" w:sz="4" w:space="0" w:color="auto"/>
            </w:tcBorders>
            <w:shd w:val="clear" w:color="000000" w:fill="BFBFBF"/>
            <w:vAlign w:val="bottom"/>
            <w:hideMark/>
          </w:tcPr>
          <w:p w14:paraId="5DF20BCA" w14:textId="77777777" w:rsidR="00D00BC9" w:rsidRPr="002A2E2F" w:rsidRDefault="00D00BC9" w:rsidP="00391D81">
            <w:pPr>
              <w:spacing w:after="0" w:line="240" w:lineRule="auto"/>
              <w:jc w:val="center"/>
              <w:rPr>
                <w:rFonts w:ascii="Arial" w:eastAsia="Times New Roman" w:hAnsi="Arial" w:cs="Arial"/>
                <w:b/>
                <w:bCs/>
                <w:color w:val="000000"/>
                <w:sz w:val="20"/>
                <w:szCs w:val="20"/>
                <w:lang w:eastAsia="es-DO"/>
              </w:rPr>
            </w:pPr>
            <w:r w:rsidRPr="002A2E2F">
              <w:rPr>
                <w:rFonts w:ascii="Arial" w:eastAsia="Times New Roman" w:hAnsi="Arial" w:cs="Arial"/>
                <w:b/>
                <w:bCs/>
                <w:color w:val="000000"/>
                <w:sz w:val="20"/>
                <w:szCs w:val="20"/>
                <w:lang w:eastAsia="es-DO"/>
              </w:rPr>
              <w:t>2024</w:t>
            </w:r>
          </w:p>
        </w:tc>
      </w:tr>
      <w:tr w:rsidR="00D00BC9" w:rsidRPr="002A2E2F" w14:paraId="24A6DBE1" w14:textId="77777777" w:rsidTr="00391D81">
        <w:trPr>
          <w:trHeight w:val="580"/>
        </w:trPr>
        <w:tc>
          <w:tcPr>
            <w:tcW w:w="5215" w:type="dxa"/>
            <w:tcBorders>
              <w:top w:val="nil"/>
              <w:left w:val="single" w:sz="4" w:space="0" w:color="auto"/>
              <w:bottom w:val="single" w:sz="4" w:space="0" w:color="auto"/>
              <w:right w:val="single" w:sz="4" w:space="0" w:color="auto"/>
            </w:tcBorders>
            <w:vAlign w:val="bottom"/>
            <w:hideMark/>
          </w:tcPr>
          <w:p w14:paraId="0A485512" w14:textId="4F1E545C" w:rsidR="00D00BC9" w:rsidRPr="002A2E2F" w:rsidRDefault="00D00BC9" w:rsidP="00391D81">
            <w:pPr>
              <w:spacing w:after="0" w:line="240" w:lineRule="auto"/>
              <w:jc w:val="center"/>
              <w:rPr>
                <w:rFonts w:ascii="Aptos Narrow" w:eastAsia="Times New Roman" w:hAnsi="Aptos Narrow"/>
                <w:color w:val="000000"/>
                <w:lang w:eastAsia="es-DO"/>
              </w:rPr>
            </w:pPr>
            <w:r w:rsidRPr="002A2E2F">
              <w:rPr>
                <w:rFonts w:ascii="Aptos Narrow" w:eastAsia="Times New Roman" w:hAnsi="Aptos Narrow"/>
                <w:color w:val="000000"/>
                <w:lang w:eastAsia="es-DO"/>
              </w:rPr>
              <w:t xml:space="preserve">Importaciones NO </w:t>
            </w:r>
            <w:r w:rsidR="00025046" w:rsidRPr="002A2E2F">
              <w:rPr>
                <w:rFonts w:ascii="Aptos Narrow" w:eastAsia="Times New Roman" w:hAnsi="Aptos Narrow"/>
                <w:color w:val="000000"/>
                <w:lang w:eastAsia="es-DO"/>
              </w:rPr>
              <w:t xml:space="preserve">TLC </w:t>
            </w:r>
            <w:r w:rsidR="00670FA4" w:rsidRPr="002A2E2F">
              <w:rPr>
                <w:rFonts w:ascii="Aptos Narrow" w:eastAsia="Times New Roman" w:hAnsi="Aptos Narrow"/>
                <w:color w:val="000000"/>
                <w:lang w:eastAsia="es-DO"/>
              </w:rPr>
              <w:t>/ Volumen</w:t>
            </w:r>
            <w:r w:rsidRPr="002A2E2F">
              <w:rPr>
                <w:rFonts w:ascii="Aptos Narrow" w:eastAsia="Times New Roman" w:hAnsi="Aptos Narrow"/>
                <w:color w:val="000000"/>
                <w:lang w:eastAsia="es-DO"/>
              </w:rPr>
              <w:t xml:space="preserve"> de Ventas </w:t>
            </w:r>
            <w:r w:rsidR="00483A67" w:rsidRPr="002A2E2F">
              <w:rPr>
                <w:rFonts w:ascii="Aptos Narrow" w:eastAsia="Times New Roman" w:hAnsi="Aptos Narrow"/>
                <w:color w:val="000000"/>
                <w:lang w:eastAsia="es-DO"/>
              </w:rPr>
              <w:t>RPN (</w:t>
            </w:r>
            <w:r w:rsidRPr="002A2E2F">
              <w:rPr>
                <w:rFonts w:ascii="Aptos Narrow" w:eastAsia="Times New Roman" w:hAnsi="Aptos Narrow"/>
                <w:color w:val="000000"/>
                <w:lang w:eastAsia="es-DO"/>
              </w:rPr>
              <w:t>Kg)</w:t>
            </w:r>
          </w:p>
        </w:tc>
        <w:tc>
          <w:tcPr>
            <w:tcW w:w="990" w:type="dxa"/>
            <w:tcBorders>
              <w:top w:val="nil"/>
              <w:left w:val="nil"/>
              <w:bottom w:val="single" w:sz="4" w:space="0" w:color="auto"/>
              <w:right w:val="single" w:sz="4" w:space="0" w:color="auto"/>
            </w:tcBorders>
            <w:noWrap/>
            <w:vAlign w:val="bottom"/>
            <w:hideMark/>
          </w:tcPr>
          <w:p w14:paraId="13F451CF" w14:textId="77777777" w:rsidR="00D00BC9" w:rsidRPr="002A2E2F" w:rsidRDefault="00D00BC9" w:rsidP="00391D81">
            <w:pPr>
              <w:spacing w:after="0" w:line="240" w:lineRule="auto"/>
              <w:jc w:val="center"/>
              <w:rPr>
                <w:rFonts w:ascii="Aptos Narrow" w:eastAsia="Times New Roman" w:hAnsi="Aptos Narrow"/>
                <w:color w:val="000000"/>
                <w:lang w:eastAsia="es-DO"/>
              </w:rPr>
            </w:pPr>
            <w:r w:rsidRPr="002A2E2F">
              <w:rPr>
                <w:rFonts w:ascii="Aptos Narrow" w:eastAsia="Times New Roman" w:hAnsi="Aptos Narrow"/>
                <w:color w:val="000000"/>
                <w:lang w:eastAsia="es-DO"/>
              </w:rPr>
              <w:t>44%</w:t>
            </w:r>
          </w:p>
        </w:tc>
        <w:tc>
          <w:tcPr>
            <w:tcW w:w="1170" w:type="dxa"/>
            <w:tcBorders>
              <w:top w:val="nil"/>
              <w:left w:val="nil"/>
              <w:bottom w:val="single" w:sz="4" w:space="0" w:color="auto"/>
              <w:right w:val="single" w:sz="4" w:space="0" w:color="auto"/>
            </w:tcBorders>
            <w:noWrap/>
            <w:vAlign w:val="bottom"/>
            <w:hideMark/>
          </w:tcPr>
          <w:p w14:paraId="1EF32381" w14:textId="77777777" w:rsidR="00D00BC9" w:rsidRPr="002A2E2F" w:rsidRDefault="00D00BC9" w:rsidP="00391D81">
            <w:pPr>
              <w:spacing w:after="0" w:line="240" w:lineRule="auto"/>
              <w:jc w:val="center"/>
              <w:rPr>
                <w:rFonts w:ascii="Aptos Narrow" w:eastAsia="Times New Roman" w:hAnsi="Aptos Narrow"/>
                <w:color w:val="000000"/>
                <w:lang w:eastAsia="es-DO"/>
              </w:rPr>
            </w:pPr>
            <w:r w:rsidRPr="002A2E2F">
              <w:rPr>
                <w:rFonts w:ascii="Aptos Narrow" w:eastAsia="Times New Roman" w:hAnsi="Aptos Narrow"/>
                <w:color w:val="000000"/>
                <w:lang w:eastAsia="es-DO"/>
              </w:rPr>
              <w:t>51%</w:t>
            </w:r>
          </w:p>
        </w:tc>
        <w:tc>
          <w:tcPr>
            <w:tcW w:w="1005" w:type="dxa"/>
            <w:tcBorders>
              <w:top w:val="nil"/>
              <w:left w:val="nil"/>
              <w:bottom w:val="single" w:sz="4" w:space="0" w:color="auto"/>
              <w:right w:val="single" w:sz="4" w:space="0" w:color="auto"/>
            </w:tcBorders>
            <w:noWrap/>
            <w:vAlign w:val="bottom"/>
            <w:hideMark/>
          </w:tcPr>
          <w:p w14:paraId="70A5D344" w14:textId="77777777" w:rsidR="00D00BC9" w:rsidRPr="002A2E2F" w:rsidRDefault="00D00BC9" w:rsidP="00391D81">
            <w:pPr>
              <w:spacing w:after="0" w:line="240" w:lineRule="auto"/>
              <w:jc w:val="center"/>
              <w:rPr>
                <w:rFonts w:ascii="Aptos Narrow" w:eastAsia="Times New Roman" w:hAnsi="Aptos Narrow"/>
                <w:color w:val="000000"/>
                <w:lang w:eastAsia="es-DO"/>
              </w:rPr>
            </w:pPr>
            <w:r w:rsidRPr="002A2E2F">
              <w:rPr>
                <w:rFonts w:ascii="Aptos Narrow" w:eastAsia="Times New Roman" w:hAnsi="Aptos Narrow"/>
                <w:color w:val="000000"/>
                <w:lang w:eastAsia="es-DO"/>
              </w:rPr>
              <w:t>71%</w:t>
            </w:r>
          </w:p>
        </w:tc>
      </w:tr>
    </w:tbl>
    <w:p w14:paraId="304E0A1A" w14:textId="77777777" w:rsidR="00D00BC9" w:rsidRPr="002A2E2F" w:rsidRDefault="00D00BC9" w:rsidP="00D00BC9">
      <w:pPr>
        <w:rPr>
          <w:rFonts w:cs="Calibri"/>
          <w:b/>
          <w:bCs/>
        </w:rPr>
      </w:pPr>
    </w:p>
    <w:p w14:paraId="69214DE0" w14:textId="77777777" w:rsidR="00D00BC9" w:rsidRPr="007C6E8F" w:rsidRDefault="00D00BC9" w:rsidP="00D00BC9">
      <w:pPr>
        <w:pStyle w:val="Prrafodelista"/>
        <w:numPr>
          <w:ilvl w:val="0"/>
          <w:numId w:val="11"/>
        </w:numPr>
        <w:spacing w:after="160" w:line="259" w:lineRule="auto"/>
        <w:rPr>
          <w:rFonts w:cs="Calibri"/>
          <w:b/>
          <w:bCs/>
        </w:rPr>
      </w:pPr>
      <w:r w:rsidRPr="007C6E8F">
        <w:rPr>
          <w:rFonts w:cs="Calibri"/>
          <w:b/>
          <w:bCs/>
        </w:rPr>
        <w:t>Utilización de la Capacidad Instalada</w:t>
      </w:r>
    </w:p>
    <w:p w14:paraId="773C10D3" w14:textId="4B73EE57" w:rsidR="00D00BC9" w:rsidRPr="006B4C02" w:rsidRDefault="00D00BC9" w:rsidP="00D00BC9">
      <w:pPr>
        <w:jc w:val="both"/>
        <w:rPr>
          <w:rFonts w:cs="Calibri"/>
        </w:rPr>
      </w:pPr>
      <w:r>
        <w:rPr>
          <w:rFonts w:cs="Calibri"/>
        </w:rPr>
        <w:t>A raíz del rápido crecimiento de las importaciones, la RPN ha mantenido una baja utilización de su capacidad instalada. Al comparar las ventas de las galletas producidas</w:t>
      </w:r>
      <w:r w:rsidR="00025046">
        <w:rPr>
          <w:rFonts w:cs="Calibri"/>
        </w:rPr>
        <w:t xml:space="preserve"> para el mercado doméstico</w:t>
      </w:r>
      <w:r>
        <w:rPr>
          <w:rFonts w:cs="Calibri"/>
        </w:rPr>
        <w:t xml:space="preserve"> con la capacidad instalada, esta cifra no supera el </w:t>
      </w:r>
      <w:r w:rsidRPr="003B3F76">
        <w:rPr>
          <w:rFonts w:cs="Calibri"/>
          <w:shd w:val="clear" w:color="auto" w:fill="FFFFFF" w:themeFill="background1"/>
        </w:rPr>
        <w:t xml:space="preserve">50%, alcanzado un </w:t>
      </w:r>
      <w:r w:rsidRPr="001564A1">
        <w:rPr>
          <w:rFonts w:cs="Calibri"/>
          <w:shd w:val="clear" w:color="auto" w:fill="FFFFFF" w:themeFill="background1"/>
        </w:rPr>
        <w:t>47%</w:t>
      </w:r>
      <w:r>
        <w:rPr>
          <w:rFonts w:cs="Calibri"/>
        </w:rPr>
        <w:t xml:space="preserve"> en el 2024.  </w:t>
      </w:r>
    </w:p>
    <w:p w14:paraId="7E7F4882" w14:textId="77777777" w:rsidR="00D00BC9" w:rsidRPr="007C6E8F" w:rsidRDefault="00D00BC9" w:rsidP="00D00BC9">
      <w:pPr>
        <w:pStyle w:val="Prrafodelista"/>
        <w:numPr>
          <w:ilvl w:val="0"/>
          <w:numId w:val="11"/>
        </w:numPr>
        <w:spacing w:after="160" w:line="259" w:lineRule="auto"/>
        <w:rPr>
          <w:rFonts w:cs="Calibri"/>
          <w:b/>
          <w:bCs/>
        </w:rPr>
      </w:pPr>
      <w:r w:rsidRPr="007C6E8F">
        <w:rPr>
          <w:rFonts w:cs="Calibri"/>
          <w:b/>
          <w:bCs/>
        </w:rPr>
        <w:t>Incremento de los Inventarios</w:t>
      </w:r>
    </w:p>
    <w:p w14:paraId="740DA05B" w14:textId="0270C277" w:rsidR="00D00BC9" w:rsidRPr="001F2956" w:rsidRDefault="00D00BC9" w:rsidP="00D00BC9">
      <w:pPr>
        <w:jc w:val="both"/>
        <w:rPr>
          <w:rFonts w:cs="Calibri"/>
        </w:rPr>
      </w:pPr>
      <w:r>
        <w:rPr>
          <w:rFonts w:cs="Calibri"/>
        </w:rPr>
        <w:t xml:space="preserve">El súbito aumento de las importaciones, a precios inferiores a los de la RPN, ha producido un comportamiento de las ventas menor a las esperadas, afectando los inventarios.  </w:t>
      </w:r>
      <w:r w:rsidR="00025046">
        <w:rPr>
          <w:rFonts w:cs="Calibri"/>
        </w:rPr>
        <w:t xml:space="preserve">Entre </w:t>
      </w:r>
      <w:r>
        <w:rPr>
          <w:rFonts w:cs="Calibri"/>
        </w:rPr>
        <w:t xml:space="preserve">el 2023 </w:t>
      </w:r>
      <w:r w:rsidR="00025046">
        <w:rPr>
          <w:rFonts w:cs="Calibri"/>
        </w:rPr>
        <w:t xml:space="preserve">y el 2024 los inventarios han aumentado en un </w:t>
      </w:r>
      <w:r w:rsidR="00025046" w:rsidRPr="000C362E">
        <w:rPr>
          <w:rFonts w:cs="Calibri"/>
        </w:rPr>
        <w:t>33%.</w:t>
      </w:r>
      <w:r w:rsidR="00025046">
        <w:rPr>
          <w:rFonts w:cs="Calibri"/>
        </w:rPr>
        <w:t xml:space="preserve"> </w:t>
      </w:r>
      <w:r>
        <w:rPr>
          <w:rFonts w:cs="Calibri"/>
        </w:rPr>
        <w:t xml:space="preserve">  </w:t>
      </w:r>
      <w:r w:rsidR="00025046">
        <w:rPr>
          <w:rFonts w:cs="Calibri"/>
        </w:rPr>
        <w:t xml:space="preserve">Entre marzo del </w:t>
      </w:r>
      <w:r>
        <w:rPr>
          <w:rFonts w:cs="Calibri"/>
        </w:rPr>
        <w:t xml:space="preserve">2025 </w:t>
      </w:r>
      <w:r w:rsidR="00025046">
        <w:rPr>
          <w:rFonts w:cs="Calibri"/>
        </w:rPr>
        <w:t xml:space="preserve">y marzo del 2024, el inventario se ha incrementado en un </w:t>
      </w:r>
      <w:r w:rsidRPr="000C362E">
        <w:rPr>
          <w:rFonts w:cs="Calibri"/>
        </w:rPr>
        <w:t>19%</w:t>
      </w:r>
      <w:r w:rsidR="00025046" w:rsidRPr="000C362E">
        <w:rPr>
          <w:rFonts w:cs="Calibri"/>
        </w:rPr>
        <w:t>.</w:t>
      </w:r>
      <w:r w:rsidR="00025046">
        <w:rPr>
          <w:rFonts w:cs="Calibri"/>
        </w:rPr>
        <w:t xml:space="preserve"> </w:t>
      </w:r>
      <w:r>
        <w:rPr>
          <w:rFonts w:cs="Calibri"/>
        </w:rPr>
        <w:t xml:space="preserve"> </w:t>
      </w:r>
    </w:p>
    <w:p w14:paraId="584731E1" w14:textId="77777777" w:rsidR="00D00BC9" w:rsidRPr="007C6E8F" w:rsidRDefault="00D00BC9" w:rsidP="00D00BC9">
      <w:pPr>
        <w:pStyle w:val="Prrafodelista"/>
        <w:numPr>
          <w:ilvl w:val="0"/>
          <w:numId w:val="11"/>
        </w:numPr>
        <w:spacing w:after="160" w:line="259" w:lineRule="auto"/>
        <w:rPr>
          <w:rFonts w:cs="Calibri"/>
          <w:b/>
          <w:bCs/>
        </w:rPr>
      </w:pPr>
      <w:r w:rsidRPr="007C6E8F">
        <w:rPr>
          <w:rFonts w:cs="Calibri"/>
          <w:b/>
          <w:bCs/>
        </w:rPr>
        <w:t>Reducción de Personal</w:t>
      </w:r>
    </w:p>
    <w:p w14:paraId="0945ABAA" w14:textId="10650D72" w:rsidR="00D00BC9" w:rsidRDefault="00D00BC9" w:rsidP="00D00BC9">
      <w:pPr>
        <w:jc w:val="both"/>
        <w:rPr>
          <w:rFonts w:cs="Calibri"/>
        </w:rPr>
      </w:pPr>
      <w:r>
        <w:rPr>
          <w:rFonts w:cs="Calibri"/>
        </w:rPr>
        <w:t xml:space="preserve">El significativo aumento de las importaciones en relación con el comportamiento de las ventas de la </w:t>
      </w:r>
      <w:r w:rsidR="00025046">
        <w:rPr>
          <w:rFonts w:cs="Calibri"/>
        </w:rPr>
        <w:t>RPN</w:t>
      </w:r>
      <w:r>
        <w:rPr>
          <w:rFonts w:cs="Calibri"/>
        </w:rPr>
        <w:t xml:space="preserve"> ha generado la necesidad de recorte de gastos y eficiencias, lo que ha afectado el número de obreros y total empleados vinculados.  </w:t>
      </w:r>
      <w:r w:rsidR="00025046">
        <w:rPr>
          <w:rFonts w:cs="Calibri"/>
        </w:rPr>
        <w:t xml:space="preserve"> </w:t>
      </w:r>
      <w:r>
        <w:rPr>
          <w:rFonts w:cs="Calibri"/>
        </w:rPr>
        <w:t>En</w:t>
      </w:r>
      <w:r w:rsidR="00025046">
        <w:rPr>
          <w:rFonts w:cs="Calibri"/>
        </w:rPr>
        <w:t xml:space="preserve">tre el 2023 y </w:t>
      </w:r>
      <w:r>
        <w:rPr>
          <w:rFonts w:cs="Calibri"/>
        </w:rPr>
        <w:t xml:space="preserve">el 2024, </w:t>
      </w:r>
      <w:r w:rsidR="00025046">
        <w:rPr>
          <w:rFonts w:cs="Calibri"/>
        </w:rPr>
        <w:t>se redujeron 10 puestos de trabajo en la nómina de obreros</w:t>
      </w:r>
      <w:r>
        <w:rPr>
          <w:rFonts w:cs="Calibri"/>
        </w:rPr>
        <w:t xml:space="preserve"> en </w:t>
      </w:r>
      <w:r w:rsidR="00025046">
        <w:rPr>
          <w:rFonts w:cs="Calibri"/>
        </w:rPr>
        <w:t>las plantas</w:t>
      </w:r>
      <w:r>
        <w:rPr>
          <w:rFonts w:cs="Calibri"/>
        </w:rPr>
        <w:t xml:space="preserve"> de galletas</w:t>
      </w:r>
      <w:r w:rsidR="00025046">
        <w:rPr>
          <w:rFonts w:cs="Calibri"/>
        </w:rPr>
        <w:t xml:space="preserve">.  </w:t>
      </w:r>
      <w:r>
        <w:rPr>
          <w:rFonts w:cs="Calibri"/>
        </w:rPr>
        <w:t xml:space="preserve"> Para el periodo de marzo 2025 Vs marzo 2024, se ha perdido el </w:t>
      </w:r>
      <w:r w:rsidRPr="001564A1">
        <w:rPr>
          <w:rFonts w:cs="Calibri"/>
          <w:b/>
          <w:bCs/>
        </w:rPr>
        <w:t>3%</w:t>
      </w:r>
      <w:r>
        <w:rPr>
          <w:rFonts w:cs="Calibri"/>
        </w:rPr>
        <w:t xml:space="preserve"> de los empleos de fábrica</w:t>
      </w:r>
      <w:r w:rsidR="00025046">
        <w:rPr>
          <w:rFonts w:cs="Calibri"/>
        </w:rPr>
        <w:t xml:space="preserve">. </w:t>
      </w:r>
      <w:r>
        <w:rPr>
          <w:rFonts w:cs="Calibri"/>
        </w:rPr>
        <w:t xml:space="preserve"> </w:t>
      </w:r>
      <w:r w:rsidR="00025046">
        <w:rPr>
          <w:rFonts w:cs="Calibri"/>
        </w:rPr>
        <w:t xml:space="preserve"> </w:t>
      </w:r>
      <w:r>
        <w:rPr>
          <w:rFonts w:cs="Calibri"/>
        </w:rPr>
        <w:t xml:space="preserve">Una situación similar se ha dado en el total de empleados, reduciendo la planilla en un 1% en el periodo </w:t>
      </w:r>
      <w:r w:rsidR="00025046">
        <w:rPr>
          <w:rFonts w:cs="Calibri"/>
        </w:rPr>
        <w:t>más</w:t>
      </w:r>
      <w:r>
        <w:rPr>
          <w:rFonts w:cs="Calibri"/>
        </w:rPr>
        <w:t xml:space="preserve"> reciente de marzo 2025 a marzo 2024.  </w:t>
      </w:r>
    </w:p>
    <w:p w14:paraId="39B688F8" w14:textId="77777777" w:rsidR="00D00BC9" w:rsidRPr="007C6E8F" w:rsidRDefault="00D00BC9" w:rsidP="00D00BC9">
      <w:pPr>
        <w:pStyle w:val="Prrafodelista"/>
        <w:numPr>
          <w:ilvl w:val="0"/>
          <w:numId w:val="11"/>
        </w:numPr>
        <w:spacing w:after="160" w:line="259" w:lineRule="auto"/>
        <w:rPr>
          <w:rFonts w:cs="Calibri"/>
          <w:b/>
          <w:bCs/>
        </w:rPr>
      </w:pPr>
      <w:r w:rsidRPr="007C6E8F">
        <w:rPr>
          <w:rFonts w:cs="Calibri"/>
          <w:b/>
          <w:bCs/>
        </w:rPr>
        <w:t>EBIT</w:t>
      </w:r>
    </w:p>
    <w:p w14:paraId="702B0829" w14:textId="69ECA7C4" w:rsidR="00D00BC9" w:rsidRDefault="00D00BC9" w:rsidP="00025046">
      <w:pPr>
        <w:jc w:val="both"/>
        <w:rPr>
          <w:rFonts w:cs="Calibri"/>
        </w:rPr>
      </w:pPr>
      <w:r>
        <w:rPr>
          <w:rFonts w:cs="Calibri"/>
        </w:rPr>
        <w:t xml:space="preserve">El impacto del aumento súbito de las importaciones </w:t>
      </w:r>
      <w:r w:rsidR="00025046">
        <w:rPr>
          <w:rFonts w:cs="Calibri"/>
        </w:rPr>
        <w:t xml:space="preserve">queda evidenciado </w:t>
      </w:r>
      <w:r>
        <w:rPr>
          <w:rFonts w:cs="Calibri"/>
        </w:rPr>
        <w:t xml:space="preserve">en el deterioro financiero de la RPN, la cual vio reducir su EBIT </w:t>
      </w:r>
      <w:r w:rsidR="00025046">
        <w:rPr>
          <w:rFonts w:cs="Calibri"/>
        </w:rPr>
        <w:t xml:space="preserve">en el 2024 </w:t>
      </w:r>
      <w:r w:rsidR="00025046" w:rsidRPr="000C362E">
        <w:rPr>
          <w:rFonts w:cs="Calibri"/>
        </w:rPr>
        <w:t xml:space="preserve">en </w:t>
      </w:r>
      <w:r w:rsidRPr="000C362E">
        <w:rPr>
          <w:rFonts w:cs="Calibri"/>
        </w:rPr>
        <w:t>30.5%</w:t>
      </w:r>
      <w:r w:rsidR="00025046" w:rsidRPr="000C362E">
        <w:rPr>
          <w:rFonts w:cs="Calibri"/>
        </w:rPr>
        <w:t xml:space="preserve"> con relación al 2023</w:t>
      </w:r>
      <w:r w:rsidRPr="003D4C10">
        <w:rPr>
          <w:rFonts w:cs="Calibri"/>
          <w:b/>
          <w:bCs/>
        </w:rPr>
        <w:t>.</w:t>
      </w:r>
      <w:r>
        <w:rPr>
          <w:rFonts w:cs="Calibri"/>
        </w:rPr>
        <w:t xml:space="preserve"> </w:t>
      </w:r>
      <w:r w:rsidR="00025046">
        <w:rPr>
          <w:rFonts w:cs="Calibri"/>
        </w:rPr>
        <w:t xml:space="preserve"> </w:t>
      </w:r>
      <w:r>
        <w:rPr>
          <w:rFonts w:cs="Calibri"/>
        </w:rPr>
        <w:t xml:space="preserve">Este deterioro se ha venido agravando en el periodo </w:t>
      </w:r>
      <w:r w:rsidR="00025046">
        <w:rPr>
          <w:rFonts w:cs="Calibri"/>
        </w:rPr>
        <w:t>más</w:t>
      </w:r>
      <w:r>
        <w:rPr>
          <w:rFonts w:cs="Calibri"/>
        </w:rPr>
        <w:t xml:space="preserve"> reciente, de enero </w:t>
      </w:r>
      <w:r w:rsidR="00025046">
        <w:rPr>
          <w:rFonts w:cs="Calibri"/>
        </w:rPr>
        <w:t xml:space="preserve">a </w:t>
      </w:r>
      <w:r>
        <w:rPr>
          <w:rFonts w:cs="Calibri"/>
        </w:rPr>
        <w:t xml:space="preserve">marzo 2025 al compararlo con </w:t>
      </w:r>
      <w:r w:rsidR="00025046">
        <w:rPr>
          <w:rFonts w:cs="Calibri"/>
        </w:rPr>
        <w:t xml:space="preserve">enero a </w:t>
      </w:r>
      <w:r>
        <w:rPr>
          <w:rFonts w:cs="Calibri"/>
        </w:rPr>
        <w:t xml:space="preserve">marzo 2024, </w:t>
      </w:r>
      <w:r w:rsidR="00025046">
        <w:rPr>
          <w:rFonts w:cs="Calibri"/>
        </w:rPr>
        <w:t xml:space="preserve">la contracción ha sido de </w:t>
      </w:r>
      <w:r w:rsidR="00025046" w:rsidRPr="000C362E">
        <w:rPr>
          <w:rFonts w:cs="Calibri"/>
        </w:rPr>
        <w:t>un 49.7</w:t>
      </w:r>
      <w:r w:rsidRPr="000C362E">
        <w:rPr>
          <w:rFonts w:cs="Calibri"/>
        </w:rPr>
        <w:t>%.</w:t>
      </w:r>
    </w:p>
    <w:p w14:paraId="2A31091E" w14:textId="77777777" w:rsidR="00D00BC9" w:rsidRPr="007C6E8F" w:rsidRDefault="00D00BC9" w:rsidP="00D00BC9">
      <w:pPr>
        <w:pStyle w:val="Prrafodelista"/>
        <w:numPr>
          <w:ilvl w:val="0"/>
          <w:numId w:val="11"/>
        </w:numPr>
        <w:spacing w:after="160" w:line="259" w:lineRule="auto"/>
        <w:rPr>
          <w:rFonts w:cs="Calibri"/>
          <w:b/>
          <w:bCs/>
        </w:rPr>
      </w:pPr>
      <w:r w:rsidRPr="007C6E8F">
        <w:rPr>
          <w:rFonts w:cs="Calibri"/>
          <w:b/>
          <w:bCs/>
        </w:rPr>
        <w:t>Utilidad Neta</w:t>
      </w:r>
    </w:p>
    <w:p w14:paraId="36378157" w14:textId="4A8380E1" w:rsidR="00D00BC9" w:rsidRPr="003D4C10" w:rsidRDefault="00D00BC9" w:rsidP="00D00BC9">
      <w:pPr>
        <w:jc w:val="both"/>
        <w:rPr>
          <w:rFonts w:cs="Calibri"/>
        </w:rPr>
      </w:pPr>
      <w:r>
        <w:rPr>
          <w:rFonts w:cs="Calibri"/>
        </w:rPr>
        <w:t xml:space="preserve">De igual manera el deterioro financiero se evidencia </w:t>
      </w:r>
      <w:r w:rsidR="00025046">
        <w:rPr>
          <w:rFonts w:cs="Calibri"/>
        </w:rPr>
        <w:t>en los resultados</w:t>
      </w:r>
      <w:r>
        <w:rPr>
          <w:rFonts w:cs="Calibri"/>
        </w:rPr>
        <w:t xml:space="preserve"> de la Utilidad Neta de la Rama de Producción Nacional, la cual se contrajo en un </w:t>
      </w:r>
      <w:r w:rsidRPr="000C362E">
        <w:rPr>
          <w:rFonts w:cs="Calibri"/>
        </w:rPr>
        <w:t>42.4% entre</w:t>
      </w:r>
      <w:r>
        <w:rPr>
          <w:rFonts w:cs="Calibri"/>
        </w:rPr>
        <w:t xml:space="preserve"> el 2024 y el 2023.  De igual manera en el periodo más reciente, enero marzo 2025 vs enero marzo del 2024 la contracción de la utilidad neta fue de </w:t>
      </w:r>
      <w:r w:rsidRPr="000C362E">
        <w:rPr>
          <w:rFonts w:cs="Calibri"/>
        </w:rPr>
        <w:t>un 66%.</w:t>
      </w:r>
      <w:r>
        <w:rPr>
          <w:rFonts w:cs="Calibri"/>
        </w:rPr>
        <w:t xml:space="preserve"> </w:t>
      </w:r>
    </w:p>
    <w:p w14:paraId="01566F2F" w14:textId="77777777" w:rsidR="00D00BC9" w:rsidRDefault="00D00BC9" w:rsidP="00D00BC9">
      <w:pPr>
        <w:pStyle w:val="Prrafodelista"/>
        <w:numPr>
          <w:ilvl w:val="0"/>
          <w:numId w:val="11"/>
        </w:numPr>
        <w:spacing w:after="160" w:line="259" w:lineRule="auto"/>
        <w:rPr>
          <w:rFonts w:cs="Calibri"/>
          <w:b/>
          <w:bCs/>
        </w:rPr>
      </w:pPr>
      <w:r>
        <w:rPr>
          <w:rFonts w:cs="Calibri"/>
          <w:b/>
          <w:bCs/>
        </w:rPr>
        <w:lastRenderedPageBreak/>
        <w:t xml:space="preserve">Utilidad Neta Sobre Ventas </w:t>
      </w:r>
    </w:p>
    <w:p w14:paraId="6BF40C87" w14:textId="0AA2F42D" w:rsidR="00D00BC9" w:rsidRPr="003D4C10" w:rsidRDefault="00D00BC9" w:rsidP="00025046">
      <w:pPr>
        <w:jc w:val="both"/>
        <w:rPr>
          <w:rFonts w:cs="Calibri"/>
        </w:rPr>
      </w:pPr>
      <w:r w:rsidRPr="003D4C10">
        <w:rPr>
          <w:rFonts w:cs="Calibri"/>
        </w:rPr>
        <w:t>En términos de los indicadores financieros</w:t>
      </w:r>
      <w:r>
        <w:rPr>
          <w:rFonts w:cs="Calibri"/>
        </w:rPr>
        <w:t xml:space="preserve">, la relación utilidad venta sobre las ventas de la RPN, refleja a su vez un importante deterioro, pasando de </w:t>
      </w:r>
      <w:r w:rsidRPr="000C362E">
        <w:rPr>
          <w:rFonts w:cs="Calibri"/>
        </w:rPr>
        <w:t>6.3%</w:t>
      </w:r>
      <w:r>
        <w:rPr>
          <w:rFonts w:cs="Calibri"/>
        </w:rPr>
        <w:t xml:space="preserve"> en el 2023 </w:t>
      </w:r>
      <w:r w:rsidRPr="000C362E">
        <w:rPr>
          <w:rFonts w:cs="Calibri"/>
        </w:rPr>
        <w:t>a 3.6%</w:t>
      </w:r>
      <w:r>
        <w:rPr>
          <w:rFonts w:cs="Calibri"/>
        </w:rPr>
        <w:t xml:space="preserve"> en el 2024, una contracción de </w:t>
      </w:r>
      <w:r w:rsidRPr="001564A1">
        <w:rPr>
          <w:rFonts w:cs="Calibri"/>
        </w:rPr>
        <w:t>2.7 puntos</w:t>
      </w:r>
      <w:r>
        <w:rPr>
          <w:rFonts w:cs="Calibri"/>
        </w:rPr>
        <w:t xml:space="preserve"> básicos en apenas un año.  Sin embargo, el daño ha venido agravándose, en el periodo </w:t>
      </w:r>
      <w:r w:rsidR="00025046">
        <w:rPr>
          <w:rFonts w:cs="Calibri"/>
        </w:rPr>
        <w:t>más</w:t>
      </w:r>
      <w:r>
        <w:rPr>
          <w:rFonts w:cs="Calibri"/>
        </w:rPr>
        <w:t xml:space="preserve"> reciente, cuando la relación de utilidad neta en el periodo enero marzo 2025 fue de apenas </w:t>
      </w:r>
      <w:r w:rsidRPr="000C362E">
        <w:rPr>
          <w:rFonts w:cs="Calibri"/>
        </w:rPr>
        <w:t>3.3%,</w:t>
      </w:r>
      <w:r>
        <w:rPr>
          <w:rFonts w:cs="Calibri"/>
        </w:rPr>
        <w:t xml:space="preserve"> en comparación con </w:t>
      </w:r>
      <w:r w:rsidRPr="000C362E">
        <w:rPr>
          <w:rFonts w:cs="Calibri"/>
        </w:rPr>
        <w:t xml:space="preserve">9.4% </w:t>
      </w:r>
      <w:r w:rsidR="00025046">
        <w:rPr>
          <w:rFonts w:cs="Calibri"/>
        </w:rPr>
        <w:t>del primer</w:t>
      </w:r>
      <w:r>
        <w:rPr>
          <w:rFonts w:cs="Calibri"/>
        </w:rPr>
        <w:t xml:space="preserve"> trimestre del 2024. Esto </w:t>
      </w:r>
      <w:r w:rsidR="00025046">
        <w:rPr>
          <w:rFonts w:cs="Calibri"/>
        </w:rPr>
        <w:t>representó</w:t>
      </w:r>
      <w:r>
        <w:rPr>
          <w:rFonts w:cs="Calibri"/>
        </w:rPr>
        <w:t xml:space="preserve"> una disminución de </w:t>
      </w:r>
      <w:r w:rsidRPr="000C362E">
        <w:rPr>
          <w:rFonts w:cs="Calibri"/>
        </w:rPr>
        <w:t>6.2 puntos</w:t>
      </w:r>
      <w:r>
        <w:rPr>
          <w:rFonts w:cs="Calibri"/>
        </w:rPr>
        <w:t xml:space="preserve"> porcentuales en dicho periodo. </w:t>
      </w:r>
    </w:p>
    <w:p w14:paraId="480796E0" w14:textId="77777777" w:rsidR="00D00BC9" w:rsidRDefault="00D00BC9" w:rsidP="00D00BC9">
      <w:pPr>
        <w:pStyle w:val="Prrafodelista"/>
        <w:numPr>
          <w:ilvl w:val="0"/>
          <w:numId w:val="11"/>
        </w:numPr>
        <w:spacing w:after="160" w:line="259" w:lineRule="auto"/>
        <w:rPr>
          <w:rFonts w:cs="Calibri"/>
          <w:b/>
          <w:bCs/>
        </w:rPr>
      </w:pPr>
      <w:r w:rsidRPr="007C6E8F">
        <w:rPr>
          <w:rFonts w:cs="Calibri"/>
          <w:b/>
          <w:bCs/>
        </w:rPr>
        <w:t>Flujo de Caja</w:t>
      </w:r>
    </w:p>
    <w:p w14:paraId="28FB3398" w14:textId="45A33523" w:rsidR="00D00BC9" w:rsidRPr="007C6E8F" w:rsidRDefault="00D00BC9" w:rsidP="001564A1">
      <w:pPr>
        <w:jc w:val="both"/>
        <w:rPr>
          <w:rFonts w:cs="Calibri"/>
          <w:b/>
          <w:bCs/>
        </w:rPr>
      </w:pPr>
      <w:r>
        <w:rPr>
          <w:rFonts w:cs="Calibri"/>
        </w:rPr>
        <w:t xml:space="preserve">El aumento de las importaciones, la ralentización de las ventas y el aumento de los inventarios han generado un importante deterioro en el flujo de caja, </w:t>
      </w:r>
      <w:r w:rsidR="009B6AB8">
        <w:rPr>
          <w:rFonts w:cs="Calibri"/>
        </w:rPr>
        <w:t xml:space="preserve">contrayéndose un </w:t>
      </w:r>
      <w:r w:rsidR="007B2C33" w:rsidRPr="000C362E">
        <w:rPr>
          <w:rFonts w:cs="Calibri"/>
        </w:rPr>
        <w:t>2</w:t>
      </w:r>
      <w:r w:rsidRPr="000C362E">
        <w:rPr>
          <w:rFonts w:cs="Calibri"/>
        </w:rPr>
        <w:t>2.6%</w:t>
      </w:r>
      <w:r w:rsidR="009B6AB8" w:rsidRPr="000C362E">
        <w:rPr>
          <w:rFonts w:cs="Calibri"/>
        </w:rPr>
        <w:t xml:space="preserve"> del 2023 al 2024.</w:t>
      </w:r>
      <w:r w:rsidR="009B6AB8">
        <w:rPr>
          <w:rFonts w:cs="Calibri"/>
          <w:b/>
          <w:bCs/>
        </w:rPr>
        <w:t xml:space="preserve">  </w:t>
      </w:r>
      <w:r>
        <w:rPr>
          <w:rFonts w:cs="Calibri"/>
        </w:rPr>
        <w:t xml:space="preserve">Este deterioro se agravó de forma grave en el periodo más reciente, </w:t>
      </w:r>
      <w:r w:rsidR="009B6AB8">
        <w:rPr>
          <w:rFonts w:cs="Calibri"/>
        </w:rPr>
        <w:t xml:space="preserve">con una </w:t>
      </w:r>
      <w:r>
        <w:rPr>
          <w:rFonts w:cs="Calibri"/>
        </w:rPr>
        <w:t xml:space="preserve">contracción del </w:t>
      </w:r>
      <w:r w:rsidR="007B2C33" w:rsidRPr="000C362E">
        <w:rPr>
          <w:rFonts w:cs="Calibri"/>
        </w:rPr>
        <w:t>50.6</w:t>
      </w:r>
      <w:r w:rsidRPr="000C362E">
        <w:rPr>
          <w:rFonts w:cs="Calibri"/>
        </w:rPr>
        <w:t>%</w:t>
      </w:r>
      <w:r w:rsidR="009B6AB8" w:rsidRPr="000C362E">
        <w:rPr>
          <w:rFonts w:cs="Calibri"/>
        </w:rPr>
        <w:t>.</w:t>
      </w:r>
      <w:r>
        <w:rPr>
          <w:rFonts w:cs="Calibri"/>
        </w:rPr>
        <w:t xml:space="preserve"> </w:t>
      </w:r>
    </w:p>
    <w:p w14:paraId="47F71AB8" w14:textId="77777777" w:rsidR="00D00BC9" w:rsidRDefault="00D00BC9" w:rsidP="00D00BC9">
      <w:pPr>
        <w:pStyle w:val="Prrafodelista"/>
        <w:numPr>
          <w:ilvl w:val="0"/>
          <w:numId w:val="11"/>
        </w:numPr>
        <w:spacing w:after="160" w:line="259" w:lineRule="auto"/>
        <w:rPr>
          <w:rFonts w:cs="Calibri"/>
          <w:b/>
          <w:bCs/>
        </w:rPr>
      </w:pPr>
      <w:r>
        <w:rPr>
          <w:rFonts w:cs="Calibri"/>
          <w:b/>
          <w:bCs/>
        </w:rPr>
        <w:t>Rendimiento Sobre Inversiones</w:t>
      </w:r>
    </w:p>
    <w:p w14:paraId="50B1731D" w14:textId="6F998501" w:rsidR="00D00BC9" w:rsidRDefault="00D00BC9" w:rsidP="001564A1">
      <w:pPr>
        <w:jc w:val="both"/>
        <w:rPr>
          <w:rFonts w:cs="Calibri"/>
        </w:rPr>
      </w:pPr>
      <w:r>
        <w:rPr>
          <w:rFonts w:cs="Calibri"/>
        </w:rPr>
        <w:t xml:space="preserve">La relación de EBIT sobre Activos totales, mejor conocida como rendimiento sobre las inversiones, también se ha visto afectada negativamente por el impacto del aumento súbito del aumento de las importaciones de países sin tratados de libre comercio. Mientras en el 2023 dicha relación fue de </w:t>
      </w:r>
      <w:r w:rsidRPr="000C362E">
        <w:rPr>
          <w:rFonts w:cs="Calibri"/>
        </w:rPr>
        <w:t>5.8%</w:t>
      </w:r>
      <w:r>
        <w:rPr>
          <w:rFonts w:cs="Calibri"/>
        </w:rPr>
        <w:t xml:space="preserve"> para el 2024 se había reducido a </w:t>
      </w:r>
      <w:r w:rsidRPr="000C362E">
        <w:rPr>
          <w:rFonts w:cs="Calibri"/>
        </w:rPr>
        <w:t>3.7%,</w:t>
      </w:r>
      <w:r>
        <w:rPr>
          <w:rFonts w:cs="Calibri"/>
        </w:rPr>
        <w:t xml:space="preserve"> una contracción de </w:t>
      </w:r>
      <w:r w:rsidRPr="000C362E">
        <w:rPr>
          <w:rFonts w:cs="Calibri"/>
        </w:rPr>
        <w:t xml:space="preserve">2.1 puntos porcentuales. </w:t>
      </w:r>
      <w:r w:rsidR="009B6AB8" w:rsidRPr="000C362E">
        <w:rPr>
          <w:rFonts w:cs="Calibri"/>
        </w:rPr>
        <w:t xml:space="preserve"> </w:t>
      </w:r>
      <w:r w:rsidRPr="000C362E">
        <w:rPr>
          <w:rFonts w:cs="Calibri"/>
        </w:rPr>
        <w:t xml:space="preserve">En el periodo </w:t>
      </w:r>
      <w:r w:rsidR="009B6AB8" w:rsidRPr="000C362E">
        <w:rPr>
          <w:rFonts w:cs="Calibri"/>
        </w:rPr>
        <w:t>más</w:t>
      </w:r>
      <w:r w:rsidRPr="000C362E">
        <w:rPr>
          <w:rFonts w:cs="Calibri"/>
        </w:rPr>
        <w:t xml:space="preserve"> reciente se aprecia un deterioro mayor, pasando de 2.1</w:t>
      </w:r>
      <w:r w:rsidR="001564A1" w:rsidRPr="000C362E">
        <w:rPr>
          <w:rFonts w:cs="Calibri"/>
        </w:rPr>
        <w:t>%</w:t>
      </w:r>
      <w:r w:rsidRPr="000C362E">
        <w:rPr>
          <w:rFonts w:cs="Calibri"/>
        </w:rPr>
        <w:t xml:space="preserve"> en enero – marzo 2024 a 0.8</w:t>
      </w:r>
      <w:r w:rsidR="001564A1">
        <w:rPr>
          <w:rFonts w:cs="Calibri"/>
          <w:b/>
          <w:bCs/>
        </w:rPr>
        <w:t>%</w:t>
      </w:r>
      <w:r>
        <w:rPr>
          <w:rFonts w:cs="Calibri"/>
        </w:rPr>
        <w:t xml:space="preserve"> en enero – marzo 2025, una contracción de </w:t>
      </w:r>
      <w:r w:rsidRPr="000C362E">
        <w:rPr>
          <w:rFonts w:cs="Calibri"/>
        </w:rPr>
        <w:t>1.2</w:t>
      </w:r>
      <w:r w:rsidRPr="001564A1">
        <w:rPr>
          <w:rFonts w:cs="Calibri"/>
          <w:b/>
          <w:bCs/>
        </w:rPr>
        <w:t xml:space="preserve"> </w:t>
      </w:r>
      <w:r>
        <w:rPr>
          <w:rFonts w:cs="Calibri"/>
        </w:rPr>
        <w:t xml:space="preserve">puntos porcentuales. </w:t>
      </w:r>
    </w:p>
    <w:p w14:paraId="27200552" w14:textId="0A3DDF85" w:rsidR="009B6AB8" w:rsidRDefault="009B6AB8" w:rsidP="001564A1">
      <w:pPr>
        <w:jc w:val="both"/>
        <w:rPr>
          <w:rFonts w:cs="Calibri"/>
        </w:rPr>
      </w:pPr>
      <w:r>
        <w:rPr>
          <w:rFonts w:cs="Calibri"/>
        </w:rPr>
        <w:t xml:space="preserve">Estos hechos ponen evidencia el daño grave que está sufriendo la RPN a raíz del aumento súbito de las importaciones antes descritas. </w:t>
      </w:r>
    </w:p>
    <w:bookmarkEnd w:id="2"/>
    <w:p w14:paraId="4144D459" w14:textId="099D3A4C" w:rsidR="000B55CA" w:rsidRPr="009564E2" w:rsidRDefault="000B55CA" w:rsidP="00905917">
      <w:pPr>
        <w:spacing w:line="240" w:lineRule="auto"/>
        <w:jc w:val="both"/>
        <w:rPr>
          <w:rFonts w:asciiTheme="minorHAnsi" w:hAnsiTheme="minorHAnsi" w:cstheme="minorHAnsi"/>
          <w:b/>
          <w:sz w:val="24"/>
          <w:szCs w:val="24"/>
        </w:rPr>
      </w:pPr>
      <w:r w:rsidRPr="009564E2">
        <w:rPr>
          <w:rFonts w:asciiTheme="minorHAnsi" w:hAnsiTheme="minorHAnsi" w:cstheme="minorHAnsi"/>
          <w:b/>
          <w:sz w:val="24"/>
          <w:szCs w:val="24"/>
        </w:rPr>
        <w:t>IV.- RELACIÓN CAUSAL</w:t>
      </w:r>
      <w:r w:rsidR="00187C95" w:rsidRPr="009564E2">
        <w:rPr>
          <w:rFonts w:asciiTheme="minorHAnsi" w:hAnsiTheme="minorHAnsi" w:cstheme="minorHAnsi"/>
          <w:b/>
          <w:sz w:val="24"/>
          <w:szCs w:val="24"/>
        </w:rPr>
        <w:t xml:space="preserve"> </w:t>
      </w:r>
      <w:r w:rsidR="00EB1C0F" w:rsidRPr="009564E2">
        <w:rPr>
          <w:rFonts w:asciiTheme="minorHAnsi" w:hAnsiTheme="minorHAnsi" w:cstheme="minorHAnsi"/>
          <w:b/>
          <w:sz w:val="24"/>
          <w:szCs w:val="24"/>
        </w:rPr>
        <w:t>ENTRE LAS IMPORTACIONES DENUNCI</w:t>
      </w:r>
      <w:r w:rsidRPr="009564E2">
        <w:rPr>
          <w:rFonts w:asciiTheme="minorHAnsi" w:hAnsiTheme="minorHAnsi" w:cstheme="minorHAnsi"/>
          <w:b/>
          <w:sz w:val="24"/>
          <w:szCs w:val="24"/>
        </w:rPr>
        <w:t>ADAS Y EL DAÑO A L</w:t>
      </w:r>
      <w:r w:rsidR="004E515B">
        <w:rPr>
          <w:rFonts w:asciiTheme="minorHAnsi" w:hAnsiTheme="minorHAnsi" w:cstheme="minorHAnsi"/>
          <w:b/>
          <w:sz w:val="24"/>
          <w:szCs w:val="24"/>
        </w:rPr>
        <w:t>A</w:t>
      </w:r>
      <w:r w:rsidRPr="009564E2">
        <w:rPr>
          <w:rFonts w:asciiTheme="minorHAnsi" w:hAnsiTheme="minorHAnsi" w:cstheme="minorHAnsi"/>
          <w:b/>
          <w:sz w:val="24"/>
          <w:szCs w:val="24"/>
        </w:rPr>
        <w:t xml:space="preserve"> PRODUCCIÓN NACIONAL: </w:t>
      </w:r>
    </w:p>
    <w:p w14:paraId="0A21966D" w14:textId="58EE60EF" w:rsidR="006E36F8" w:rsidRPr="0072597A" w:rsidRDefault="006E36F8" w:rsidP="001564A1">
      <w:pPr>
        <w:spacing w:after="160" w:line="259" w:lineRule="auto"/>
        <w:jc w:val="both"/>
        <w:rPr>
          <w:rFonts w:asciiTheme="minorHAnsi" w:hAnsiTheme="minorHAnsi" w:cstheme="minorHAnsi"/>
          <w:sz w:val="24"/>
          <w:szCs w:val="24"/>
        </w:rPr>
      </w:pPr>
      <w:r w:rsidRPr="0072597A">
        <w:rPr>
          <w:rFonts w:asciiTheme="minorHAnsi" w:hAnsiTheme="minorHAnsi" w:cstheme="minorHAnsi"/>
          <w:sz w:val="24"/>
          <w:szCs w:val="24"/>
        </w:rPr>
        <w:t>E</w:t>
      </w:r>
      <w:r w:rsidRPr="006E36F8">
        <w:rPr>
          <w:rFonts w:asciiTheme="minorHAnsi" w:hAnsiTheme="minorHAnsi" w:cstheme="minorHAnsi"/>
          <w:sz w:val="24"/>
          <w:szCs w:val="24"/>
        </w:rPr>
        <w:t xml:space="preserve">l expediente anexo, </w:t>
      </w:r>
      <w:r w:rsidRPr="0072597A">
        <w:rPr>
          <w:rFonts w:asciiTheme="minorHAnsi" w:hAnsiTheme="minorHAnsi" w:cstheme="minorHAnsi"/>
          <w:sz w:val="24"/>
          <w:szCs w:val="24"/>
        </w:rPr>
        <w:t>demuestra, con base en el Acuerdo sobre Salvaguardias de la OMC, la existencia de una relación causal directa entre el incremento brusco de las importaciones de galletas desde países sin Tratados de Libre Comercio (TLC) y el daño grave sufrido por la Rama de Producción Nacional (RPN) en la República Dominicana</w:t>
      </w:r>
      <w:r>
        <w:rPr>
          <w:rFonts w:asciiTheme="minorHAnsi" w:hAnsiTheme="minorHAnsi" w:cstheme="minorHAnsi"/>
          <w:sz w:val="24"/>
          <w:szCs w:val="24"/>
        </w:rPr>
        <w:t>, evidenciado en el d</w:t>
      </w:r>
      <w:r w:rsidRPr="0072597A">
        <w:rPr>
          <w:rFonts w:asciiTheme="minorHAnsi" w:hAnsiTheme="minorHAnsi" w:cstheme="minorHAnsi"/>
          <w:sz w:val="24"/>
          <w:szCs w:val="24"/>
        </w:rPr>
        <w:t>eterioro de indicadores económicos y financieros</w:t>
      </w:r>
      <w:r w:rsidRPr="006E36F8">
        <w:rPr>
          <w:rFonts w:asciiTheme="minorHAnsi" w:hAnsiTheme="minorHAnsi" w:cstheme="minorHAnsi"/>
          <w:sz w:val="24"/>
          <w:szCs w:val="24"/>
        </w:rPr>
        <w:t xml:space="preserve">: </w:t>
      </w:r>
    </w:p>
    <w:p w14:paraId="45948679" w14:textId="77777777" w:rsidR="006E36F8" w:rsidRPr="0072597A" w:rsidRDefault="006E36F8" w:rsidP="001564A1">
      <w:pPr>
        <w:numPr>
          <w:ilvl w:val="0"/>
          <w:numId w:val="12"/>
        </w:numPr>
        <w:spacing w:after="160" w:line="259" w:lineRule="auto"/>
        <w:jc w:val="both"/>
        <w:rPr>
          <w:rFonts w:asciiTheme="minorHAnsi" w:hAnsiTheme="minorHAnsi" w:cstheme="minorHAnsi"/>
          <w:sz w:val="24"/>
          <w:szCs w:val="24"/>
        </w:rPr>
      </w:pPr>
      <w:r w:rsidRPr="0072597A">
        <w:rPr>
          <w:rFonts w:asciiTheme="minorHAnsi" w:hAnsiTheme="minorHAnsi" w:cstheme="minorHAnsi"/>
          <w:b/>
          <w:bCs/>
          <w:sz w:val="24"/>
          <w:szCs w:val="24"/>
        </w:rPr>
        <w:t>EBIT</w:t>
      </w:r>
      <w:r w:rsidRPr="0072597A">
        <w:rPr>
          <w:rFonts w:asciiTheme="minorHAnsi" w:hAnsiTheme="minorHAnsi" w:cstheme="minorHAnsi"/>
          <w:sz w:val="24"/>
          <w:szCs w:val="24"/>
        </w:rPr>
        <w:t>: cayó 30.5% en 2024 y 49.7% en el primer trimestre de 2025.</w:t>
      </w:r>
    </w:p>
    <w:p w14:paraId="6DF7B69B" w14:textId="77777777" w:rsidR="006E36F8" w:rsidRPr="0072597A" w:rsidRDefault="006E36F8" w:rsidP="001564A1">
      <w:pPr>
        <w:numPr>
          <w:ilvl w:val="0"/>
          <w:numId w:val="12"/>
        </w:numPr>
        <w:spacing w:after="160" w:line="259" w:lineRule="auto"/>
        <w:jc w:val="both"/>
        <w:rPr>
          <w:rFonts w:asciiTheme="minorHAnsi" w:hAnsiTheme="minorHAnsi" w:cstheme="minorHAnsi"/>
          <w:sz w:val="24"/>
          <w:szCs w:val="24"/>
        </w:rPr>
      </w:pPr>
      <w:r w:rsidRPr="0072597A">
        <w:rPr>
          <w:rFonts w:asciiTheme="minorHAnsi" w:hAnsiTheme="minorHAnsi" w:cstheme="minorHAnsi"/>
          <w:b/>
          <w:bCs/>
          <w:sz w:val="24"/>
          <w:szCs w:val="24"/>
        </w:rPr>
        <w:t>Utilidad neta</w:t>
      </w:r>
      <w:r w:rsidRPr="0072597A">
        <w:rPr>
          <w:rFonts w:asciiTheme="minorHAnsi" w:hAnsiTheme="minorHAnsi" w:cstheme="minorHAnsi"/>
          <w:sz w:val="24"/>
          <w:szCs w:val="24"/>
        </w:rPr>
        <w:t>: se redujo 42.4% en 2024 y 66% en el primer trimestre de 2025.</w:t>
      </w:r>
    </w:p>
    <w:p w14:paraId="532552AA" w14:textId="77777777" w:rsidR="006E36F8" w:rsidRPr="0072597A" w:rsidRDefault="006E36F8" w:rsidP="001564A1">
      <w:pPr>
        <w:numPr>
          <w:ilvl w:val="0"/>
          <w:numId w:val="12"/>
        </w:numPr>
        <w:spacing w:after="160" w:line="259" w:lineRule="auto"/>
        <w:jc w:val="both"/>
        <w:rPr>
          <w:rFonts w:asciiTheme="minorHAnsi" w:hAnsiTheme="minorHAnsi" w:cstheme="minorHAnsi"/>
          <w:sz w:val="24"/>
          <w:szCs w:val="24"/>
        </w:rPr>
      </w:pPr>
      <w:r w:rsidRPr="0072597A">
        <w:rPr>
          <w:rFonts w:asciiTheme="minorHAnsi" w:hAnsiTheme="minorHAnsi" w:cstheme="minorHAnsi"/>
          <w:b/>
          <w:bCs/>
          <w:sz w:val="24"/>
          <w:szCs w:val="24"/>
        </w:rPr>
        <w:t>Inventarios</w:t>
      </w:r>
      <w:r w:rsidRPr="0072597A">
        <w:rPr>
          <w:rFonts w:asciiTheme="minorHAnsi" w:hAnsiTheme="minorHAnsi" w:cstheme="minorHAnsi"/>
          <w:sz w:val="24"/>
          <w:szCs w:val="24"/>
        </w:rPr>
        <w:t>: aumentaron un 33%, reflejando una menor rotación de ventas.</w:t>
      </w:r>
    </w:p>
    <w:p w14:paraId="59E1356C" w14:textId="066D8043" w:rsidR="006E36F8" w:rsidRPr="0072597A" w:rsidRDefault="006E36F8" w:rsidP="001564A1">
      <w:pPr>
        <w:numPr>
          <w:ilvl w:val="0"/>
          <w:numId w:val="12"/>
        </w:numPr>
        <w:spacing w:after="160" w:line="259" w:lineRule="auto"/>
        <w:jc w:val="both"/>
        <w:rPr>
          <w:rFonts w:asciiTheme="minorHAnsi" w:hAnsiTheme="minorHAnsi" w:cstheme="minorHAnsi"/>
          <w:sz w:val="24"/>
          <w:szCs w:val="24"/>
        </w:rPr>
      </w:pPr>
      <w:r w:rsidRPr="0072597A">
        <w:rPr>
          <w:rFonts w:asciiTheme="minorHAnsi" w:hAnsiTheme="minorHAnsi" w:cstheme="minorHAnsi"/>
          <w:b/>
          <w:bCs/>
          <w:sz w:val="24"/>
          <w:szCs w:val="24"/>
        </w:rPr>
        <w:t>Flujo de caja</w:t>
      </w:r>
      <w:r w:rsidRPr="0072597A">
        <w:rPr>
          <w:rFonts w:asciiTheme="minorHAnsi" w:hAnsiTheme="minorHAnsi" w:cstheme="minorHAnsi"/>
          <w:sz w:val="24"/>
          <w:szCs w:val="24"/>
        </w:rPr>
        <w:t xml:space="preserve">: se contrajo un </w:t>
      </w:r>
      <w:r w:rsidR="007B2C33" w:rsidRPr="007B2C33">
        <w:rPr>
          <w:rFonts w:asciiTheme="minorHAnsi" w:hAnsiTheme="minorHAnsi" w:cstheme="minorHAnsi"/>
          <w:sz w:val="24"/>
          <w:szCs w:val="24"/>
        </w:rPr>
        <w:t>2</w:t>
      </w:r>
      <w:r w:rsidRPr="0072597A">
        <w:rPr>
          <w:rFonts w:asciiTheme="minorHAnsi" w:hAnsiTheme="minorHAnsi" w:cstheme="minorHAnsi"/>
          <w:sz w:val="24"/>
          <w:szCs w:val="24"/>
        </w:rPr>
        <w:t xml:space="preserve">2.6% en 2024 y un </w:t>
      </w:r>
      <w:r w:rsidR="007B2C33" w:rsidRPr="007B2C33">
        <w:rPr>
          <w:rFonts w:asciiTheme="minorHAnsi" w:hAnsiTheme="minorHAnsi" w:cstheme="minorHAnsi"/>
          <w:sz w:val="24"/>
          <w:szCs w:val="24"/>
        </w:rPr>
        <w:t>50.6%</w:t>
      </w:r>
      <w:r w:rsidRPr="0072597A">
        <w:rPr>
          <w:rFonts w:asciiTheme="minorHAnsi" w:hAnsiTheme="minorHAnsi" w:cstheme="minorHAnsi"/>
          <w:sz w:val="24"/>
          <w:szCs w:val="24"/>
        </w:rPr>
        <w:t xml:space="preserve"> en el primer trimestre de 2025.</w:t>
      </w:r>
    </w:p>
    <w:p w14:paraId="2FCB5F21" w14:textId="77777777" w:rsidR="006E36F8" w:rsidRPr="0072597A" w:rsidRDefault="006E36F8" w:rsidP="001564A1">
      <w:pPr>
        <w:numPr>
          <w:ilvl w:val="0"/>
          <w:numId w:val="12"/>
        </w:numPr>
        <w:spacing w:after="160" w:line="259" w:lineRule="auto"/>
        <w:jc w:val="both"/>
        <w:rPr>
          <w:rFonts w:asciiTheme="minorHAnsi" w:hAnsiTheme="minorHAnsi" w:cstheme="minorHAnsi"/>
          <w:sz w:val="24"/>
          <w:szCs w:val="24"/>
        </w:rPr>
      </w:pPr>
      <w:r w:rsidRPr="0072597A">
        <w:rPr>
          <w:rFonts w:asciiTheme="minorHAnsi" w:hAnsiTheme="minorHAnsi" w:cstheme="minorHAnsi"/>
          <w:b/>
          <w:bCs/>
          <w:sz w:val="24"/>
          <w:szCs w:val="24"/>
        </w:rPr>
        <w:t>Empleo</w:t>
      </w:r>
      <w:r w:rsidRPr="0072597A">
        <w:rPr>
          <w:rFonts w:asciiTheme="minorHAnsi" w:hAnsiTheme="minorHAnsi" w:cstheme="minorHAnsi"/>
          <w:sz w:val="24"/>
          <w:szCs w:val="24"/>
        </w:rPr>
        <w:t>: cayó 3% en el primer trimestre de 2025 en comparación con igual período del año anterior.</w:t>
      </w:r>
    </w:p>
    <w:p w14:paraId="4F1F747C" w14:textId="77777777" w:rsidR="006E36F8" w:rsidRDefault="006E36F8" w:rsidP="001564A1">
      <w:pPr>
        <w:numPr>
          <w:ilvl w:val="0"/>
          <w:numId w:val="12"/>
        </w:numPr>
        <w:spacing w:after="160" w:line="259" w:lineRule="auto"/>
        <w:jc w:val="both"/>
        <w:rPr>
          <w:rFonts w:asciiTheme="minorHAnsi" w:hAnsiTheme="minorHAnsi" w:cstheme="minorHAnsi"/>
          <w:sz w:val="24"/>
          <w:szCs w:val="24"/>
        </w:rPr>
      </w:pPr>
      <w:r w:rsidRPr="0072597A">
        <w:rPr>
          <w:rFonts w:asciiTheme="minorHAnsi" w:hAnsiTheme="minorHAnsi" w:cstheme="minorHAnsi"/>
          <w:b/>
          <w:bCs/>
          <w:sz w:val="24"/>
          <w:szCs w:val="24"/>
        </w:rPr>
        <w:t>Ren</w:t>
      </w:r>
      <w:r w:rsidRPr="006E36F8">
        <w:rPr>
          <w:rFonts w:asciiTheme="minorHAnsi" w:hAnsiTheme="minorHAnsi" w:cstheme="minorHAnsi"/>
          <w:b/>
          <w:bCs/>
          <w:sz w:val="24"/>
          <w:szCs w:val="24"/>
        </w:rPr>
        <w:t>dimiento de las inversiones (</w:t>
      </w:r>
      <w:r w:rsidRPr="0072597A">
        <w:rPr>
          <w:rFonts w:asciiTheme="minorHAnsi" w:hAnsiTheme="minorHAnsi" w:cstheme="minorHAnsi"/>
          <w:b/>
          <w:bCs/>
          <w:sz w:val="24"/>
          <w:szCs w:val="24"/>
        </w:rPr>
        <w:t>ROI)</w:t>
      </w:r>
      <w:r w:rsidRPr="0072597A">
        <w:rPr>
          <w:rFonts w:asciiTheme="minorHAnsi" w:hAnsiTheme="minorHAnsi" w:cstheme="minorHAnsi"/>
          <w:sz w:val="24"/>
          <w:szCs w:val="24"/>
        </w:rPr>
        <w:t>: pasó de 5.8% en 2023 a 0.8% en el primer trimestre de 2025</w:t>
      </w:r>
      <w:r w:rsidRPr="006E36F8">
        <w:rPr>
          <w:rFonts w:asciiTheme="minorHAnsi" w:hAnsiTheme="minorHAnsi" w:cstheme="minorHAnsi"/>
          <w:sz w:val="24"/>
          <w:szCs w:val="24"/>
        </w:rPr>
        <w:t>.</w:t>
      </w:r>
    </w:p>
    <w:p w14:paraId="7D1BF627" w14:textId="7A2DA2DD" w:rsidR="006E36F8" w:rsidRPr="006E36F8" w:rsidRDefault="006E36F8" w:rsidP="001564A1">
      <w:pPr>
        <w:spacing w:after="160" w:line="278" w:lineRule="auto"/>
        <w:jc w:val="both"/>
        <w:rPr>
          <w:rFonts w:asciiTheme="minorHAnsi" w:hAnsiTheme="minorHAnsi" w:cstheme="minorHAnsi"/>
          <w:sz w:val="24"/>
          <w:szCs w:val="24"/>
        </w:rPr>
      </w:pPr>
      <w:r>
        <w:rPr>
          <w:rFonts w:asciiTheme="minorHAnsi" w:hAnsiTheme="minorHAnsi" w:cstheme="minorHAnsi"/>
          <w:sz w:val="24"/>
          <w:szCs w:val="24"/>
          <w:lang w:val="es-DO"/>
        </w:rPr>
        <w:lastRenderedPageBreak/>
        <w:t xml:space="preserve">Se realizó, en adición, un análisis de factores concurrentes, demostrando </w:t>
      </w:r>
      <w:r w:rsidRPr="006E36F8">
        <w:rPr>
          <w:rFonts w:asciiTheme="minorHAnsi" w:hAnsiTheme="minorHAnsi" w:cstheme="minorHAnsi"/>
          <w:sz w:val="24"/>
          <w:szCs w:val="24"/>
          <w:lang w:val="es-DO"/>
        </w:rPr>
        <w:t xml:space="preserve">la existencia de una relación de causalidad entre el aumento de las importaciones </w:t>
      </w:r>
      <w:r>
        <w:rPr>
          <w:rFonts w:asciiTheme="minorHAnsi" w:hAnsiTheme="minorHAnsi" w:cstheme="minorHAnsi"/>
          <w:sz w:val="24"/>
          <w:szCs w:val="24"/>
          <w:lang w:val="es-DO"/>
        </w:rPr>
        <w:t xml:space="preserve">originarias de países sin tratados de libre comercio </w:t>
      </w:r>
      <w:r w:rsidRPr="006E36F8">
        <w:rPr>
          <w:rFonts w:asciiTheme="minorHAnsi" w:hAnsiTheme="minorHAnsi" w:cstheme="minorHAnsi"/>
          <w:sz w:val="24"/>
          <w:szCs w:val="24"/>
          <w:lang w:val="es-DO"/>
        </w:rPr>
        <w:t xml:space="preserve">y el daño grave, y </w:t>
      </w:r>
      <w:r>
        <w:rPr>
          <w:rFonts w:asciiTheme="minorHAnsi" w:hAnsiTheme="minorHAnsi" w:cstheme="minorHAnsi"/>
          <w:sz w:val="24"/>
          <w:szCs w:val="24"/>
          <w:lang w:val="es-DO"/>
        </w:rPr>
        <w:t xml:space="preserve">descartando la atribución del daño a otros factores.  Entre los factores evaluados se encuentran: </w:t>
      </w:r>
    </w:p>
    <w:p w14:paraId="25FA733E" w14:textId="35CC9313" w:rsidR="006E36F8" w:rsidRPr="007B2C33" w:rsidRDefault="006E36F8" w:rsidP="006E36F8">
      <w:pPr>
        <w:pStyle w:val="Prrafodelista"/>
        <w:numPr>
          <w:ilvl w:val="0"/>
          <w:numId w:val="15"/>
        </w:numPr>
        <w:spacing w:after="160" w:line="278" w:lineRule="auto"/>
        <w:jc w:val="both"/>
        <w:rPr>
          <w:rFonts w:asciiTheme="minorHAnsi" w:hAnsiTheme="minorHAnsi" w:cstheme="minorHAnsi"/>
          <w:b/>
          <w:bCs/>
          <w:sz w:val="24"/>
          <w:szCs w:val="24"/>
          <w:lang w:val="es-DO"/>
        </w:rPr>
      </w:pPr>
      <w:r w:rsidRPr="006E36F8">
        <w:rPr>
          <w:rFonts w:asciiTheme="minorHAnsi" w:hAnsiTheme="minorHAnsi" w:cstheme="minorHAnsi"/>
          <w:b/>
          <w:bCs/>
          <w:sz w:val="24"/>
          <w:szCs w:val="24"/>
          <w:lang w:val="es-DO"/>
        </w:rPr>
        <w:t>Comportamiento diferenciado de países con TLC</w:t>
      </w:r>
      <w:r>
        <w:rPr>
          <w:rFonts w:asciiTheme="minorHAnsi" w:hAnsiTheme="minorHAnsi" w:cstheme="minorHAnsi"/>
          <w:b/>
          <w:bCs/>
          <w:sz w:val="24"/>
          <w:szCs w:val="24"/>
          <w:lang w:val="es-DO"/>
        </w:rPr>
        <w:t xml:space="preserve">: </w:t>
      </w:r>
      <w:r w:rsidRPr="006E36F8">
        <w:rPr>
          <w:rFonts w:asciiTheme="minorHAnsi" w:hAnsiTheme="minorHAnsi" w:cstheme="minorHAnsi"/>
          <w:sz w:val="24"/>
          <w:szCs w:val="24"/>
          <w:lang w:val="es-DO"/>
        </w:rPr>
        <w:t xml:space="preserve">El análisis demuestra de manera concluyente que los países con TLC mantienen un comportamiento comercial completamente diferente y no contribuyen al daño observado en la RPN. Durante el período 2022-2024, estos países registraron un crecimiento moderado de apenas </w:t>
      </w:r>
      <w:r w:rsidRPr="000C362E">
        <w:rPr>
          <w:rFonts w:asciiTheme="minorHAnsi" w:hAnsiTheme="minorHAnsi" w:cstheme="minorHAnsi"/>
          <w:sz w:val="24"/>
          <w:szCs w:val="24"/>
          <w:lang w:val="es-DO"/>
        </w:rPr>
        <w:t>3.6% en volumen, frente al explosivo 78.9%</w:t>
      </w:r>
      <w:r w:rsidRPr="006E36F8">
        <w:rPr>
          <w:rFonts w:asciiTheme="minorHAnsi" w:hAnsiTheme="minorHAnsi" w:cstheme="minorHAnsi"/>
          <w:sz w:val="24"/>
          <w:szCs w:val="24"/>
          <w:lang w:val="es-DO"/>
        </w:rPr>
        <w:t xml:space="preserve"> de los países sin TLC. Su contribución al crecimiento total de las importaciones fue marginal, representando apenas el 4% del incremento total observado. En adición, los precios de los países con TLC se mantienen en niveles normales de mercado, sin evidencia de estrategias predatorias o competencia desleal. </w:t>
      </w:r>
    </w:p>
    <w:p w14:paraId="4F6E0EB8" w14:textId="77777777" w:rsidR="007B2C33" w:rsidRPr="006E36F8" w:rsidRDefault="007B2C33" w:rsidP="007B2C33">
      <w:pPr>
        <w:pStyle w:val="Prrafodelista"/>
        <w:spacing w:after="160" w:line="278" w:lineRule="auto"/>
        <w:jc w:val="both"/>
        <w:rPr>
          <w:rFonts w:asciiTheme="minorHAnsi" w:hAnsiTheme="minorHAnsi" w:cstheme="minorHAnsi"/>
          <w:b/>
          <w:bCs/>
          <w:sz w:val="24"/>
          <w:szCs w:val="24"/>
          <w:lang w:val="es-DO"/>
        </w:rPr>
      </w:pPr>
    </w:p>
    <w:p w14:paraId="200ECD89" w14:textId="2AA063C9" w:rsidR="006E36F8" w:rsidRPr="00AD0AFD" w:rsidRDefault="006E36F8" w:rsidP="006E36F8">
      <w:pPr>
        <w:pStyle w:val="Prrafodelista"/>
        <w:numPr>
          <w:ilvl w:val="0"/>
          <w:numId w:val="15"/>
        </w:numPr>
        <w:spacing w:after="160" w:line="278" w:lineRule="auto"/>
        <w:jc w:val="both"/>
        <w:rPr>
          <w:rFonts w:asciiTheme="minorHAnsi" w:hAnsiTheme="minorHAnsi" w:cstheme="minorHAnsi"/>
          <w:b/>
          <w:bCs/>
          <w:sz w:val="24"/>
          <w:szCs w:val="24"/>
          <w:lang w:val="es-DO"/>
        </w:rPr>
      </w:pPr>
      <w:r w:rsidRPr="007B2C33">
        <w:rPr>
          <w:rFonts w:asciiTheme="minorHAnsi" w:hAnsiTheme="minorHAnsi" w:cstheme="minorHAnsi"/>
          <w:b/>
          <w:bCs/>
          <w:sz w:val="24"/>
          <w:szCs w:val="24"/>
          <w:lang w:val="es-DO"/>
        </w:rPr>
        <w:t>Evolución de la demanda interna</w:t>
      </w:r>
      <w:r w:rsidR="007B2C33">
        <w:rPr>
          <w:rFonts w:asciiTheme="minorHAnsi" w:hAnsiTheme="minorHAnsi" w:cstheme="minorHAnsi"/>
          <w:b/>
          <w:bCs/>
          <w:sz w:val="24"/>
          <w:szCs w:val="24"/>
          <w:lang w:val="es-DO"/>
        </w:rPr>
        <w:t xml:space="preserve"> </w:t>
      </w:r>
      <w:r w:rsidRPr="007B2C33">
        <w:rPr>
          <w:rFonts w:asciiTheme="minorHAnsi" w:hAnsiTheme="minorHAnsi" w:cstheme="minorHAnsi"/>
          <w:sz w:val="24"/>
          <w:szCs w:val="24"/>
          <w:lang w:val="es-DO"/>
        </w:rPr>
        <w:t>La demanda interna del producto no muestra signos de contracción que puedan explicar el daño a la RPN. Por el contrario, el mercado total, considerando tanto la producción nacional como las importaciones, ha crecido consistentemente durante el período analizado. Las importaciones totales aumentaron 40.7% entre 2022 y 2024, evidenciando un mercado en expansión.</w:t>
      </w:r>
      <w:r w:rsidR="00AD0AFD">
        <w:rPr>
          <w:rFonts w:asciiTheme="minorHAnsi" w:hAnsiTheme="minorHAnsi" w:cstheme="minorHAnsi"/>
          <w:sz w:val="24"/>
          <w:szCs w:val="24"/>
          <w:lang w:val="es-DO"/>
        </w:rPr>
        <w:t xml:space="preserve">  </w:t>
      </w:r>
      <w:r w:rsidRPr="00AD0AFD">
        <w:rPr>
          <w:rFonts w:asciiTheme="minorHAnsi" w:hAnsiTheme="minorHAnsi" w:cstheme="minorHAnsi"/>
          <w:sz w:val="24"/>
          <w:szCs w:val="24"/>
          <w:lang w:val="es-DO"/>
        </w:rPr>
        <w:t>El problema identificado no radica en una falta de demanda o en una contracción del mercado, sino en el desplazamiento sistemático de la producción nacional por importaciones comercializadas a precios que no reflejan condiciones normales de competencia doméstica. La demanda existe y crece, pero está siendo capturada de manera creciente por productos importados a precios predatorios.</w:t>
      </w:r>
    </w:p>
    <w:p w14:paraId="183A011F" w14:textId="77777777" w:rsidR="00AD0AFD" w:rsidRPr="00AD0AFD" w:rsidRDefault="00AD0AFD" w:rsidP="00AD0AFD">
      <w:pPr>
        <w:pStyle w:val="Prrafodelista"/>
        <w:spacing w:after="160" w:line="278" w:lineRule="auto"/>
        <w:jc w:val="both"/>
        <w:rPr>
          <w:rFonts w:asciiTheme="minorHAnsi" w:hAnsiTheme="minorHAnsi" w:cstheme="minorHAnsi"/>
          <w:b/>
          <w:bCs/>
          <w:sz w:val="24"/>
          <w:szCs w:val="24"/>
          <w:lang w:val="es-DO"/>
        </w:rPr>
      </w:pPr>
    </w:p>
    <w:p w14:paraId="3BAD3A82" w14:textId="20FC8EFC" w:rsidR="006E36F8" w:rsidRPr="00B4637B" w:rsidRDefault="006E36F8" w:rsidP="001564A1">
      <w:pPr>
        <w:pStyle w:val="Prrafodelista"/>
        <w:numPr>
          <w:ilvl w:val="0"/>
          <w:numId w:val="15"/>
        </w:numPr>
        <w:spacing w:after="160" w:line="278" w:lineRule="auto"/>
        <w:jc w:val="both"/>
        <w:rPr>
          <w:rFonts w:asciiTheme="minorHAnsi" w:hAnsiTheme="minorHAnsi" w:cstheme="minorHAnsi"/>
          <w:b/>
          <w:bCs/>
          <w:sz w:val="24"/>
          <w:szCs w:val="24"/>
          <w:lang w:val="es-DO"/>
        </w:rPr>
      </w:pPr>
      <w:r w:rsidRPr="006E36F8">
        <w:rPr>
          <w:rFonts w:asciiTheme="minorHAnsi" w:hAnsiTheme="minorHAnsi" w:cstheme="minorHAnsi"/>
          <w:b/>
          <w:bCs/>
          <w:sz w:val="24"/>
          <w:szCs w:val="24"/>
          <w:lang w:val="es-DO"/>
        </w:rPr>
        <w:t>Cambios tecnológicos o de preferencias del consumidor</w:t>
      </w:r>
      <w:r w:rsidR="00B4637B">
        <w:rPr>
          <w:rFonts w:asciiTheme="minorHAnsi" w:hAnsiTheme="minorHAnsi" w:cstheme="minorHAnsi"/>
          <w:b/>
          <w:bCs/>
          <w:sz w:val="24"/>
          <w:szCs w:val="24"/>
          <w:lang w:val="es-DO"/>
        </w:rPr>
        <w:t xml:space="preserve">: </w:t>
      </w:r>
      <w:r w:rsidRPr="00B4637B">
        <w:rPr>
          <w:rFonts w:asciiTheme="minorHAnsi" w:hAnsiTheme="minorHAnsi" w:cstheme="minorHAnsi"/>
          <w:sz w:val="24"/>
          <w:szCs w:val="24"/>
          <w:lang w:val="es-DO"/>
        </w:rPr>
        <w:t xml:space="preserve">No se registran cambios tecnológicos significativos ni modificaciones en las preferencias del consumidor que pudieran favorecer el producto importado sobre el nacional. Las galletas constituyen un producto relativamente homogéneo donde la diferenciación tecnológica es mínima y las preferencias del consumidor se mantienen estables.  Las importaciones crecen en las mismas categorías de productos tradicionales que suplen la RPN. </w:t>
      </w:r>
      <w:r w:rsidR="00B4637B">
        <w:rPr>
          <w:rFonts w:asciiTheme="minorHAnsi" w:hAnsiTheme="minorHAnsi" w:cstheme="minorHAnsi"/>
          <w:sz w:val="24"/>
          <w:szCs w:val="24"/>
          <w:lang w:val="es-DO"/>
        </w:rPr>
        <w:t xml:space="preserve"> </w:t>
      </w:r>
      <w:r w:rsidRPr="00B4637B">
        <w:rPr>
          <w:rFonts w:asciiTheme="minorHAnsi" w:hAnsiTheme="minorHAnsi" w:cstheme="minorHAnsi"/>
          <w:sz w:val="24"/>
          <w:szCs w:val="24"/>
          <w:lang w:val="es-DO"/>
        </w:rPr>
        <w:t>El crecimiento explosivo de las importaciones de países sin TLC no puede atribuirse a ventajas cualitativas o preferencias del consumidor, sino que se explica exclusivamente por el diferencial de precios creado. No existe evidencia de obsolescencia del producto nacional ni de innovaciones en el producto importado que justifiquen su penetración acelerada en el mercado.</w:t>
      </w:r>
    </w:p>
    <w:p w14:paraId="18364CF5" w14:textId="77777777" w:rsidR="00B4637B" w:rsidRPr="00B4637B" w:rsidRDefault="00B4637B" w:rsidP="001564A1">
      <w:pPr>
        <w:pStyle w:val="Prrafodelista"/>
        <w:jc w:val="both"/>
        <w:rPr>
          <w:rFonts w:asciiTheme="minorHAnsi" w:hAnsiTheme="minorHAnsi" w:cstheme="minorHAnsi"/>
          <w:b/>
          <w:bCs/>
          <w:sz w:val="24"/>
          <w:szCs w:val="24"/>
          <w:lang w:val="es-DO"/>
        </w:rPr>
      </w:pPr>
    </w:p>
    <w:p w14:paraId="7E6234FB" w14:textId="416A1F27" w:rsidR="006E36F8" w:rsidRPr="00B4637B" w:rsidRDefault="006E36F8" w:rsidP="006E36F8">
      <w:pPr>
        <w:pStyle w:val="Prrafodelista"/>
        <w:numPr>
          <w:ilvl w:val="0"/>
          <w:numId w:val="15"/>
        </w:numPr>
        <w:spacing w:after="160" w:line="278" w:lineRule="auto"/>
        <w:jc w:val="both"/>
        <w:rPr>
          <w:rFonts w:asciiTheme="minorHAnsi" w:hAnsiTheme="minorHAnsi" w:cstheme="minorHAnsi"/>
          <w:b/>
          <w:bCs/>
          <w:sz w:val="24"/>
          <w:szCs w:val="24"/>
          <w:lang w:val="es-DO"/>
        </w:rPr>
      </w:pPr>
      <w:r w:rsidRPr="006E36F8">
        <w:rPr>
          <w:rFonts w:asciiTheme="minorHAnsi" w:hAnsiTheme="minorHAnsi" w:cstheme="minorHAnsi"/>
          <w:b/>
          <w:bCs/>
          <w:sz w:val="24"/>
          <w:szCs w:val="24"/>
          <w:lang w:val="es-DO"/>
        </w:rPr>
        <w:lastRenderedPageBreak/>
        <w:t>Costos de producción o eficiencia de la RPN</w:t>
      </w:r>
      <w:r w:rsidR="00B4637B">
        <w:rPr>
          <w:rFonts w:asciiTheme="minorHAnsi" w:hAnsiTheme="minorHAnsi" w:cstheme="minorHAnsi"/>
          <w:b/>
          <w:bCs/>
          <w:sz w:val="24"/>
          <w:szCs w:val="24"/>
          <w:lang w:val="es-DO"/>
        </w:rPr>
        <w:t xml:space="preserve">: </w:t>
      </w:r>
      <w:r w:rsidRPr="00B4637B">
        <w:rPr>
          <w:rFonts w:asciiTheme="minorHAnsi" w:hAnsiTheme="minorHAnsi" w:cstheme="minorHAnsi"/>
          <w:sz w:val="24"/>
          <w:szCs w:val="24"/>
          <w:lang w:val="es-DO"/>
        </w:rPr>
        <w:t xml:space="preserve">La RPN ha mantenido operaciones eficientes durante todo el período analizado. La producción se mantuvo estable con un ligero crecimiento hasta 2023, y no existe evidencia de incrementos anormales en los costos de producción que pudieran explicar la pérdida de competitividad.  De hecho, la PRN es un importante exportador, y estas se han mantenido durante el periodo de investigación, lo que refleja la capacidad competitiva de la industria.   </w:t>
      </w:r>
      <w:r w:rsidR="00B4637B">
        <w:rPr>
          <w:rFonts w:asciiTheme="minorHAnsi" w:hAnsiTheme="minorHAnsi" w:cstheme="minorHAnsi"/>
          <w:sz w:val="24"/>
          <w:szCs w:val="24"/>
          <w:lang w:val="es-DO"/>
        </w:rPr>
        <w:t xml:space="preserve"> </w:t>
      </w:r>
      <w:r w:rsidRPr="00B4637B">
        <w:rPr>
          <w:rFonts w:asciiTheme="minorHAnsi" w:hAnsiTheme="minorHAnsi" w:cstheme="minorHAnsi"/>
          <w:sz w:val="24"/>
          <w:szCs w:val="24"/>
          <w:lang w:val="es-DO"/>
        </w:rPr>
        <w:t>La pérdida de rentabilidad observada no se debe a ineficiencias internas o incrementos desproporcionados en los costos, sino exclusivamente a la presión sobre los precios de venta ejercida por las importaciones a precios predatorios. La RPN se ha visto forzada a reducir sus márgenes para intentar mantener participación de mercado, sacrificando rentabilidad en un intento por preservar volumen.</w:t>
      </w:r>
    </w:p>
    <w:p w14:paraId="39C2F36A" w14:textId="77777777" w:rsidR="00B4637B" w:rsidRPr="00B4637B" w:rsidRDefault="00B4637B" w:rsidP="00B4637B">
      <w:pPr>
        <w:pStyle w:val="Prrafodelista"/>
        <w:rPr>
          <w:rFonts w:asciiTheme="minorHAnsi" w:hAnsiTheme="minorHAnsi" w:cstheme="minorHAnsi"/>
          <w:b/>
          <w:bCs/>
          <w:sz w:val="24"/>
          <w:szCs w:val="24"/>
          <w:lang w:val="es-DO"/>
        </w:rPr>
      </w:pPr>
    </w:p>
    <w:p w14:paraId="67210E16" w14:textId="53533CA4" w:rsidR="006E36F8" w:rsidRPr="004B4EF1" w:rsidRDefault="006E36F8" w:rsidP="00B4637B">
      <w:pPr>
        <w:pStyle w:val="Prrafodelista"/>
        <w:numPr>
          <w:ilvl w:val="0"/>
          <w:numId w:val="15"/>
        </w:numPr>
        <w:spacing w:after="160" w:line="278" w:lineRule="auto"/>
        <w:jc w:val="both"/>
        <w:rPr>
          <w:rFonts w:asciiTheme="minorHAnsi" w:hAnsiTheme="minorHAnsi" w:cstheme="minorHAnsi"/>
          <w:b/>
          <w:bCs/>
          <w:sz w:val="24"/>
          <w:szCs w:val="24"/>
          <w:lang w:val="es-DO"/>
        </w:rPr>
      </w:pPr>
      <w:r w:rsidRPr="006E36F8">
        <w:rPr>
          <w:rFonts w:asciiTheme="minorHAnsi" w:hAnsiTheme="minorHAnsi" w:cstheme="minorHAnsi"/>
          <w:b/>
          <w:bCs/>
          <w:sz w:val="24"/>
          <w:szCs w:val="24"/>
          <w:lang w:val="es-DO"/>
        </w:rPr>
        <w:t>Factores macroeconómicos</w:t>
      </w:r>
      <w:r w:rsidR="00B4637B">
        <w:rPr>
          <w:rFonts w:asciiTheme="minorHAnsi" w:hAnsiTheme="minorHAnsi" w:cstheme="minorHAnsi"/>
          <w:b/>
          <w:bCs/>
          <w:sz w:val="24"/>
          <w:szCs w:val="24"/>
          <w:lang w:val="es-DO"/>
        </w:rPr>
        <w:t xml:space="preserve">: </w:t>
      </w:r>
      <w:r w:rsidRPr="00B4637B">
        <w:rPr>
          <w:rFonts w:asciiTheme="minorHAnsi" w:hAnsiTheme="minorHAnsi" w:cstheme="minorHAnsi"/>
          <w:sz w:val="24"/>
          <w:szCs w:val="24"/>
          <w:lang w:val="es-DO"/>
        </w:rPr>
        <w:t>La economía dominicana no ha experimentado shocks macroeconómicos que puedan explicar el daño observado en el sector de galletas. No se registran períodos de recesión, crisis cambiarias significativas o episodios de inflación anormal que pudieran haber afectado desproporcionadamente al sector.</w:t>
      </w:r>
      <w:r w:rsidR="00B4637B">
        <w:rPr>
          <w:rFonts w:asciiTheme="minorHAnsi" w:hAnsiTheme="minorHAnsi" w:cstheme="minorHAnsi"/>
          <w:sz w:val="24"/>
          <w:szCs w:val="24"/>
          <w:lang w:val="es-DO"/>
        </w:rPr>
        <w:t xml:space="preserve"> </w:t>
      </w:r>
      <w:r w:rsidRPr="00B4637B">
        <w:rPr>
          <w:rFonts w:asciiTheme="minorHAnsi" w:hAnsiTheme="minorHAnsi" w:cstheme="minorHAnsi"/>
          <w:sz w:val="24"/>
          <w:szCs w:val="24"/>
          <w:lang w:val="es-DO"/>
        </w:rPr>
        <w:t>El sector de alimentos en general mantiene una demanda estable y creciente, impulsada por el crecimiento poblacional y económico del país. El deterioro observado es específico del sector de galletas y se correlaciona directamente con el incremento de importaciones de países sin TLC, no con factores macroeconómicos generales.</w:t>
      </w:r>
    </w:p>
    <w:p w14:paraId="2117A7D1" w14:textId="77777777" w:rsidR="004B4EF1" w:rsidRPr="004B4EF1" w:rsidRDefault="004B4EF1" w:rsidP="004B4EF1">
      <w:pPr>
        <w:pStyle w:val="Prrafodelista"/>
        <w:rPr>
          <w:rFonts w:asciiTheme="minorHAnsi" w:hAnsiTheme="minorHAnsi" w:cstheme="minorHAnsi"/>
          <w:b/>
          <w:bCs/>
          <w:sz w:val="24"/>
          <w:szCs w:val="24"/>
          <w:lang w:val="es-DO"/>
        </w:rPr>
      </w:pPr>
    </w:p>
    <w:p w14:paraId="40E4C5C5" w14:textId="482DCB37" w:rsidR="006E36F8" w:rsidRPr="00B4637B" w:rsidRDefault="006E36F8" w:rsidP="00B4637B">
      <w:pPr>
        <w:pStyle w:val="Prrafodelista"/>
        <w:numPr>
          <w:ilvl w:val="0"/>
          <w:numId w:val="15"/>
        </w:numPr>
        <w:spacing w:after="160" w:line="278" w:lineRule="auto"/>
        <w:jc w:val="both"/>
        <w:rPr>
          <w:rFonts w:asciiTheme="minorHAnsi" w:hAnsiTheme="minorHAnsi" w:cstheme="minorHAnsi"/>
          <w:b/>
          <w:bCs/>
          <w:sz w:val="24"/>
          <w:szCs w:val="24"/>
          <w:lang w:val="es-DO"/>
        </w:rPr>
      </w:pPr>
      <w:r w:rsidRPr="006E36F8">
        <w:rPr>
          <w:rFonts w:asciiTheme="minorHAnsi" w:hAnsiTheme="minorHAnsi" w:cstheme="minorHAnsi"/>
          <w:b/>
          <w:bCs/>
          <w:sz w:val="24"/>
          <w:szCs w:val="24"/>
          <w:lang w:val="es-DO"/>
        </w:rPr>
        <w:t>Competencia entre productores nacionales</w:t>
      </w:r>
      <w:r w:rsidR="00B4637B">
        <w:rPr>
          <w:rFonts w:asciiTheme="minorHAnsi" w:hAnsiTheme="minorHAnsi" w:cstheme="minorHAnsi"/>
          <w:b/>
          <w:bCs/>
          <w:sz w:val="24"/>
          <w:szCs w:val="24"/>
          <w:lang w:val="es-DO"/>
        </w:rPr>
        <w:t xml:space="preserve">: </w:t>
      </w:r>
      <w:r w:rsidRPr="00B4637B">
        <w:rPr>
          <w:rFonts w:asciiTheme="minorHAnsi" w:hAnsiTheme="minorHAnsi" w:cstheme="minorHAnsi"/>
          <w:sz w:val="24"/>
          <w:szCs w:val="24"/>
          <w:lang w:val="es-DO"/>
        </w:rPr>
        <w:t>No existe evidencia de una guerra de precios entre productores nacionales que pudiera explicar el deterioro de márgenes</w:t>
      </w:r>
      <w:r w:rsidR="00B4637B">
        <w:rPr>
          <w:rFonts w:asciiTheme="minorHAnsi" w:hAnsiTheme="minorHAnsi" w:cstheme="minorHAnsi"/>
          <w:sz w:val="24"/>
          <w:szCs w:val="24"/>
          <w:lang w:val="es-DO"/>
        </w:rPr>
        <w:t xml:space="preserve">. </w:t>
      </w:r>
      <w:r w:rsidRPr="00B4637B">
        <w:rPr>
          <w:rFonts w:asciiTheme="minorHAnsi" w:hAnsiTheme="minorHAnsi" w:cstheme="minorHAnsi"/>
          <w:sz w:val="24"/>
          <w:szCs w:val="24"/>
          <w:lang w:val="es-DO"/>
        </w:rPr>
        <w:t>El análisis presentado considera a la RPN como un conjunto. La presión sobre precios y márgenes proviene exclusivamente de la competencia externa, específicamente de las importaciones de países sin TLC. Los productores nacionales enfrentan de manera conjunta la amenaza externa, sin evidencia de competencia destructiva interna.</w:t>
      </w:r>
    </w:p>
    <w:p w14:paraId="5BD85374" w14:textId="77777777" w:rsidR="00B4637B" w:rsidRPr="00B4637B" w:rsidRDefault="00B4637B" w:rsidP="00B4637B">
      <w:pPr>
        <w:pStyle w:val="Prrafodelista"/>
        <w:spacing w:after="160" w:line="278" w:lineRule="auto"/>
        <w:jc w:val="both"/>
        <w:rPr>
          <w:rFonts w:asciiTheme="minorHAnsi" w:hAnsiTheme="minorHAnsi" w:cstheme="minorHAnsi"/>
          <w:b/>
          <w:bCs/>
          <w:sz w:val="24"/>
          <w:szCs w:val="24"/>
          <w:lang w:val="es-DO"/>
        </w:rPr>
      </w:pPr>
    </w:p>
    <w:p w14:paraId="2DA2EDC5" w14:textId="2D661AE2" w:rsidR="006E36F8" w:rsidRPr="00B4637B" w:rsidRDefault="006E36F8" w:rsidP="00B4637B">
      <w:pPr>
        <w:pStyle w:val="Prrafodelista"/>
        <w:numPr>
          <w:ilvl w:val="0"/>
          <w:numId w:val="15"/>
        </w:numPr>
        <w:spacing w:after="160" w:line="278" w:lineRule="auto"/>
        <w:jc w:val="both"/>
        <w:rPr>
          <w:rFonts w:asciiTheme="minorHAnsi" w:hAnsiTheme="minorHAnsi" w:cstheme="minorHAnsi"/>
          <w:b/>
          <w:bCs/>
          <w:sz w:val="24"/>
          <w:szCs w:val="24"/>
          <w:lang w:val="es-DO"/>
        </w:rPr>
      </w:pPr>
      <w:r w:rsidRPr="006E36F8">
        <w:rPr>
          <w:rFonts w:asciiTheme="minorHAnsi" w:hAnsiTheme="minorHAnsi" w:cstheme="minorHAnsi"/>
          <w:b/>
          <w:bCs/>
          <w:sz w:val="24"/>
          <w:szCs w:val="24"/>
          <w:lang w:val="es-DO"/>
        </w:rPr>
        <w:t>Cambios regulatorios o arancelarios</w:t>
      </w:r>
      <w:r w:rsidR="00B4637B">
        <w:rPr>
          <w:rFonts w:asciiTheme="minorHAnsi" w:hAnsiTheme="minorHAnsi" w:cstheme="minorHAnsi"/>
          <w:b/>
          <w:bCs/>
          <w:sz w:val="24"/>
          <w:szCs w:val="24"/>
          <w:lang w:val="es-DO"/>
        </w:rPr>
        <w:t xml:space="preserve">: </w:t>
      </w:r>
      <w:r w:rsidRPr="00B4637B">
        <w:rPr>
          <w:rFonts w:asciiTheme="minorHAnsi" w:hAnsiTheme="minorHAnsi" w:cstheme="minorHAnsi"/>
          <w:sz w:val="24"/>
          <w:szCs w:val="24"/>
          <w:lang w:val="es-DO"/>
        </w:rPr>
        <w:t>Durante el período analizado no se identifican cambios en el marco regulatorio o arancelario que pudieran haber afectado negativamente la competitividad de la producción nacional. El entorno normativo ha permanecido estable, sin la introducción de nuevas cargas impositivas, requisitos técnicos o barreras que afecten exclusivamente a la producción nacional.</w:t>
      </w:r>
      <w:r w:rsidR="00B4637B">
        <w:rPr>
          <w:rFonts w:asciiTheme="minorHAnsi" w:hAnsiTheme="minorHAnsi" w:cstheme="minorHAnsi"/>
          <w:sz w:val="24"/>
          <w:szCs w:val="24"/>
          <w:lang w:val="es-DO"/>
        </w:rPr>
        <w:t xml:space="preserve"> </w:t>
      </w:r>
      <w:r w:rsidRPr="00B4637B">
        <w:rPr>
          <w:rFonts w:asciiTheme="minorHAnsi" w:hAnsiTheme="minorHAnsi" w:cstheme="minorHAnsi"/>
          <w:sz w:val="24"/>
          <w:szCs w:val="24"/>
          <w:lang w:val="es-DO"/>
        </w:rPr>
        <w:t>La única variable que experimentó cambios significativos durante el período fueron las importaciones provenientes de países sin TLC, tanto en volumen como en precios, confirmando que el daño no puede atribuirse a factores regulatorios.</w:t>
      </w:r>
    </w:p>
    <w:p w14:paraId="22B9D329" w14:textId="77777777" w:rsidR="00B4637B" w:rsidRPr="00B4637B" w:rsidRDefault="00B4637B" w:rsidP="00B4637B">
      <w:pPr>
        <w:pStyle w:val="Prrafodelista"/>
        <w:jc w:val="both"/>
        <w:rPr>
          <w:rFonts w:asciiTheme="minorHAnsi" w:hAnsiTheme="minorHAnsi" w:cstheme="minorHAnsi"/>
          <w:b/>
          <w:bCs/>
          <w:sz w:val="24"/>
          <w:szCs w:val="24"/>
          <w:lang w:val="es-DO"/>
        </w:rPr>
      </w:pPr>
    </w:p>
    <w:p w14:paraId="1FAB2DA8" w14:textId="64B18EDF" w:rsidR="006E36F8" w:rsidRPr="00B4637B" w:rsidRDefault="006E36F8" w:rsidP="00B4637B">
      <w:pPr>
        <w:pStyle w:val="Prrafodelista"/>
        <w:numPr>
          <w:ilvl w:val="0"/>
          <w:numId w:val="15"/>
        </w:numPr>
        <w:spacing w:after="160" w:line="278" w:lineRule="auto"/>
        <w:jc w:val="both"/>
        <w:rPr>
          <w:rFonts w:asciiTheme="minorHAnsi" w:hAnsiTheme="minorHAnsi" w:cstheme="minorHAnsi"/>
          <w:b/>
          <w:bCs/>
          <w:sz w:val="24"/>
          <w:szCs w:val="24"/>
          <w:lang w:val="es-DO"/>
        </w:rPr>
      </w:pPr>
      <w:r w:rsidRPr="006E36F8">
        <w:rPr>
          <w:rFonts w:asciiTheme="minorHAnsi" w:hAnsiTheme="minorHAnsi" w:cstheme="minorHAnsi"/>
          <w:b/>
          <w:bCs/>
          <w:sz w:val="24"/>
          <w:szCs w:val="24"/>
          <w:lang w:val="es-DO"/>
        </w:rPr>
        <w:lastRenderedPageBreak/>
        <w:t>Estacionalidad o ciclos del negocio</w:t>
      </w:r>
      <w:r w:rsidR="00B4637B">
        <w:rPr>
          <w:rFonts w:asciiTheme="minorHAnsi" w:hAnsiTheme="minorHAnsi" w:cstheme="minorHAnsi"/>
          <w:b/>
          <w:bCs/>
          <w:sz w:val="24"/>
          <w:szCs w:val="24"/>
          <w:lang w:val="es-DO"/>
        </w:rPr>
        <w:t xml:space="preserve">: </w:t>
      </w:r>
      <w:r w:rsidRPr="00B4637B">
        <w:rPr>
          <w:rFonts w:asciiTheme="minorHAnsi" w:hAnsiTheme="minorHAnsi" w:cstheme="minorHAnsi"/>
          <w:sz w:val="24"/>
          <w:szCs w:val="24"/>
          <w:lang w:val="es-DO"/>
        </w:rPr>
        <w:t>El análisis presentado cubre períodos anuales completos (2022-2024) y compara trimestres equivalentes, eliminando cualquier efecto de estacionalidad que pudiera distorsionar las conclusiones. No se observan factores estacionales anormales que pudieran explicar el deterioro observado.</w:t>
      </w:r>
      <w:r w:rsidR="00B4637B">
        <w:rPr>
          <w:rFonts w:asciiTheme="minorHAnsi" w:hAnsiTheme="minorHAnsi" w:cstheme="minorHAnsi"/>
          <w:sz w:val="24"/>
          <w:szCs w:val="24"/>
          <w:lang w:val="es-DO"/>
        </w:rPr>
        <w:t xml:space="preserve"> </w:t>
      </w:r>
      <w:r w:rsidRPr="00B4637B">
        <w:rPr>
          <w:rFonts w:asciiTheme="minorHAnsi" w:hAnsiTheme="minorHAnsi" w:cstheme="minorHAnsi"/>
          <w:sz w:val="24"/>
          <w:szCs w:val="24"/>
          <w:lang w:val="es-DO"/>
        </w:rPr>
        <w:t>La tendencia del deterioro es consistente y sostenida a lo largo de todo el período analizado, profundizándose en el tiempo. Los datos del primer trimestre de 2025 confirman que el daño continúa agravándose, descartando que se trate de un fenómeno cíclico o temporal.</w:t>
      </w:r>
    </w:p>
    <w:p w14:paraId="1F46A326" w14:textId="77777777" w:rsidR="009B6AB8" w:rsidRPr="006E36F8" w:rsidRDefault="009B6AB8" w:rsidP="00905917">
      <w:pPr>
        <w:spacing w:line="240" w:lineRule="auto"/>
        <w:jc w:val="both"/>
        <w:rPr>
          <w:rFonts w:asciiTheme="minorHAnsi" w:hAnsiTheme="minorHAnsi" w:cstheme="minorHAnsi"/>
          <w:b/>
          <w:sz w:val="24"/>
          <w:szCs w:val="24"/>
        </w:rPr>
      </w:pPr>
    </w:p>
    <w:p w14:paraId="13D1FBD0" w14:textId="1743CE1B" w:rsidR="00B168DD" w:rsidRPr="009564E2" w:rsidRDefault="005C6672" w:rsidP="00905917">
      <w:pPr>
        <w:spacing w:line="240" w:lineRule="auto"/>
        <w:jc w:val="both"/>
        <w:rPr>
          <w:rFonts w:asciiTheme="minorHAnsi" w:hAnsiTheme="minorHAnsi" w:cstheme="minorHAnsi"/>
          <w:b/>
          <w:sz w:val="24"/>
          <w:szCs w:val="24"/>
        </w:rPr>
      </w:pPr>
      <w:r w:rsidRPr="009564E2">
        <w:rPr>
          <w:rFonts w:asciiTheme="minorHAnsi" w:hAnsiTheme="minorHAnsi" w:cstheme="minorHAnsi"/>
          <w:b/>
          <w:sz w:val="24"/>
          <w:szCs w:val="24"/>
        </w:rPr>
        <w:t>V- SOLICITUD</w:t>
      </w:r>
    </w:p>
    <w:p w14:paraId="082E284B" w14:textId="7562BCF3" w:rsidR="00B4637B" w:rsidRDefault="00936DB3" w:rsidP="00B4637B">
      <w:pPr>
        <w:spacing w:line="240" w:lineRule="auto"/>
        <w:jc w:val="both"/>
        <w:rPr>
          <w:rFonts w:asciiTheme="minorHAnsi" w:hAnsiTheme="minorHAnsi" w:cstheme="minorHAnsi"/>
          <w:bCs/>
          <w:sz w:val="24"/>
          <w:szCs w:val="24"/>
        </w:rPr>
      </w:pPr>
      <w:r w:rsidRPr="00B4637B">
        <w:rPr>
          <w:rFonts w:asciiTheme="minorHAnsi" w:hAnsiTheme="minorHAnsi" w:cstheme="minorHAnsi"/>
          <w:bCs/>
          <w:sz w:val="24"/>
          <w:szCs w:val="24"/>
        </w:rPr>
        <w:t>Cumpliend</w:t>
      </w:r>
      <w:r w:rsidR="00235C3E" w:rsidRPr="00B4637B">
        <w:rPr>
          <w:rFonts w:asciiTheme="minorHAnsi" w:hAnsiTheme="minorHAnsi" w:cstheme="minorHAnsi"/>
          <w:bCs/>
          <w:sz w:val="24"/>
          <w:szCs w:val="24"/>
        </w:rPr>
        <w:t xml:space="preserve">o con la capacidad de actuar en representación de la Rama de </w:t>
      </w:r>
      <w:r w:rsidR="00216782" w:rsidRPr="00B4637B">
        <w:rPr>
          <w:rFonts w:asciiTheme="minorHAnsi" w:hAnsiTheme="minorHAnsi" w:cstheme="minorHAnsi"/>
          <w:bCs/>
          <w:sz w:val="24"/>
          <w:szCs w:val="24"/>
        </w:rPr>
        <w:t>Producción</w:t>
      </w:r>
      <w:r w:rsidR="00235C3E" w:rsidRPr="00B4637B">
        <w:rPr>
          <w:rFonts w:asciiTheme="minorHAnsi" w:hAnsiTheme="minorHAnsi" w:cstheme="minorHAnsi"/>
          <w:bCs/>
          <w:sz w:val="24"/>
          <w:szCs w:val="24"/>
        </w:rPr>
        <w:t xml:space="preserve"> Nacional, </w:t>
      </w:r>
      <w:bookmarkStart w:id="3" w:name="_Hlk205199941"/>
      <w:r w:rsidR="00B4637B">
        <w:rPr>
          <w:rFonts w:asciiTheme="minorHAnsi" w:hAnsiTheme="minorHAnsi" w:cstheme="minorHAnsi"/>
          <w:bCs/>
          <w:sz w:val="24"/>
          <w:szCs w:val="24"/>
        </w:rPr>
        <w:t>c</w:t>
      </w:r>
      <w:r w:rsidR="005C6672" w:rsidRPr="00B4637B">
        <w:rPr>
          <w:rFonts w:asciiTheme="minorHAnsi" w:hAnsiTheme="minorHAnsi" w:cstheme="minorHAnsi"/>
          <w:bCs/>
          <w:sz w:val="24"/>
          <w:szCs w:val="24"/>
        </w:rPr>
        <w:t>omo consecuencia lógica del análisis realizado</w:t>
      </w:r>
      <w:r w:rsidR="00235C3E" w:rsidRPr="00B4637B">
        <w:rPr>
          <w:rFonts w:asciiTheme="minorHAnsi" w:hAnsiTheme="minorHAnsi" w:cstheme="minorHAnsi"/>
          <w:bCs/>
          <w:sz w:val="24"/>
          <w:szCs w:val="24"/>
        </w:rPr>
        <w:t xml:space="preserve"> con relación a </w:t>
      </w:r>
      <w:r w:rsidR="00B4637B" w:rsidRPr="00B4637B">
        <w:rPr>
          <w:rFonts w:asciiTheme="minorHAnsi" w:hAnsiTheme="minorHAnsi" w:cstheme="minorHAnsi"/>
          <w:bCs/>
          <w:sz w:val="24"/>
          <w:szCs w:val="24"/>
        </w:rPr>
        <w:t>las importaciones</w:t>
      </w:r>
      <w:r w:rsidR="00235C3E" w:rsidRPr="00B4637B">
        <w:rPr>
          <w:rFonts w:asciiTheme="minorHAnsi" w:hAnsiTheme="minorHAnsi" w:cstheme="minorHAnsi"/>
          <w:bCs/>
          <w:sz w:val="24"/>
          <w:szCs w:val="24"/>
        </w:rPr>
        <w:t xml:space="preserve"> </w:t>
      </w:r>
      <w:r w:rsidR="00B4637B" w:rsidRPr="00B4637B">
        <w:rPr>
          <w:rFonts w:asciiTheme="minorHAnsi" w:hAnsiTheme="minorHAnsi" w:cstheme="minorHAnsi"/>
          <w:bCs/>
          <w:sz w:val="24"/>
          <w:szCs w:val="24"/>
        </w:rPr>
        <w:t>de galletas dulces y saladas de todo tipo, incluidas aquellas simples, rellenas o recubiertas, elaboradas principalmente a base de harinas de cereales, grasas, azúcar o sal</w:t>
      </w:r>
      <w:r w:rsidR="00B4637B">
        <w:rPr>
          <w:rFonts w:asciiTheme="minorHAnsi" w:hAnsiTheme="minorHAnsi" w:cstheme="minorHAnsi"/>
          <w:bCs/>
          <w:sz w:val="24"/>
          <w:szCs w:val="24"/>
        </w:rPr>
        <w:t xml:space="preserve">, </w:t>
      </w:r>
      <w:r w:rsidR="005C6672" w:rsidRPr="00B4637B">
        <w:rPr>
          <w:rFonts w:asciiTheme="minorHAnsi" w:hAnsiTheme="minorHAnsi" w:cstheme="minorHAnsi"/>
          <w:bCs/>
          <w:sz w:val="24"/>
          <w:szCs w:val="24"/>
        </w:rPr>
        <w:t>solicitamos</w:t>
      </w:r>
      <w:r w:rsidR="00235C3E" w:rsidRPr="00B4637B">
        <w:rPr>
          <w:rFonts w:asciiTheme="minorHAnsi" w:hAnsiTheme="minorHAnsi" w:cstheme="minorHAnsi"/>
          <w:bCs/>
          <w:sz w:val="24"/>
          <w:szCs w:val="24"/>
        </w:rPr>
        <w:t xml:space="preserve"> formalmente</w:t>
      </w:r>
      <w:r w:rsidR="005C6672" w:rsidRPr="00B4637B">
        <w:rPr>
          <w:rFonts w:asciiTheme="minorHAnsi" w:hAnsiTheme="minorHAnsi" w:cstheme="minorHAnsi"/>
          <w:bCs/>
          <w:sz w:val="24"/>
          <w:szCs w:val="24"/>
        </w:rPr>
        <w:t xml:space="preserve"> a esa </w:t>
      </w:r>
      <w:r w:rsidR="00B4637B" w:rsidRPr="00B4637B">
        <w:rPr>
          <w:rFonts w:asciiTheme="minorHAnsi" w:hAnsiTheme="minorHAnsi" w:cstheme="minorHAnsi"/>
          <w:bCs/>
          <w:sz w:val="24"/>
          <w:szCs w:val="24"/>
        </w:rPr>
        <w:t>Autoridad:</w:t>
      </w:r>
      <w:r w:rsidR="00235C3E" w:rsidRPr="00B4637B">
        <w:rPr>
          <w:rFonts w:asciiTheme="minorHAnsi" w:hAnsiTheme="minorHAnsi" w:cstheme="minorHAnsi"/>
          <w:bCs/>
          <w:sz w:val="24"/>
          <w:szCs w:val="24"/>
        </w:rPr>
        <w:t xml:space="preserve"> </w:t>
      </w:r>
    </w:p>
    <w:bookmarkEnd w:id="3"/>
    <w:p w14:paraId="4AE42817" w14:textId="08C61721" w:rsidR="00B4637B" w:rsidRDefault="00AE469B" w:rsidP="00AE469B">
      <w:pPr>
        <w:spacing w:line="240" w:lineRule="auto"/>
        <w:ind w:left="708"/>
        <w:jc w:val="both"/>
        <w:rPr>
          <w:rFonts w:asciiTheme="minorHAnsi" w:hAnsiTheme="minorHAnsi" w:cstheme="minorHAnsi"/>
          <w:bCs/>
          <w:sz w:val="24"/>
          <w:szCs w:val="24"/>
        </w:rPr>
      </w:pPr>
      <w:r>
        <w:rPr>
          <w:rFonts w:asciiTheme="minorHAnsi" w:hAnsiTheme="minorHAnsi" w:cstheme="minorHAnsi"/>
          <w:bCs/>
          <w:sz w:val="24"/>
          <w:szCs w:val="24"/>
        </w:rPr>
        <w:t xml:space="preserve">1) </w:t>
      </w:r>
      <w:r w:rsidR="00235C3E" w:rsidRPr="00B4637B">
        <w:rPr>
          <w:rFonts w:asciiTheme="minorHAnsi" w:hAnsiTheme="minorHAnsi" w:cstheme="minorHAnsi"/>
          <w:bCs/>
          <w:sz w:val="24"/>
          <w:szCs w:val="24"/>
        </w:rPr>
        <w:t>L</w:t>
      </w:r>
      <w:r w:rsidR="00B4637B">
        <w:rPr>
          <w:rFonts w:asciiTheme="minorHAnsi" w:hAnsiTheme="minorHAnsi" w:cstheme="minorHAnsi"/>
          <w:bCs/>
          <w:sz w:val="24"/>
          <w:szCs w:val="24"/>
        </w:rPr>
        <w:t xml:space="preserve">a apertura de una investigación por Salvaguardia contra las importaciones de </w:t>
      </w:r>
      <w:r w:rsidR="00B4637B" w:rsidRPr="00B4637B">
        <w:rPr>
          <w:rFonts w:asciiTheme="minorHAnsi" w:hAnsiTheme="minorHAnsi" w:cstheme="minorHAnsi"/>
          <w:bCs/>
          <w:sz w:val="24"/>
          <w:szCs w:val="24"/>
        </w:rPr>
        <w:t xml:space="preserve">  galletas dulces y saladas de todo tipo, incluidas aquellas simples, rellenas o recubiertas, elaboradas principalmente a base de harinas de cereales, grasas, azúcar o sal y clasificadas bajo las partidas arancelarias 1905.31.90, 1905.32.00, 1905.90.10 y 1905.90.90 de la 7ta enmienda del Arancel de la Republica Dominicana</w:t>
      </w:r>
      <w:r w:rsidR="00B4637B">
        <w:rPr>
          <w:rFonts w:asciiTheme="minorHAnsi" w:hAnsiTheme="minorHAnsi" w:cstheme="minorHAnsi"/>
          <w:bCs/>
          <w:sz w:val="24"/>
          <w:szCs w:val="24"/>
        </w:rPr>
        <w:t xml:space="preserve">, </w:t>
      </w:r>
      <w:r w:rsidR="00B4637B" w:rsidRPr="00B4637B">
        <w:rPr>
          <w:rFonts w:asciiTheme="minorHAnsi" w:hAnsiTheme="minorHAnsi" w:cstheme="minorHAnsi"/>
          <w:bCs/>
          <w:sz w:val="24"/>
          <w:szCs w:val="24"/>
        </w:rPr>
        <w:t>solicitamos formalmente a esa Autoridad</w:t>
      </w:r>
      <w:r w:rsidR="00B4637B">
        <w:rPr>
          <w:rFonts w:asciiTheme="minorHAnsi" w:hAnsiTheme="minorHAnsi" w:cstheme="minorHAnsi"/>
          <w:bCs/>
          <w:sz w:val="24"/>
          <w:szCs w:val="24"/>
        </w:rPr>
        <w:t xml:space="preserve">, de todos los orígenes. </w:t>
      </w:r>
    </w:p>
    <w:p w14:paraId="79B61454" w14:textId="03DDCDE1" w:rsidR="005C6672" w:rsidRDefault="00235C3E" w:rsidP="00B4637B">
      <w:pPr>
        <w:spacing w:line="240" w:lineRule="auto"/>
        <w:ind w:left="708"/>
        <w:jc w:val="both"/>
        <w:rPr>
          <w:rFonts w:asciiTheme="minorHAnsi" w:hAnsiTheme="minorHAnsi" w:cstheme="minorHAnsi"/>
          <w:bCs/>
          <w:sz w:val="24"/>
          <w:szCs w:val="24"/>
        </w:rPr>
      </w:pPr>
      <w:r w:rsidRPr="00B4637B">
        <w:rPr>
          <w:rFonts w:asciiTheme="minorHAnsi" w:hAnsiTheme="minorHAnsi" w:cstheme="minorHAnsi"/>
          <w:bCs/>
          <w:sz w:val="24"/>
          <w:szCs w:val="24"/>
        </w:rPr>
        <w:t xml:space="preserve">2) LA IMPOSICION DE DERECHOS PROVISIONALES </w:t>
      </w:r>
      <w:r w:rsidR="00AE469B">
        <w:rPr>
          <w:rFonts w:asciiTheme="minorHAnsi" w:hAnsiTheme="minorHAnsi" w:cstheme="minorHAnsi"/>
          <w:bCs/>
          <w:sz w:val="24"/>
          <w:szCs w:val="24"/>
        </w:rPr>
        <w:t xml:space="preserve">POR UN </w:t>
      </w:r>
      <w:r w:rsidR="00AE469B" w:rsidRPr="00AE469B">
        <w:rPr>
          <w:rFonts w:asciiTheme="minorHAnsi" w:hAnsiTheme="minorHAnsi" w:cstheme="minorHAnsi"/>
          <w:b/>
          <w:sz w:val="24"/>
          <w:szCs w:val="24"/>
        </w:rPr>
        <w:t>67.1%</w:t>
      </w:r>
      <w:r w:rsidR="00AE469B">
        <w:rPr>
          <w:rFonts w:asciiTheme="minorHAnsi" w:hAnsiTheme="minorHAnsi" w:cstheme="minorHAnsi"/>
          <w:bCs/>
          <w:sz w:val="24"/>
          <w:szCs w:val="24"/>
        </w:rPr>
        <w:t xml:space="preserve"> a las importaciones originarias de países con los cuales la Republica Dominicana no cuenta con tratados de libre comercio, </w:t>
      </w:r>
      <w:r w:rsidRPr="00B4637B">
        <w:rPr>
          <w:rFonts w:asciiTheme="minorHAnsi" w:hAnsiTheme="minorHAnsi" w:cstheme="minorHAnsi"/>
          <w:bCs/>
          <w:sz w:val="24"/>
          <w:szCs w:val="24"/>
        </w:rPr>
        <w:t xml:space="preserve">ANTE LA EXISTENCIA DE CIRCUNSTANCIAS CRITICAS EN LAS QUE CUALQUIER DEMORA SIGNIFICARIA UN PERJUICIO </w:t>
      </w:r>
      <w:r w:rsidR="00AE469B" w:rsidRPr="00B4637B">
        <w:rPr>
          <w:rFonts w:asciiTheme="minorHAnsi" w:hAnsiTheme="minorHAnsi" w:cstheme="minorHAnsi"/>
          <w:bCs/>
          <w:sz w:val="24"/>
          <w:szCs w:val="24"/>
        </w:rPr>
        <w:t>IRREPARABLE DURANTE</w:t>
      </w:r>
      <w:r w:rsidRPr="00B4637B">
        <w:rPr>
          <w:rFonts w:asciiTheme="minorHAnsi" w:hAnsiTheme="minorHAnsi" w:cstheme="minorHAnsi"/>
          <w:bCs/>
          <w:sz w:val="24"/>
          <w:szCs w:val="24"/>
        </w:rPr>
        <w:t xml:space="preserve"> EL DESARROLLO DE LA INVESTIGACION</w:t>
      </w:r>
      <w:r w:rsidR="00AE469B">
        <w:rPr>
          <w:rFonts w:asciiTheme="minorHAnsi" w:hAnsiTheme="minorHAnsi" w:cstheme="minorHAnsi"/>
          <w:bCs/>
          <w:sz w:val="24"/>
          <w:szCs w:val="24"/>
        </w:rPr>
        <w:t xml:space="preserve"> </w:t>
      </w:r>
    </w:p>
    <w:p w14:paraId="622CE1F1" w14:textId="77777777" w:rsidR="00B4637B" w:rsidRPr="00B4637B" w:rsidRDefault="00B4637B" w:rsidP="00B4637B">
      <w:pPr>
        <w:spacing w:line="240" w:lineRule="auto"/>
        <w:ind w:left="708"/>
        <w:jc w:val="both"/>
        <w:rPr>
          <w:rFonts w:asciiTheme="minorHAnsi" w:hAnsiTheme="minorHAnsi" w:cstheme="minorHAnsi"/>
          <w:bCs/>
          <w:sz w:val="24"/>
          <w:szCs w:val="24"/>
        </w:rPr>
      </w:pPr>
    </w:p>
    <w:p w14:paraId="5936DC71" w14:textId="7C81FC74" w:rsidR="00235C3E" w:rsidRPr="00B4637B" w:rsidRDefault="00235C3E" w:rsidP="00905917">
      <w:pPr>
        <w:spacing w:line="240" w:lineRule="auto"/>
        <w:jc w:val="both"/>
        <w:rPr>
          <w:rFonts w:asciiTheme="minorHAnsi" w:hAnsiTheme="minorHAnsi" w:cstheme="minorHAnsi"/>
          <w:bCs/>
          <w:sz w:val="24"/>
          <w:szCs w:val="24"/>
        </w:rPr>
      </w:pPr>
      <w:r w:rsidRPr="00B4637B">
        <w:rPr>
          <w:rFonts w:asciiTheme="minorHAnsi" w:hAnsiTheme="minorHAnsi" w:cstheme="minorHAnsi"/>
          <w:bCs/>
          <w:sz w:val="24"/>
          <w:szCs w:val="24"/>
        </w:rPr>
        <w:t xml:space="preserve">A los </w:t>
      </w:r>
      <w:r w:rsidR="001564A1">
        <w:rPr>
          <w:rFonts w:asciiTheme="minorHAnsi" w:hAnsiTheme="minorHAnsi" w:cstheme="minorHAnsi"/>
          <w:bCs/>
          <w:sz w:val="24"/>
          <w:szCs w:val="24"/>
        </w:rPr>
        <w:t xml:space="preserve">seis </w:t>
      </w:r>
      <w:r w:rsidRPr="00B4637B">
        <w:rPr>
          <w:rFonts w:asciiTheme="minorHAnsi" w:hAnsiTheme="minorHAnsi" w:cstheme="minorHAnsi"/>
          <w:bCs/>
          <w:sz w:val="24"/>
          <w:szCs w:val="24"/>
        </w:rPr>
        <w:t>(</w:t>
      </w:r>
      <w:r w:rsidR="001564A1">
        <w:rPr>
          <w:rFonts w:asciiTheme="minorHAnsi" w:hAnsiTheme="minorHAnsi" w:cstheme="minorHAnsi"/>
          <w:bCs/>
          <w:sz w:val="24"/>
          <w:szCs w:val="24"/>
        </w:rPr>
        <w:t>6</w:t>
      </w:r>
      <w:r w:rsidRPr="00B4637B">
        <w:rPr>
          <w:rFonts w:asciiTheme="minorHAnsi" w:hAnsiTheme="minorHAnsi" w:cstheme="minorHAnsi"/>
          <w:bCs/>
          <w:sz w:val="24"/>
          <w:szCs w:val="24"/>
        </w:rPr>
        <w:t>) días del mes de</w:t>
      </w:r>
      <w:r w:rsidR="00AE469B">
        <w:rPr>
          <w:rFonts w:asciiTheme="minorHAnsi" w:hAnsiTheme="minorHAnsi" w:cstheme="minorHAnsi"/>
          <w:bCs/>
          <w:sz w:val="24"/>
          <w:szCs w:val="24"/>
        </w:rPr>
        <w:t xml:space="preserve"> agosto del 2025,</w:t>
      </w:r>
      <w:r w:rsidRPr="00B4637B">
        <w:rPr>
          <w:rFonts w:asciiTheme="minorHAnsi" w:hAnsiTheme="minorHAnsi" w:cstheme="minorHAnsi"/>
          <w:bCs/>
          <w:sz w:val="24"/>
          <w:szCs w:val="24"/>
        </w:rPr>
        <w:t xml:space="preserve"> en la ciudad de </w:t>
      </w:r>
      <w:r w:rsidRPr="000C362E">
        <w:rPr>
          <w:rFonts w:asciiTheme="minorHAnsi" w:hAnsiTheme="minorHAnsi" w:cstheme="minorHAnsi"/>
          <w:bCs/>
          <w:sz w:val="24"/>
          <w:szCs w:val="24"/>
        </w:rPr>
        <w:t>Sa</w:t>
      </w:r>
      <w:r w:rsidR="001429F3" w:rsidRPr="000C362E">
        <w:rPr>
          <w:rFonts w:asciiTheme="minorHAnsi" w:hAnsiTheme="minorHAnsi" w:cstheme="minorHAnsi"/>
          <w:bCs/>
          <w:sz w:val="24"/>
          <w:szCs w:val="24"/>
        </w:rPr>
        <w:t>ntiago,</w:t>
      </w:r>
      <w:r w:rsidR="001429F3">
        <w:rPr>
          <w:rFonts w:asciiTheme="minorHAnsi" w:hAnsiTheme="minorHAnsi" w:cstheme="minorHAnsi"/>
          <w:bCs/>
          <w:sz w:val="24"/>
          <w:szCs w:val="24"/>
        </w:rPr>
        <w:t xml:space="preserve"> </w:t>
      </w:r>
      <w:r w:rsidRPr="00B4637B">
        <w:rPr>
          <w:rFonts w:asciiTheme="minorHAnsi" w:hAnsiTheme="minorHAnsi" w:cstheme="minorHAnsi"/>
          <w:bCs/>
          <w:sz w:val="24"/>
          <w:szCs w:val="24"/>
        </w:rPr>
        <w:t xml:space="preserve">República Dominicana. </w:t>
      </w:r>
    </w:p>
    <w:p w14:paraId="609A43A3" w14:textId="77777777" w:rsidR="00F22042" w:rsidRDefault="00F22042" w:rsidP="00F22042">
      <w:pPr>
        <w:spacing w:after="0" w:line="240" w:lineRule="auto"/>
        <w:jc w:val="both"/>
        <w:rPr>
          <w:rFonts w:asciiTheme="minorHAnsi" w:eastAsia="Times New Roman" w:hAnsiTheme="minorHAnsi" w:cstheme="minorHAnsi"/>
          <w:sz w:val="24"/>
          <w:szCs w:val="24"/>
          <w:lang w:val="es-DO" w:eastAsia="es-ES_tradnl"/>
        </w:rPr>
      </w:pPr>
    </w:p>
    <w:p w14:paraId="7D23C071" w14:textId="77777777" w:rsidR="00D04647" w:rsidRPr="00F22042" w:rsidRDefault="00D04647" w:rsidP="00F22042">
      <w:pPr>
        <w:spacing w:after="0" w:line="240" w:lineRule="auto"/>
        <w:jc w:val="both"/>
        <w:rPr>
          <w:rFonts w:asciiTheme="minorHAnsi" w:eastAsia="Times New Roman" w:hAnsiTheme="minorHAnsi" w:cstheme="minorHAnsi"/>
          <w:sz w:val="24"/>
          <w:szCs w:val="24"/>
          <w:lang w:val="es-DO" w:eastAsia="es-ES_tradnl"/>
        </w:rPr>
      </w:pPr>
    </w:p>
    <w:p w14:paraId="1A28E0D0" w14:textId="50622240" w:rsidR="000B55CA" w:rsidRPr="009564E2" w:rsidRDefault="00D04647" w:rsidP="00D04647">
      <w:pPr>
        <w:pStyle w:val="Sinespaciado"/>
        <w:rPr>
          <w:b/>
        </w:rPr>
      </w:pPr>
      <w:r w:rsidRPr="00F4333F">
        <w:rPr>
          <w:lang w:val="es-DO"/>
        </w:rPr>
        <w:t>Krist Yuteswar Núñez Añil, ,Dominicano</w:t>
      </w:r>
    </w:p>
    <w:p w14:paraId="3610BAAB" w14:textId="0F3EC05F" w:rsidR="001B2BE3" w:rsidRPr="009564E2" w:rsidRDefault="001B2BE3" w:rsidP="00D04647">
      <w:pPr>
        <w:pStyle w:val="Sinespaciado"/>
        <w:rPr>
          <w:b/>
        </w:rPr>
      </w:pPr>
      <w:r>
        <w:rPr>
          <w:lang w:val="es-DO"/>
        </w:rPr>
        <w:t xml:space="preserve">Representante Legal </w:t>
      </w:r>
    </w:p>
    <w:p w14:paraId="5525AD94" w14:textId="77777777" w:rsidR="000B55CA" w:rsidRPr="009564E2" w:rsidRDefault="000B55CA" w:rsidP="00905917">
      <w:pPr>
        <w:spacing w:line="240" w:lineRule="auto"/>
        <w:jc w:val="both"/>
        <w:rPr>
          <w:rFonts w:asciiTheme="minorHAnsi" w:hAnsiTheme="minorHAnsi" w:cstheme="minorHAnsi"/>
          <w:b/>
          <w:sz w:val="24"/>
          <w:szCs w:val="24"/>
        </w:rPr>
      </w:pPr>
    </w:p>
    <w:p w14:paraId="5D7E6E87" w14:textId="77777777" w:rsidR="00454ECF" w:rsidRPr="009564E2" w:rsidRDefault="00454ECF" w:rsidP="00B168DD">
      <w:pPr>
        <w:spacing w:line="240" w:lineRule="auto"/>
        <w:jc w:val="center"/>
        <w:rPr>
          <w:rFonts w:asciiTheme="minorHAnsi" w:hAnsiTheme="minorHAnsi" w:cstheme="minorHAnsi"/>
          <w:b/>
          <w:color w:val="0070C0"/>
          <w:sz w:val="24"/>
          <w:szCs w:val="24"/>
        </w:rPr>
      </w:pPr>
    </w:p>
    <w:sectPr w:rsidR="00454ECF" w:rsidRPr="009564E2" w:rsidSect="005E22D4">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D8473" w14:textId="77777777" w:rsidR="005E549D" w:rsidRDefault="005E549D" w:rsidP="003A0F06">
      <w:pPr>
        <w:spacing w:after="0" w:line="240" w:lineRule="auto"/>
      </w:pPr>
      <w:r>
        <w:separator/>
      </w:r>
    </w:p>
  </w:endnote>
  <w:endnote w:type="continuationSeparator" w:id="0">
    <w:p w14:paraId="4221360C" w14:textId="77777777" w:rsidR="005E549D" w:rsidRDefault="005E549D" w:rsidP="003A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829392"/>
      <w:docPartObj>
        <w:docPartGallery w:val="Page Numbers (Bottom of Page)"/>
        <w:docPartUnique/>
      </w:docPartObj>
    </w:sdtPr>
    <w:sdtEndPr>
      <w:rPr>
        <w:noProof/>
      </w:rPr>
    </w:sdtEndPr>
    <w:sdtContent>
      <w:p w14:paraId="6B9E4D04" w14:textId="504B0050" w:rsidR="00857186" w:rsidRDefault="00857186">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0EA9F9EC" w14:textId="77777777" w:rsidR="00857186" w:rsidRDefault="008571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560B" w14:textId="77777777" w:rsidR="005E549D" w:rsidRDefault="005E549D" w:rsidP="003A0F06">
      <w:pPr>
        <w:spacing w:after="0" w:line="240" w:lineRule="auto"/>
      </w:pPr>
      <w:r>
        <w:separator/>
      </w:r>
    </w:p>
  </w:footnote>
  <w:footnote w:type="continuationSeparator" w:id="0">
    <w:p w14:paraId="64BF5FDE" w14:textId="77777777" w:rsidR="005E549D" w:rsidRDefault="005E549D" w:rsidP="003A0F06">
      <w:pPr>
        <w:spacing w:after="0" w:line="240" w:lineRule="auto"/>
      </w:pPr>
      <w:r>
        <w:continuationSeparator/>
      </w:r>
    </w:p>
  </w:footnote>
  <w:footnote w:id="1">
    <w:p w14:paraId="6831A639" w14:textId="77777777" w:rsidR="006A70B8" w:rsidRPr="006A70B8" w:rsidRDefault="00446835" w:rsidP="006A70B8">
      <w:pPr>
        <w:pStyle w:val="Textonotapie"/>
        <w:rPr>
          <w:sz w:val="16"/>
          <w:szCs w:val="16"/>
          <w:lang w:val="es-MX"/>
        </w:rPr>
      </w:pPr>
      <w:r>
        <w:rPr>
          <w:rStyle w:val="Refdenotaalpie"/>
        </w:rPr>
        <w:footnoteRef/>
      </w:r>
      <w:r>
        <w:t xml:space="preserve"> </w:t>
      </w:r>
      <w:r w:rsidR="006A70B8" w:rsidRPr="006A70B8">
        <w:rPr>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53C2D670" w14:textId="25F558E7" w:rsidR="006A70B8" w:rsidRPr="006A70B8" w:rsidRDefault="006A70B8" w:rsidP="006A70B8">
      <w:pPr>
        <w:pStyle w:val="Textonotapie"/>
        <w:rPr>
          <w:sz w:val="16"/>
          <w:szCs w:val="16"/>
          <w:lang w:val="es-ES"/>
        </w:rPr>
      </w:pPr>
      <w:r w:rsidRPr="006A70B8">
        <w:rPr>
          <w:sz w:val="16"/>
          <w:szCs w:val="16"/>
          <w:lang w:val="es-ES"/>
        </w:rPr>
        <w:t xml:space="preserve">LA INFORMACION CONTENIDA EN ESTE DATO/ANEXO ES CONSIDERADA INFORMACION CONFIDENCIAL DE ACUERDO AL ARTICULO </w:t>
      </w:r>
      <w:r w:rsidR="00D17839">
        <w:rPr>
          <w:sz w:val="16"/>
          <w:szCs w:val="16"/>
          <w:lang w:val="es-ES"/>
        </w:rPr>
        <w:t>12.</w:t>
      </w:r>
      <w:r w:rsidR="001879B8">
        <w:rPr>
          <w:sz w:val="16"/>
          <w:szCs w:val="16"/>
          <w:lang w:val="es-ES"/>
        </w:rPr>
        <w:t>11</w:t>
      </w:r>
      <w:r w:rsidRPr="006A70B8">
        <w:rPr>
          <w:sz w:val="16"/>
          <w:szCs w:val="16"/>
          <w:lang w:val="es-ES"/>
        </w:rPr>
        <w:t xml:space="preserve"> DEL ACUERDO </w:t>
      </w:r>
      <w:r w:rsidR="001879B8">
        <w:rPr>
          <w:sz w:val="16"/>
          <w:szCs w:val="16"/>
          <w:lang w:val="es-ES"/>
        </w:rPr>
        <w:t xml:space="preserve">SALVAGUARDA  Y </w:t>
      </w:r>
      <w:r w:rsidRPr="006A70B8">
        <w:rPr>
          <w:sz w:val="16"/>
          <w:szCs w:val="16"/>
          <w:lang w:val="es-ES"/>
        </w:rPr>
        <w:t>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2BB704F8" w14:textId="74A95895" w:rsidR="00446835" w:rsidRPr="006A70B8" w:rsidRDefault="00446835">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4B8"/>
    <w:multiLevelType w:val="hybridMultilevel"/>
    <w:tmpl w:val="86027F9C"/>
    <w:lvl w:ilvl="0" w:tplc="1C0A0017">
      <w:start w:val="1"/>
      <w:numFmt w:val="lowerLetter"/>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 w15:restartNumberingAfterBreak="0">
    <w:nsid w:val="1E694C53"/>
    <w:multiLevelType w:val="hybridMultilevel"/>
    <w:tmpl w:val="B9C89BD8"/>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24700B10"/>
    <w:multiLevelType w:val="hybridMultilevel"/>
    <w:tmpl w:val="C35AD5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94241"/>
    <w:multiLevelType w:val="hybridMultilevel"/>
    <w:tmpl w:val="CF28E208"/>
    <w:lvl w:ilvl="0" w:tplc="1C0A0017">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32884F54"/>
    <w:multiLevelType w:val="hybridMultilevel"/>
    <w:tmpl w:val="9D68452C"/>
    <w:lvl w:ilvl="0" w:tplc="6632F7D8">
      <w:start w:val="1"/>
      <w:numFmt w:val="lowerLetter"/>
      <w:lvlText w:val="%1)"/>
      <w:lvlJc w:val="left"/>
      <w:pPr>
        <w:tabs>
          <w:tab w:val="num" w:pos="2130"/>
        </w:tabs>
        <w:ind w:left="2130" w:hanging="720"/>
      </w:pPr>
      <w:rPr>
        <w:rFonts w:hint="default"/>
      </w:rPr>
    </w:lvl>
    <w:lvl w:ilvl="1" w:tplc="255EFAB4">
      <w:start w:val="2"/>
      <w:numFmt w:val="decimal"/>
      <w:lvlText w:val="%2)"/>
      <w:lvlJc w:val="left"/>
      <w:pPr>
        <w:tabs>
          <w:tab w:val="num" w:pos="2135"/>
        </w:tabs>
        <w:ind w:left="2135" w:hanging="1425"/>
      </w:pPr>
      <w:rPr>
        <w:rFonts w:hint="default"/>
      </w:rPr>
    </w:lvl>
    <w:lvl w:ilvl="2" w:tplc="0C0A001B" w:tentative="1">
      <w:start w:val="1"/>
      <w:numFmt w:val="lowerRoman"/>
      <w:lvlText w:val="%3."/>
      <w:lvlJc w:val="right"/>
      <w:pPr>
        <w:tabs>
          <w:tab w:val="num" w:pos="3210"/>
        </w:tabs>
        <w:ind w:left="3210" w:hanging="180"/>
      </w:pPr>
    </w:lvl>
    <w:lvl w:ilvl="3" w:tplc="0C0A000F" w:tentative="1">
      <w:start w:val="1"/>
      <w:numFmt w:val="decimal"/>
      <w:lvlText w:val="%4."/>
      <w:lvlJc w:val="left"/>
      <w:pPr>
        <w:tabs>
          <w:tab w:val="num" w:pos="3930"/>
        </w:tabs>
        <w:ind w:left="3930" w:hanging="360"/>
      </w:pPr>
    </w:lvl>
    <w:lvl w:ilvl="4" w:tplc="0C0A0019" w:tentative="1">
      <w:start w:val="1"/>
      <w:numFmt w:val="lowerLetter"/>
      <w:lvlText w:val="%5."/>
      <w:lvlJc w:val="left"/>
      <w:pPr>
        <w:tabs>
          <w:tab w:val="num" w:pos="4650"/>
        </w:tabs>
        <w:ind w:left="4650" w:hanging="360"/>
      </w:pPr>
    </w:lvl>
    <w:lvl w:ilvl="5" w:tplc="0C0A001B" w:tentative="1">
      <w:start w:val="1"/>
      <w:numFmt w:val="lowerRoman"/>
      <w:lvlText w:val="%6."/>
      <w:lvlJc w:val="right"/>
      <w:pPr>
        <w:tabs>
          <w:tab w:val="num" w:pos="5370"/>
        </w:tabs>
        <w:ind w:left="5370" w:hanging="180"/>
      </w:pPr>
    </w:lvl>
    <w:lvl w:ilvl="6" w:tplc="0C0A000F" w:tentative="1">
      <w:start w:val="1"/>
      <w:numFmt w:val="decimal"/>
      <w:lvlText w:val="%7."/>
      <w:lvlJc w:val="left"/>
      <w:pPr>
        <w:tabs>
          <w:tab w:val="num" w:pos="6090"/>
        </w:tabs>
        <w:ind w:left="6090" w:hanging="360"/>
      </w:pPr>
    </w:lvl>
    <w:lvl w:ilvl="7" w:tplc="0C0A0019" w:tentative="1">
      <w:start w:val="1"/>
      <w:numFmt w:val="lowerLetter"/>
      <w:lvlText w:val="%8."/>
      <w:lvlJc w:val="left"/>
      <w:pPr>
        <w:tabs>
          <w:tab w:val="num" w:pos="6810"/>
        </w:tabs>
        <w:ind w:left="6810" w:hanging="360"/>
      </w:pPr>
    </w:lvl>
    <w:lvl w:ilvl="8" w:tplc="0C0A001B" w:tentative="1">
      <w:start w:val="1"/>
      <w:numFmt w:val="lowerRoman"/>
      <w:lvlText w:val="%9."/>
      <w:lvlJc w:val="right"/>
      <w:pPr>
        <w:tabs>
          <w:tab w:val="num" w:pos="7530"/>
        </w:tabs>
        <w:ind w:left="7530" w:hanging="180"/>
      </w:pPr>
    </w:lvl>
  </w:abstractNum>
  <w:abstractNum w:abstractNumId="5" w15:restartNumberingAfterBreak="0">
    <w:nsid w:val="36AE029A"/>
    <w:multiLevelType w:val="multilevel"/>
    <w:tmpl w:val="EE224C04"/>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11AE5"/>
    <w:multiLevelType w:val="multilevel"/>
    <w:tmpl w:val="C1E60D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887ACE"/>
    <w:multiLevelType w:val="hybridMultilevel"/>
    <w:tmpl w:val="1A28B6E8"/>
    <w:lvl w:ilvl="0" w:tplc="8E9C77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1F466E"/>
    <w:multiLevelType w:val="hybridMultilevel"/>
    <w:tmpl w:val="ED580652"/>
    <w:lvl w:ilvl="0" w:tplc="A254E5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564D7"/>
    <w:multiLevelType w:val="hybridMultilevel"/>
    <w:tmpl w:val="CBCA908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4B3B6B61"/>
    <w:multiLevelType w:val="multilevel"/>
    <w:tmpl w:val="49D4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94B75"/>
    <w:multiLevelType w:val="hybridMultilevel"/>
    <w:tmpl w:val="95B6F514"/>
    <w:lvl w:ilvl="0" w:tplc="E0F4B2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36DCC"/>
    <w:multiLevelType w:val="hybridMultilevel"/>
    <w:tmpl w:val="F3582A3C"/>
    <w:lvl w:ilvl="0" w:tplc="0686AD2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7BB3012"/>
    <w:multiLevelType w:val="hybridMultilevel"/>
    <w:tmpl w:val="00CC015E"/>
    <w:lvl w:ilvl="0" w:tplc="FF0CF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174602"/>
    <w:multiLevelType w:val="hybridMultilevel"/>
    <w:tmpl w:val="427E4B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34122524">
    <w:abstractNumId w:val="14"/>
  </w:num>
  <w:num w:numId="2" w16cid:durableId="1537083295">
    <w:abstractNumId w:val="12"/>
  </w:num>
  <w:num w:numId="3" w16cid:durableId="430780231">
    <w:abstractNumId w:val="8"/>
  </w:num>
  <w:num w:numId="4" w16cid:durableId="818039726">
    <w:abstractNumId w:val="7"/>
  </w:num>
  <w:num w:numId="5" w16cid:durableId="100338463">
    <w:abstractNumId w:val="11"/>
  </w:num>
  <w:num w:numId="6" w16cid:durableId="672610650">
    <w:abstractNumId w:val="4"/>
  </w:num>
  <w:num w:numId="7" w16cid:durableId="1325859724">
    <w:abstractNumId w:val="9"/>
  </w:num>
  <w:num w:numId="8" w16cid:durableId="2065106155">
    <w:abstractNumId w:val="3"/>
  </w:num>
  <w:num w:numId="9" w16cid:durableId="1890603906">
    <w:abstractNumId w:val="10"/>
  </w:num>
  <w:num w:numId="10" w16cid:durableId="547375425">
    <w:abstractNumId w:val="13"/>
  </w:num>
  <w:num w:numId="11" w16cid:durableId="1930969164">
    <w:abstractNumId w:val="0"/>
  </w:num>
  <w:num w:numId="12" w16cid:durableId="1068531480">
    <w:abstractNumId w:val="5"/>
  </w:num>
  <w:num w:numId="13" w16cid:durableId="972638132">
    <w:abstractNumId w:val="2"/>
  </w:num>
  <w:num w:numId="14" w16cid:durableId="1166046566">
    <w:abstractNumId w:val="6"/>
  </w:num>
  <w:num w:numId="15" w16cid:durableId="1020353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17"/>
    <w:rsid w:val="000135A0"/>
    <w:rsid w:val="000166A2"/>
    <w:rsid w:val="00020797"/>
    <w:rsid w:val="00025046"/>
    <w:rsid w:val="00031034"/>
    <w:rsid w:val="00067BD0"/>
    <w:rsid w:val="000757BA"/>
    <w:rsid w:val="00082879"/>
    <w:rsid w:val="00097F03"/>
    <w:rsid w:val="000A3F8D"/>
    <w:rsid w:val="000B0BD4"/>
    <w:rsid w:val="000B55CA"/>
    <w:rsid w:val="000C362E"/>
    <w:rsid w:val="000D0582"/>
    <w:rsid w:val="000F24C1"/>
    <w:rsid w:val="000F297B"/>
    <w:rsid w:val="000F2F94"/>
    <w:rsid w:val="00107152"/>
    <w:rsid w:val="001132EE"/>
    <w:rsid w:val="0011793C"/>
    <w:rsid w:val="001429F3"/>
    <w:rsid w:val="0015054E"/>
    <w:rsid w:val="001564A1"/>
    <w:rsid w:val="001743F7"/>
    <w:rsid w:val="0017566C"/>
    <w:rsid w:val="00180166"/>
    <w:rsid w:val="00186D05"/>
    <w:rsid w:val="001879B8"/>
    <w:rsid w:val="00187C95"/>
    <w:rsid w:val="001B0779"/>
    <w:rsid w:val="001B09AA"/>
    <w:rsid w:val="001B2BE3"/>
    <w:rsid w:val="001B544E"/>
    <w:rsid w:val="001F06D8"/>
    <w:rsid w:val="001F1A8B"/>
    <w:rsid w:val="001F3CA5"/>
    <w:rsid w:val="001F42C4"/>
    <w:rsid w:val="001F6759"/>
    <w:rsid w:val="00216782"/>
    <w:rsid w:val="0021693C"/>
    <w:rsid w:val="002266BB"/>
    <w:rsid w:val="00235C3E"/>
    <w:rsid w:val="00271A9B"/>
    <w:rsid w:val="00277009"/>
    <w:rsid w:val="00294571"/>
    <w:rsid w:val="003036DF"/>
    <w:rsid w:val="00305497"/>
    <w:rsid w:val="003306D1"/>
    <w:rsid w:val="00344C82"/>
    <w:rsid w:val="00354AAF"/>
    <w:rsid w:val="00360BB3"/>
    <w:rsid w:val="00360C02"/>
    <w:rsid w:val="0036119C"/>
    <w:rsid w:val="00365FF6"/>
    <w:rsid w:val="0038206F"/>
    <w:rsid w:val="003A0F06"/>
    <w:rsid w:val="003B0A41"/>
    <w:rsid w:val="003B3F76"/>
    <w:rsid w:val="003B4CB7"/>
    <w:rsid w:val="003F3E21"/>
    <w:rsid w:val="004120F1"/>
    <w:rsid w:val="0042185E"/>
    <w:rsid w:val="004335DE"/>
    <w:rsid w:val="00441E04"/>
    <w:rsid w:val="00446835"/>
    <w:rsid w:val="00454ECF"/>
    <w:rsid w:val="004629B1"/>
    <w:rsid w:val="00477C96"/>
    <w:rsid w:val="00483A67"/>
    <w:rsid w:val="004850B4"/>
    <w:rsid w:val="004864AE"/>
    <w:rsid w:val="004A4754"/>
    <w:rsid w:val="004B4EF1"/>
    <w:rsid w:val="004E515B"/>
    <w:rsid w:val="0050264A"/>
    <w:rsid w:val="005038AA"/>
    <w:rsid w:val="00503B1C"/>
    <w:rsid w:val="005058DA"/>
    <w:rsid w:val="00563DBA"/>
    <w:rsid w:val="005836E6"/>
    <w:rsid w:val="005B3B65"/>
    <w:rsid w:val="005C6672"/>
    <w:rsid w:val="005D4C44"/>
    <w:rsid w:val="005D660A"/>
    <w:rsid w:val="005E22D4"/>
    <w:rsid w:val="005E549D"/>
    <w:rsid w:val="00624304"/>
    <w:rsid w:val="00642CF7"/>
    <w:rsid w:val="006449AD"/>
    <w:rsid w:val="00670FA4"/>
    <w:rsid w:val="00692BEA"/>
    <w:rsid w:val="006930EE"/>
    <w:rsid w:val="006A70B8"/>
    <w:rsid w:val="006E36F8"/>
    <w:rsid w:val="007002C8"/>
    <w:rsid w:val="00712904"/>
    <w:rsid w:val="00713DCB"/>
    <w:rsid w:val="00722369"/>
    <w:rsid w:val="0072398A"/>
    <w:rsid w:val="00723D46"/>
    <w:rsid w:val="0073109D"/>
    <w:rsid w:val="00732676"/>
    <w:rsid w:val="00750209"/>
    <w:rsid w:val="007563D0"/>
    <w:rsid w:val="00763B94"/>
    <w:rsid w:val="00782EEF"/>
    <w:rsid w:val="00783B99"/>
    <w:rsid w:val="007B2C33"/>
    <w:rsid w:val="008019AF"/>
    <w:rsid w:val="0081729B"/>
    <w:rsid w:val="00830847"/>
    <w:rsid w:val="00833C4F"/>
    <w:rsid w:val="00857186"/>
    <w:rsid w:val="008851CD"/>
    <w:rsid w:val="00901266"/>
    <w:rsid w:val="00902ECA"/>
    <w:rsid w:val="00905917"/>
    <w:rsid w:val="009119FC"/>
    <w:rsid w:val="00923DB4"/>
    <w:rsid w:val="00930669"/>
    <w:rsid w:val="00936DB3"/>
    <w:rsid w:val="009564E2"/>
    <w:rsid w:val="009B6AB8"/>
    <w:rsid w:val="009D6D63"/>
    <w:rsid w:val="009E66B8"/>
    <w:rsid w:val="00A22085"/>
    <w:rsid w:val="00A254B3"/>
    <w:rsid w:val="00A662E7"/>
    <w:rsid w:val="00A74713"/>
    <w:rsid w:val="00AA670F"/>
    <w:rsid w:val="00AD0AFD"/>
    <w:rsid w:val="00AE469B"/>
    <w:rsid w:val="00AF4EF2"/>
    <w:rsid w:val="00B136C6"/>
    <w:rsid w:val="00B168DD"/>
    <w:rsid w:val="00B4637B"/>
    <w:rsid w:val="00B735B4"/>
    <w:rsid w:val="00B74FDF"/>
    <w:rsid w:val="00B844DD"/>
    <w:rsid w:val="00BA30F5"/>
    <w:rsid w:val="00BB07C2"/>
    <w:rsid w:val="00BD72DA"/>
    <w:rsid w:val="00C10C20"/>
    <w:rsid w:val="00C519F4"/>
    <w:rsid w:val="00C70F7F"/>
    <w:rsid w:val="00C822E0"/>
    <w:rsid w:val="00C9796D"/>
    <w:rsid w:val="00CD7EFC"/>
    <w:rsid w:val="00D00BC9"/>
    <w:rsid w:val="00D04647"/>
    <w:rsid w:val="00D17839"/>
    <w:rsid w:val="00D80E68"/>
    <w:rsid w:val="00DB71EF"/>
    <w:rsid w:val="00DC34CF"/>
    <w:rsid w:val="00DD0CC7"/>
    <w:rsid w:val="00DD4392"/>
    <w:rsid w:val="00E0278A"/>
    <w:rsid w:val="00E0375C"/>
    <w:rsid w:val="00E04D38"/>
    <w:rsid w:val="00E468F8"/>
    <w:rsid w:val="00E5336E"/>
    <w:rsid w:val="00E9283F"/>
    <w:rsid w:val="00EB1C0F"/>
    <w:rsid w:val="00F10010"/>
    <w:rsid w:val="00F159D8"/>
    <w:rsid w:val="00F1703E"/>
    <w:rsid w:val="00F22042"/>
    <w:rsid w:val="00F4333F"/>
    <w:rsid w:val="00F43906"/>
    <w:rsid w:val="00F45FCE"/>
    <w:rsid w:val="00F51596"/>
    <w:rsid w:val="00F74E0D"/>
    <w:rsid w:val="00F76F54"/>
    <w:rsid w:val="00F8322C"/>
    <w:rsid w:val="00F92174"/>
    <w:rsid w:val="00FB01E3"/>
    <w:rsid w:val="00FB0AC7"/>
    <w:rsid w:val="00FB0BD0"/>
    <w:rsid w:val="00FB5373"/>
    <w:rsid w:val="00FE28E1"/>
    <w:rsid w:val="00FE34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8E99F"/>
  <w15:docId w15:val="{098DFE24-FA39-4193-A69A-B4671DD4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2D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0F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A0F06"/>
  </w:style>
  <w:style w:type="paragraph" w:styleId="Piedepgina">
    <w:name w:val="footer"/>
    <w:basedOn w:val="Normal"/>
    <w:link w:val="PiedepginaCar"/>
    <w:uiPriority w:val="99"/>
    <w:unhideWhenUsed/>
    <w:rsid w:val="003A0F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A0F06"/>
  </w:style>
  <w:style w:type="paragraph" w:styleId="Textodeglobo">
    <w:name w:val="Balloon Text"/>
    <w:basedOn w:val="Normal"/>
    <w:link w:val="TextodegloboCar"/>
    <w:uiPriority w:val="99"/>
    <w:semiHidden/>
    <w:unhideWhenUsed/>
    <w:rsid w:val="000A3F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F8D"/>
    <w:rPr>
      <w:rFonts w:ascii="Tahoma" w:hAnsi="Tahoma" w:cs="Tahoma"/>
      <w:sz w:val="16"/>
      <w:szCs w:val="16"/>
    </w:rPr>
  </w:style>
  <w:style w:type="table" w:styleId="Tablaconcuadrcula">
    <w:name w:val="Table Grid"/>
    <w:basedOn w:val="Tablanormal"/>
    <w:uiPriority w:val="59"/>
    <w:rsid w:val="00763B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B0779"/>
    <w:pPr>
      <w:autoSpaceDE w:val="0"/>
      <w:autoSpaceDN w:val="0"/>
      <w:adjustRightInd w:val="0"/>
    </w:pPr>
    <w:rPr>
      <w:rFonts w:ascii="Times New Roman" w:hAnsi="Times New Roman"/>
      <w:color w:val="000000"/>
      <w:sz w:val="24"/>
      <w:szCs w:val="24"/>
      <w:lang w:val="en-US" w:eastAsia="en-US"/>
    </w:rPr>
  </w:style>
  <w:style w:type="paragraph" w:styleId="Prrafodelista">
    <w:name w:val="List Paragraph"/>
    <w:basedOn w:val="Normal"/>
    <w:uiPriority w:val="34"/>
    <w:qFormat/>
    <w:rsid w:val="00E468F8"/>
    <w:pPr>
      <w:ind w:left="720"/>
      <w:contextualSpacing/>
    </w:pPr>
  </w:style>
  <w:style w:type="paragraph" w:customStyle="1" w:styleId="BodyText31">
    <w:name w:val="Body Text 31"/>
    <w:basedOn w:val="Normal"/>
    <w:rsid w:val="00C70F7F"/>
    <w:pPr>
      <w:widowControl w:val="0"/>
      <w:spacing w:after="0" w:line="240" w:lineRule="auto"/>
      <w:jc w:val="both"/>
    </w:pPr>
    <w:rPr>
      <w:rFonts w:ascii="Times New Roman" w:eastAsia="Times New Roman" w:hAnsi="Times New Roman"/>
      <w:sz w:val="24"/>
      <w:szCs w:val="20"/>
      <w:lang w:val="es-DO" w:eastAsia="es-ES"/>
    </w:rPr>
  </w:style>
  <w:style w:type="paragraph" w:styleId="Textoindependiente">
    <w:name w:val="Body Text"/>
    <w:basedOn w:val="Normal"/>
    <w:link w:val="TextoindependienteCar"/>
    <w:uiPriority w:val="99"/>
    <w:semiHidden/>
    <w:unhideWhenUsed/>
    <w:rsid w:val="00344C82"/>
    <w:pPr>
      <w:spacing w:after="120"/>
    </w:pPr>
  </w:style>
  <w:style w:type="character" w:customStyle="1" w:styleId="TextoindependienteCar">
    <w:name w:val="Texto independiente Car"/>
    <w:basedOn w:val="Fuentedeprrafopredeter"/>
    <w:link w:val="Textoindependiente"/>
    <w:uiPriority w:val="99"/>
    <w:semiHidden/>
    <w:rsid w:val="00344C82"/>
    <w:rPr>
      <w:sz w:val="22"/>
      <w:szCs w:val="22"/>
      <w:lang w:eastAsia="en-US"/>
    </w:rPr>
  </w:style>
  <w:style w:type="paragraph" w:styleId="Sinespaciado">
    <w:name w:val="No Spacing"/>
    <w:uiPriority w:val="1"/>
    <w:qFormat/>
    <w:rsid w:val="006449AD"/>
    <w:rPr>
      <w:sz w:val="22"/>
      <w:szCs w:val="22"/>
      <w:lang w:eastAsia="en-US"/>
    </w:rPr>
  </w:style>
  <w:style w:type="paragraph" w:styleId="NormalWeb">
    <w:name w:val="Normal (Web)"/>
    <w:basedOn w:val="Normal"/>
    <w:uiPriority w:val="99"/>
    <w:semiHidden/>
    <w:unhideWhenUsed/>
    <w:rsid w:val="001B2BE3"/>
    <w:pPr>
      <w:spacing w:before="100" w:beforeAutospacing="1" w:after="100" w:afterAutospacing="1" w:line="240" w:lineRule="auto"/>
    </w:pPr>
    <w:rPr>
      <w:rFonts w:ascii="Times New Roman" w:eastAsia="Times New Roman" w:hAnsi="Times New Roman"/>
      <w:sz w:val="24"/>
      <w:szCs w:val="24"/>
      <w:lang w:val="en-US"/>
    </w:rPr>
  </w:style>
  <w:style w:type="character" w:styleId="Textoennegrita">
    <w:name w:val="Strong"/>
    <w:basedOn w:val="Fuentedeprrafopredeter"/>
    <w:uiPriority w:val="22"/>
    <w:qFormat/>
    <w:rsid w:val="001B2BE3"/>
    <w:rPr>
      <w:b/>
      <w:bCs/>
    </w:rPr>
  </w:style>
  <w:style w:type="character" w:styleId="nfasis">
    <w:name w:val="Emphasis"/>
    <w:basedOn w:val="Fuentedeprrafopredeter"/>
    <w:uiPriority w:val="20"/>
    <w:qFormat/>
    <w:rsid w:val="001B2BE3"/>
    <w:rPr>
      <w:i/>
      <w:iCs/>
    </w:rPr>
  </w:style>
  <w:style w:type="paragraph" w:styleId="Textonotapie">
    <w:name w:val="footnote text"/>
    <w:basedOn w:val="Normal"/>
    <w:link w:val="TextonotapieCar"/>
    <w:uiPriority w:val="99"/>
    <w:semiHidden/>
    <w:unhideWhenUsed/>
    <w:rsid w:val="001B2BE3"/>
    <w:pPr>
      <w:spacing w:after="0" w:line="240" w:lineRule="auto"/>
    </w:pPr>
    <w:rPr>
      <w:rFonts w:asciiTheme="minorHAnsi" w:eastAsiaTheme="minorHAnsi" w:hAnsiTheme="minorHAnsi" w:cstheme="minorBidi"/>
      <w:kern w:val="2"/>
      <w:sz w:val="20"/>
      <w:szCs w:val="20"/>
      <w:lang w:val="es-DO"/>
      <w14:ligatures w14:val="standardContextual"/>
    </w:rPr>
  </w:style>
  <w:style w:type="character" w:customStyle="1" w:styleId="TextonotapieCar">
    <w:name w:val="Texto nota pie Car"/>
    <w:basedOn w:val="Fuentedeprrafopredeter"/>
    <w:link w:val="Textonotapie"/>
    <w:uiPriority w:val="99"/>
    <w:semiHidden/>
    <w:rsid w:val="001B2BE3"/>
    <w:rPr>
      <w:rFonts w:asciiTheme="minorHAnsi" w:eastAsiaTheme="minorHAnsi" w:hAnsiTheme="minorHAnsi" w:cstheme="minorBidi"/>
      <w:kern w:val="2"/>
      <w:lang w:val="es-DO" w:eastAsia="en-US"/>
      <w14:ligatures w14:val="standardContextual"/>
    </w:rPr>
  </w:style>
  <w:style w:type="character" w:styleId="Refdenotaalpie">
    <w:name w:val="footnote reference"/>
    <w:basedOn w:val="Fuentedeprrafopredeter"/>
    <w:uiPriority w:val="99"/>
    <w:semiHidden/>
    <w:unhideWhenUsed/>
    <w:rsid w:val="001B2B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975023">
      <w:bodyDiv w:val="1"/>
      <w:marLeft w:val="0"/>
      <w:marRight w:val="0"/>
      <w:marTop w:val="0"/>
      <w:marBottom w:val="0"/>
      <w:divBdr>
        <w:top w:val="none" w:sz="0" w:space="0" w:color="auto"/>
        <w:left w:val="none" w:sz="0" w:space="0" w:color="auto"/>
        <w:bottom w:val="none" w:sz="0" w:space="0" w:color="auto"/>
        <w:right w:val="none" w:sz="0" w:space="0" w:color="auto"/>
      </w:divBdr>
    </w:div>
    <w:div w:id="706611312">
      <w:bodyDiv w:val="1"/>
      <w:marLeft w:val="0"/>
      <w:marRight w:val="0"/>
      <w:marTop w:val="0"/>
      <w:marBottom w:val="0"/>
      <w:divBdr>
        <w:top w:val="none" w:sz="0" w:space="0" w:color="auto"/>
        <w:left w:val="none" w:sz="0" w:space="0" w:color="auto"/>
        <w:bottom w:val="none" w:sz="0" w:space="0" w:color="auto"/>
        <w:right w:val="none" w:sz="0" w:space="0" w:color="auto"/>
      </w:divBdr>
    </w:div>
    <w:div w:id="862665728">
      <w:bodyDiv w:val="1"/>
      <w:marLeft w:val="0"/>
      <w:marRight w:val="0"/>
      <w:marTop w:val="0"/>
      <w:marBottom w:val="0"/>
      <w:divBdr>
        <w:top w:val="none" w:sz="0" w:space="0" w:color="auto"/>
        <w:left w:val="none" w:sz="0" w:space="0" w:color="auto"/>
        <w:bottom w:val="none" w:sz="0" w:space="0" w:color="auto"/>
        <w:right w:val="none" w:sz="0" w:space="0" w:color="auto"/>
      </w:divBdr>
    </w:div>
    <w:div w:id="151795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DO" sz="1100" b="1"/>
              <a:t>Importaciones Anuales de Galletas en Kg</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DO"/>
        </a:p>
      </c:txPr>
    </c:title>
    <c:autoTitleDeleted val="0"/>
    <c:plotArea>
      <c:layout/>
      <c:barChart>
        <c:barDir val="col"/>
        <c:grouping val="clustered"/>
        <c:varyColors val="0"/>
        <c:ser>
          <c:idx val="0"/>
          <c:order val="0"/>
          <c:tx>
            <c:strRef>
              <c:f>'Analisis '!$S$8</c:f>
              <c:strCache>
                <c:ptCount val="1"/>
                <c:pt idx="0">
                  <c:v>Paises Sin TLC</c:v>
                </c:pt>
              </c:strCache>
            </c:strRef>
          </c:tx>
          <c:spPr>
            <a:solidFill>
              <a:schemeClr val="accent1"/>
            </a:solidFill>
            <a:ln>
              <a:noFill/>
            </a:ln>
            <a:effectLst/>
          </c:spPr>
          <c:invertIfNegative val="0"/>
          <c:dLbls>
            <c:dLbl>
              <c:idx val="0"/>
              <c:layout>
                <c:manualLayout>
                  <c:x val="-2.3848238482384803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4FF-4BFD-8D93-8AD1BBEE8A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'Analisis '!$T$7:$V$7</c:f>
              <c:numCache>
                <c:formatCode>0</c:formatCode>
                <c:ptCount val="3"/>
                <c:pt idx="0">
                  <c:v>2022</c:v>
                </c:pt>
                <c:pt idx="1">
                  <c:v>2023</c:v>
                </c:pt>
                <c:pt idx="2">
                  <c:v>2024</c:v>
                </c:pt>
              </c:numCache>
            </c:numRef>
          </c:cat>
          <c:val>
            <c:numRef>
              <c:f>'Analisis '!$T$8:$V$8</c:f>
              <c:numCache>
                <c:formatCode>_(* #,##0_);_(* \(#,##0\);_(* "-"??_);_(@_)</c:formatCode>
                <c:ptCount val="3"/>
                <c:pt idx="0">
                  <c:v>12526718.98</c:v>
                </c:pt>
                <c:pt idx="1">
                  <c:v>16079024.559999995</c:v>
                </c:pt>
                <c:pt idx="2">
                  <c:v>22408971.79000001</c:v>
                </c:pt>
              </c:numCache>
            </c:numRef>
          </c:val>
          <c:extLst>
            <c:ext xmlns:c16="http://schemas.microsoft.com/office/drawing/2014/chart" uri="{C3380CC4-5D6E-409C-BE32-E72D297353CC}">
              <c16:uniqueId val="{00000001-C4FF-4BFD-8D93-8AD1BBEE8A81}"/>
            </c:ext>
          </c:extLst>
        </c:ser>
        <c:ser>
          <c:idx val="1"/>
          <c:order val="1"/>
          <c:tx>
            <c:strRef>
              <c:f>'Analisis '!$S$9</c:f>
              <c:strCache>
                <c:ptCount val="1"/>
                <c:pt idx="0">
                  <c:v>Paises con TLC</c:v>
                </c:pt>
              </c:strCache>
            </c:strRef>
          </c:tx>
          <c:spPr>
            <a:solidFill>
              <a:schemeClr val="accent2"/>
            </a:solidFill>
            <a:ln>
              <a:noFill/>
            </a:ln>
            <a:effectLst/>
          </c:spPr>
          <c:invertIfNegative val="0"/>
          <c:dLbls>
            <c:dLbl>
              <c:idx val="0"/>
              <c:layout>
                <c:manualLayout>
                  <c:x val="2.818428184281839E-2"/>
                  <c:y val="-4.62962962962971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4FF-4BFD-8D93-8AD1BBEE8A8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'Analisis '!$T$7:$V$7</c:f>
              <c:numCache>
                <c:formatCode>0</c:formatCode>
                <c:ptCount val="3"/>
                <c:pt idx="0">
                  <c:v>2022</c:v>
                </c:pt>
                <c:pt idx="1">
                  <c:v>2023</c:v>
                </c:pt>
                <c:pt idx="2">
                  <c:v>2024</c:v>
                </c:pt>
              </c:numCache>
            </c:numRef>
          </c:cat>
          <c:val>
            <c:numRef>
              <c:f>'Analisis '!$T$9:$V$9</c:f>
              <c:numCache>
                <c:formatCode>_(* #,##0_);_(* \(#,##0\);_(* "-"??_);_(@_)</c:formatCode>
                <c:ptCount val="3"/>
                <c:pt idx="0">
                  <c:v>12906856.740000002</c:v>
                </c:pt>
                <c:pt idx="1">
                  <c:v>10637331.609999981</c:v>
                </c:pt>
                <c:pt idx="2">
                  <c:v>13368665.859999979</c:v>
                </c:pt>
              </c:numCache>
            </c:numRef>
          </c:val>
          <c:extLst>
            <c:ext xmlns:c16="http://schemas.microsoft.com/office/drawing/2014/chart" uri="{C3380CC4-5D6E-409C-BE32-E72D297353CC}">
              <c16:uniqueId val="{00000003-C4FF-4BFD-8D93-8AD1BBEE8A81}"/>
            </c:ext>
          </c:extLst>
        </c:ser>
        <c:dLbls>
          <c:showLegendKey val="0"/>
          <c:showVal val="0"/>
          <c:showCatName val="0"/>
          <c:showSerName val="0"/>
          <c:showPercent val="0"/>
          <c:showBubbleSize val="0"/>
        </c:dLbls>
        <c:gapWidth val="219"/>
        <c:overlap val="-27"/>
        <c:axId val="913909168"/>
        <c:axId val="913907008"/>
      </c:barChart>
      <c:catAx>
        <c:axId val="91390916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DO"/>
          </a:p>
        </c:txPr>
        <c:crossAx val="913907008"/>
        <c:crosses val="autoZero"/>
        <c:auto val="1"/>
        <c:lblAlgn val="ctr"/>
        <c:lblOffset val="100"/>
        <c:noMultiLvlLbl val="0"/>
      </c:catAx>
      <c:valAx>
        <c:axId val="91390700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DO"/>
          </a:p>
        </c:txPr>
        <c:crossAx val="91390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D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DO" sz="1100" b="1"/>
              <a:t>Importaciones Anuales de Galletas en Kg</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DO"/>
        </a:p>
      </c:txPr>
    </c:title>
    <c:autoTitleDeleted val="0"/>
    <c:plotArea>
      <c:layout/>
      <c:barChart>
        <c:barDir val="col"/>
        <c:grouping val="clustered"/>
        <c:varyColors val="0"/>
        <c:ser>
          <c:idx val="0"/>
          <c:order val="0"/>
          <c:tx>
            <c:strRef>
              <c:f>'Analisis '!$S$8</c:f>
              <c:strCache>
                <c:ptCount val="1"/>
                <c:pt idx="0">
                  <c:v>Paises Sin TLC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'Analisis '!$T$7:$V$7</c:f>
              <c:numCache>
                <c:formatCode>0</c:formatCode>
                <c:ptCount val="3"/>
                <c:pt idx="0">
                  <c:v>2022</c:v>
                </c:pt>
                <c:pt idx="1">
                  <c:v>2023</c:v>
                </c:pt>
                <c:pt idx="2">
                  <c:v>2024</c:v>
                </c:pt>
              </c:numCache>
            </c:numRef>
          </c:cat>
          <c:val>
            <c:numRef>
              <c:f>'Analisis '!$T$8:$V$8</c:f>
              <c:numCache>
                <c:formatCode>_(* #,##0_);_(* \(#,##0\);_(* "-"??_);_(@_)</c:formatCode>
                <c:ptCount val="3"/>
                <c:pt idx="0">
                  <c:v>12526718.98</c:v>
                </c:pt>
                <c:pt idx="1">
                  <c:v>16079024.559999995</c:v>
                </c:pt>
                <c:pt idx="2">
                  <c:v>22408971.79000001</c:v>
                </c:pt>
              </c:numCache>
            </c:numRef>
          </c:val>
          <c:extLst>
            <c:ext xmlns:c16="http://schemas.microsoft.com/office/drawing/2014/chart" uri="{C3380CC4-5D6E-409C-BE32-E72D297353CC}">
              <c16:uniqueId val="{00000000-24D3-4F98-B861-487272FE4120}"/>
            </c:ext>
          </c:extLst>
        </c:ser>
        <c:ser>
          <c:idx val="1"/>
          <c:order val="1"/>
          <c:tx>
            <c:strRef>
              <c:f>'Analisis '!$S$9</c:f>
              <c:strCache>
                <c:ptCount val="1"/>
                <c:pt idx="0">
                  <c:v>Paises con TLC</c:v>
                </c:pt>
              </c:strCache>
            </c:strRef>
          </c:tx>
          <c:spPr>
            <a:solidFill>
              <a:schemeClr val="accent2"/>
            </a:solidFill>
            <a:ln>
              <a:noFill/>
            </a:ln>
            <a:effectLst/>
          </c:spPr>
          <c:invertIfNegative val="0"/>
          <c:dLbls>
            <c:dLbl>
              <c:idx val="0"/>
              <c:layout>
                <c:manualLayout>
                  <c:x val="4.1192411924119203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4D3-4F98-B861-487272FE41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'Analisis '!$T$7:$V$7</c:f>
              <c:numCache>
                <c:formatCode>0</c:formatCode>
                <c:ptCount val="3"/>
                <c:pt idx="0">
                  <c:v>2022</c:v>
                </c:pt>
                <c:pt idx="1">
                  <c:v>2023</c:v>
                </c:pt>
                <c:pt idx="2">
                  <c:v>2024</c:v>
                </c:pt>
              </c:numCache>
            </c:numRef>
          </c:cat>
          <c:val>
            <c:numRef>
              <c:f>'Analisis '!$T$9:$V$9</c:f>
              <c:numCache>
                <c:formatCode>_(* #,##0_);_(* \(#,##0\);_(* "-"??_);_(@_)</c:formatCode>
                <c:ptCount val="3"/>
                <c:pt idx="0">
                  <c:v>12906856.740000002</c:v>
                </c:pt>
                <c:pt idx="1">
                  <c:v>10637331.609999981</c:v>
                </c:pt>
                <c:pt idx="2">
                  <c:v>13368665.859999979</c:v>
                </c:pt>
              </c:numCache>
            </c:numRef>
          </c:val>
          <c:extLst>
            <c:ext xmlns:c16="http://schemas.microsoft.com/office/drawing/2014/chart" uri="{C3380CC4-5D6E-409C-BE32-E72D297353CC}">
              <c16:uniqueId val="{00000002-24D3-4F98-B861-487272FE4120}"/>
            </c:ext>
          </c:extLst>
        </c:ser>
        <c:dLbls>
          <c:showLegendKey val="0"/>
          <c:showVal val="0"/>
          <c:showCatName val="0"/>
          <c:showSerName val="0"/>
          <c:showPercent val="0"/>
          <c:showBubbleSize val="0"/>
        </c:dLbls>
        <c:gapWidth val="219"/>
        <c:overlap val="-27"/>
        <c:axId val="913909168"/>
        <c:axId val="913907008"/>
      </c:barChart>
      <c:catAx>
        <c:axId val="913909168"/>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DO"/>
          </a:p>
        </c:txPr>
        <c:crossAx val="913907008"/>
        <c:crosses val="autoZero"/>
        <c:auto val="1"/>
        <c:lblAlgn val="ctr"/>
        <c:lblOffset val="100"/>
        <c:noMultiLvlLbl val="0"/>
      </c:catAx>
      <c:valAx>
        <c:axId val="91390700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DO"/>
          </a:p>
        </c:txPr>
        <c:crossAx val="91390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D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DO" sz="1100"/>
              <a:t>Importaciones de Galletas - Precio promedio por Kg</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DO"/>
        </a:p>
      </c:txPr>
    </c:title>
    <c:autoTitleDeleted val="0"/>
    <c:plotArea>
      <c:layout/>
      <c:barChart>
        <c:barDir val="col"/>
        <c:grouping val="clustered"/>
        <c:varyColors val="0"/>
        <c:ser>
          <c:idx val="0"/>
          <c:order val="0"/>
          <c:tx>
            <c:strRef>
              <c:f>'Analisis '!$S$23</c:f>
              <c:strCache>
                <c:ptCount val="1"/>
                <c:pt idx="0">
                  <c:v>Paises Sin TLC</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'Analisis '!$T$22:$V$22</c:f>
              <c:numCache>
                <c:formatCode>0</c:formatCode>
                <c:ptCount val="3"/>
                <c:pt idx="0">
                  <c:v>2022</c:v>
                </c:pt>
                <c:pt idx="1">
                  <c:v>2023</c:v>
                </c:pt>
                <c:pt idx="2">
                  <c:v>2024</c:v>
                </c:pt>
              </c:numCache>
            </c:numRef>
          </c:cat>
          <c:val>
            <c:numRef>
              <c:f>'Analisis '!$T$23:$V$23</c:f>
              <c:numCache>
                <c:formatCode>_(* #,##0.0_);_(* \(#,##0.0\);_(* "-"??_);_(@_)</c:formatCode>
                <c:ptCount val="3"/>
                <c:pt idx="0">
                  <c:v>2.0010864297536908</c:v>
                </c:pt>
                <c:pt idx="1">
                  <c:v>1.9550068673945113</c:v>
                </c:pt>
                <c:pt idx="2">
                  <c:v>1.7970694490842569</c:v>
                </c:pt>
              </c:numCache>
            </c:numRef>
          </c:val>
          <c:extLst>
            <c:ext xmlns:c16="http://schemas.microsoft.com/office/drawing/2014/chart" uri="{C3380CC4-5D6E-409C-BE32-E72D297353CC}">
              <c16:uniqueId val="{00000000-5381-4059-9406-5BA7CB4346C6}"/>
            </c:ext>
          </c:extLst>
        </c:ser>
        <c:ser>
          <c:idx val="1"/>
          <c:order val="1"/>
          <c:tx>
            <c:strRef>
              <c:f>'Analisis '!$S$24</c:f>
              <c:strCache>
                <c:ptCount val="1"/>
                <c:pt idx="0">
                  <c:v>Paises con TLC</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'Analisis '!$T$22:$V$22</c:f>
              <c:numCache>
                <c:formatCode>0</c:formatCode>
                <c:ptCount val="3"/>
                <c:pt idx="0">
                  <c:v>2022</c:v>
                </c:pt>
                <c:pt idx="1">
                  <c:v>2023</c:v>
                </c:pt>
                <c:pt idx="2">
                  <c:v>2024</c:v>
                </c:pt>
              </c:numCache>
            </c:numRef>
          </c:cat>
          <c:val>
            <c:numRef>
              <c:f>'Analisis '!$T$24:$V$24</c:f>
              <c:numCache>
                <c:formatCode>_(* #,##0.0_);_(* \(#,##0.0\);_(* "-"??_);_(@_)</c:formatCode>
                <c:ptCount val="3"/>
                <c:pt idx="0">
                  <c:v>2.4172379396543904</c:v>
                </c:pt>
                <c:pt idx="1">
                  <c:v>2.8626581362525574</c:v>
                </c:pt>
                <c:pt idx="2">
                  <c:v>2.8351214271652836</c:v>
                </c:pt>
              </c:numCache>
            </c:numRef>
          </c:val>
          <c:extLst>
            <c:ext xmlns:c16="http://schemas.microsoft.com/office/drawing/2014/chart" uri="{C3380CC4-5D6E-409C-BE32-E72D297353CC}">
              <c16:uniqueId val="{00000001-5381-4059-9406-5BA7CB4346C6}"/>
            </c:ext>
          </c:extLst>
        </c:ser>
        <c:dLbls>
          <c:showLegendKey val="0"/>
          <c:showVal val="0"/>
          <c:showCatName val="0"/>
          <c:showSerName val="0"/>
          <c:showPercent val="0"/>
          <c:showBubbleSize val="0"/>
        </c:dLbls>
        <c:gapWidth val="219"/>
        <c:overlap val="-27"/>
        <c:axId val="894327344"/>
        <c:axId val="917890952"/>
      </c:barChart>
      <c:catAx>
        <c:axId val="89432734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DO"/>
          </a:p>
        </c:txPr>
        <c:crossAx val="917890952"/>
        <c:crosses val="autoZero"/>
        <c:auto val="1"/>
        <c:lblAlgn val="ctr"/>
        <c:lblOffset val="100"/>
        <c:noMultiLvlLbl val="0"/>
      </c:catAx>
      <c:valAx>
        <c:axId val="917890952"/>
        <c:scaling>
          <c:orientation val="minMax"/>
        </c:scaling>
        <c:delete val="0"/>
        <c:axPos val="l"/>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DO"/>
          </a:p>
        </c:txPr>
        <c:crossAx val="89432734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D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s-D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r>
              <a:rPr lang="en-US" sz="1100">
                <a:solidFill>
                  <a:sysClr val="windowText" lastClr="000000"/>
                </a:solidFill>
              </a:rPr>
              <a:t>Sub valoracion de Precios por Kg - Importaciones</a:t>
            </a:r>
            <a:r>
              <a:rPr lang="en-US" sz="1100" baseline="0">
                <a:solidFill>
                  <a:sysClr val="windowText" lastClr="000000"/>
                </a:solidFill>
              </a:rPr>
              <a:t> orignarias de Paises Sin TLC Vs Paises Con </a:t>
            </a:r>
          </a:p>
          <a:p>
            <a:pPr>
              <a:defRPr sz="1100">
                <a:solidFill>
                  <a:sysClr val="windowText" lastClr="000000"/>
                </a:solidFill>
              </a:defRPr>
            </a:pPr>
            <a:r>
              <a:rPr lang="en-US" sz="1100">
                <a:solidFill>
                  <a:sysClr val="windowText" lastClr="000000"/>
                </a:solidFill>
              </a:rPr>
              <a:t>TLC</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mn-lt"/>
              <a:ea typeface="+mn-ea"/>
              <a:cs typeface="+mn-cs"/>
            </a:defRPr>
          </a:pPr>
          <a:endParaRPr lang="es-DO"/>
        </a:p>
      </c:txPr>
    </c:title>
    <c:autoTitleDeleted val="0"/>
    <c:plotArea>
      <c:layout/>
      <c:barChart>
        <c:barDir val="col"/>
        <c:grouping val="clustered"/>
        <c:varyColors val="0"/>
        <c:ser>
          <c:idx val="0"/>
          <c:order val="0"/>
          <c:tx>
            <c:strRef>
              <c:f>'Analisis '!$S$27</c:f>
              <c:strCache>
                <c:ptCount val="1"/>
                <c:pt idx="0">
                  <c:v>Sub valoracion TLC</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'Analisis '!$T$26:$V$26</c:f>
              <c:numCache>
                <c:formatCode>0</c:formatCode>
                <c:ptCount val="3"/>
                <c:pt idx="0">
                  <c:v>2022</c:v>
                </c:pt>
                <c:pt idx="1">
                  <c:v>2023</c:v>
                </c:pt>
                <c:pt idx="2">
                  <c:v>2024</c:v>
                </c:pt>
              </c:numCache>
            </c:numRef>
          </c:cat>
          <c:val>
            <c:numRef>
              <c:f>'Analisis '!$T$27:$V$27</c:f>
              <c:numCache>
                <c:formatCode>0%</c:formatCode>
                <c:ptCount val="3"/>
                <c:pt idx="0">
                  <c:v>-0.20796278647090857</c:v>
                </c:pt>
                <c:pt idx="1">
                  <c:v>-0.46427011791917466</c:v>
                </c:pt>
                <c:pt idx="2">
                  <c:v>-0.57763598318918219</c:v>
                </c:pt>
              </c:numCache>
            </c:numRef>
          </c:val>
          <c:extLst>
            <c:ext xmlns:c16="http://schemas.microsoft.com/office/drawing/2014/chart" uri="{C3380CC4-5D6E-409C-BE32-E72D297353CC}">
              <c16:uniqueId val="{00000000-0C97-4A7C-BBFA-8D2B73ADA0BC}"/>
            </c:ext>
          </c:extLst>
        </c:ser>
        <c:dLbls>
          <c:showLegendKey val="0"/>
          <c:showVal val="0"/>
          <c:showCatName val="0"/>
          <c:showSerName val="0"/>
          <c:showPercent val="0"/>
          <c:showBubbleSize val="0"/>
        </c:dLbls>
        <c:gapWidth val="219"/>
        <c:overlap val="-27"/>
        <c:axId val="886795152"/>
        <c:axId val="886796232"/>
      </c:barChart>
      <c:catAx>
        <c:axId val="886795152"/>
        <c:scaling>
          <c:orientation val="minMax"/>
        </c:scaling>
        <c:delete val="0"/>
        <c:axPos val="b"/>
        <c:numFmt formatCode="0"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6796232"/>
        <c:crosses val="autoZero"/>
        <c:auto val="1"/>
        <c:lblAlgn val="ctr"/>
        <c:lblOffset val="100"/>
        <c:noMultiLvlLbl val="0"/>
      </c:catAx>
      <c:valAx>
        <c:axId val="886796232"/>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67951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D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8D913-836D-4D82-859D-5A348FA7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4266</Words>
  <Characters>23468</Characters>
  <Application>Microsoft Office Word</Application>
  <DocSecurity>0</DocSecurity>
  <Lines>195</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Company>
  <LinksUpToDate>false</LinksUpToDate>
  <CharactersWithSpaces>27679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Carlos Coronado Comision De Defensa Comercial TI</cp:lastModifiedBy>
  <cp:revision>2</cp:revision>
  <dcterms:created xsi:type="dcterms:W3CDTF">2025-09-19T20:35:00Z</dcterms:created>
  <dcterms:modified xsi:type="dcterms:W3CDTF">2025-09-19T20:35:00Z</dcterms:modified>
</cp:coreProperties>
</file>