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5748B" w14:textId="0DA91AB9" w:rsidR="003B3C15" w:rsidRPr="000152F6" w:rsidRDefault="003B3C15" w:rsidP="000152F6">
      <w:pPr>
        <w:pStyle w:val="Title"/>
        <w:rPr>
          <w:sz w:val="40"/>
          <w:szCs w:val="40"/>
        </w:rPr>
      </w:pPr>
      <w:r w:rsidRPr="000152F6">
        <w:rPr>
          <w:sz w:val="40"/>
          <w:szCs w:val="40"/>
        </w:rPr>
        <w:t>Capacidad de Turquía para absorber el mercado dominicano de varillas de acero corrugado</w:t>
      </w:r>
    </w:p>
    <w:p w14:paraId="5253CDD4" w14:textId="77777777" w:rsidR="003B3C15" w:rsidRPr="000152F6" w:rsidRDefault="003B3C15" w:rsidP="003B3C15">
      <w:pPr>
        <w:pStyle w:val="Heading1"/>
      </w:pPr>
      <w:r w:rsidRPr="000152F6">
        <w:t>Resumen Ejecutivo</w:t>
      </w:r>
    </w:p>
    <w:p w14:paraId="6CE9C82F" w14:textId="77777777" w:rsidR="00397134" w:rsidRPr="000152F6" w:rsidRDefault="008C4DD1" w:rsidP="008C4DD1">
      <w:r w:rsidRPr="008C4DD1">
        <w:t>Las varillas de acero corrugado son un bien altamente homogéneo: cumplen normas internacionales y presentan escasa diferenciación entre orígenes, de modo que la competencia se define principalmente por el precio. En este contexto, Turquía, con precios en promedio 1</w:t>
      </w:r>
      <w:r w:rsidRPr="000152F6">
        <w:t>3</w:t>
      </w:r>
      <w:r w:rsidRPr="008C4DD1">
        <w:t>% más bajos, tiene la posibilidad real de absorber rápidamente el mercado dominicano si no existen barreras comerciales.</w:t>
      </w:r>
    </w:p>
    <w:p w14:paraId="5FDA8AA5" w14:textId="4F46FD51" w:rsidR="00397134" w:rsidRPr="000152F6" w:rsidRDefault="008C4DD1" w:rsidP="008C4DD1">
      <w:r w:rsidRPr="008C4DD1">
        <w:t>Los escenarios de proyección muestran que</w:t>
      </w:r>
      <w:r w:rsidRPr="00917827">
        <w:t xml:space="preserve">, </w:t>
      </w:r>
      <w:r w:rsidRPr="00AE4802">
        <w:t xml:space="preserve">partiendo de una cuota de </w:t>
      </w:r>
      <w:r w:rsidR="00680A2F" w:rsidRPr="00AE4802">
        <w:t xml:space="preserve">1.3% </w:t>
      </w:r>
      <w:r w:rsidRPr="00AE4802">
        <w:t>% en 202</w:t>
      </w:r>
      <w:r w:rsidR="00680A2F" w:rsidRPr="00AE4802">
        <w:t>4</w:t>
      </w:r>
      <w:r w:rsidRPr="00AE4802">
        <w:t xml:space="preserve"> las importaciones podrían alcanzar</w:t>
      </w:r>
      <w:r w:rsidRPr="008C4DD1">
        <w:t xml:space="preserve"> cerca </w:t>
      </w:r>
      <w:r w:rsidRPr="008C4DD1">
        <w:rPr>
          <w:b/>
          <w:bCs/>
        </w:rPr>
        <w:t>de 4</w:t>
      </w:r>
      <w:r w:rsidR="00680A2F">
        <w:rPr>
          <w:b/>
          <w:bCs/>
        </w:rPr>
        <w:t>5</w:t>
      </w:r>
      <w:r w:rsidRPr="008C4DD1">
        <w:rPr>
          <w:b/>
          <w:bCs/>
        </w:rPr>
        <w:t xml:space="preserve">% en 12 meses, </w:t>
      </w:r>
      <w:r w:rsidR="00680A2F">
        <w:rPr>
          <w:b/>
          <w:bCs/>
        </w:rPr>
        <w:t>67</w:t>
      </w:r>
      <w:r w:rsidRPr="008C4DD1">
        <w:rPr>
          <w:b/>
          <w:bCs/>
        </w:rPr>
        <w:t xml:space="preserve">% en 24 meses y </w:t>
      </w:r>
      <w:r w:rsidR="00680A2F">
        <w:rPr>
          <w:b/>
          <w:bCs/>
        </w:rPr>
        <w:t>78</w:t>
      </w:r>
      <w:r w:rsidRPr="008C4DD1">
        <w:rPr>
          <w:b/>
          <w:bCs/>
        </w:rPr>
        <w:t>% en 36 meses bajo supuestos estándar</w:t>
      </w:r>
      <w:r w:rsidRPr="008C4DD1">
        <w:t xml:space="preserve">. </w:t>
      </w:r>
    </w:p>
    <w:p w14:paraId="20711969" w14:textId="4CD704C6" w:rsidR="00397134" w:rsidRPr="000152F6" w:rsidRDefault="008C4DD1" w:rsidP="008C4DD1">
      <w:r w:rsidRPr="008C4DD1">
        <w:t>Incluso en un escenario de baja sustitución, con fuerte preferencia local, la participación subiría a 5</w:t>
      </w:r>
      <w:r w:rsidR="00680A2F">
        <w:t>6</w:t>
      </w:r>
      <w:r w:rsidRPr="008C4DD1">
        <w:t xml:space="preserve">% en tres años, mientras que con alta sustitución y percepción de producto perfectamente intercambiable la absorción sería prácticamente total. </w:t>
      </w:r>
    </w:p>
    <w:p w14:paraId="0DCBBE02" w14:textId="6FDEF39F" w:rsidR="008C4DD1" w:rsidRDefault="008C4DD1" w:rsidP="008C4DD1">
      <w:r w:rsidRPr="008C4DD1">
        <w:t>Las variaciones en la elasticidad de la demanda ajustan el nivel de largo plazo: si la demanda es muy inelástica, Turquía absorbería hasta 8</w:t>
      </w:r>
      <w:r w:rsidR="00680A2F">
        <w:t>3</w:t>
      </w:r>
      <w:r w:rsidRPr="008C4DD1">
        <w:t>% del mercado, mientras que con mayor elasticidad la cuota se moderaría a 75%, aunque siempre con predominio del importado.</w:t>
      </w:r>
    </w:p>
    <w:p w14:paraId="793D9BCB" w14:textId="432CBDDD" w:rsidR="00A331AD" w:rsidRDefault="00A331AD" w:rsidP="008C4DD1">
      <w:r>
        <w:t>Cuadro Resumen de absorción de Mercado</w:t>
      </w:r>
    </w:p>
    <w:tbl>
      <w:tblPr>
        <w:tblW w:w="9192" w:type="dxa"/>
        <w:tblLook w:val="04A0" w:firstRow="1" w:lastRow="0" w:firstColumn="1" w:lastColumn="0" w:noHBand="0" w:noVBand="1"/>
      </w:tblPr>
      <w:tblGrid>
        <w:gridCol w:w="2740"/>
        <w:gridCol w:w="980"/>
        <w:gridCol w:w="1040"/>
        <w:gridCol w:w="1280"/>
        <w:gridCol w:w="620"/>
        <w:gridCol w:w="792"/>
        <w:gridCol w:w="820"/>
        <w:gridCol w:w="920"/>
      </w:tblGrid>
      <w:tr w:rsidR="00680A2F" w:rsidRPr="000152F6" w14:paraId="7DAD4515" w14:textId="77777777" w:rsidTr="00163004">
        <w:trPr>
          <w:trHeight w:val="288"/>
        </w:trPr>
        <w:tc>
          <w:tcPr>
            <w:tcW w:w="2740"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CBD748E" w14:textId="77777777" w:rsidR="00680A2F" w:rsidRPr="0098551A" w:rsidRDefault="00680A2F" w:rsidP="00163004">
            <w:pPr>
              <w:spacing w:after="0" w:line="240" w:lineRule="auto"/>
              <w:jc w:val="center"/>
              <w:rPr>
                <w:rFonts w:ascii="Calibri" w:eastAsia="Times New Roman" w:hAnsi="Calibri" w:cs="Calibri"/>
                <w:b/>
                <w:bCs/>
                <w:color w:val="000000"/>
                <w:kern w:val="0"/>
                <w:sz w:val="22"/>
                <w:szCs w:val="22"/>
                <w14:ligatures w14:val="none"/>
              </w:rPr>
            </w:pPr>
            <w:r w:rsidRPr="0098551A">
              <w:rPr>
                <w:rFonts w:ascii="Calibri" w:eastAsia="Times New Roman" w:hAnsi="Calibri" w:cs="Calibri"/>
                <w:b/>
                <w:bCs/>
                <w:color w:val="000000"/>
                <w:kern w:val="0"/>
                <w:sz w:val="22"/>
                <w:szCs w:val="22"/>
                <w14:ligatures w14:val="none"/>
              </w:rPr>
              <w:t>Escenario</w:t>
            </w:r>
          </w:p>
        </w:tc>
        <w:tc>
          <w:tcPr>
            <w:tcW w:w="980"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B2D5610" w14:textId="2976E5FF" w:rsidR="00680A2F" w:rsidRPr="0098551A" w:rsidRDefault="00680A2F" w:rsidP="00163004">
            <w:pPr>
              <w:spacing w:after="0" w:line="240" w:lineRule="auto"/>
              <w:jc w:val="center"/>
              <w:rPr>
                <w:rFonts w:ascii="Calibri" w:eastAsia="Times New Roman" w:hAnsi="Calibri" w:cs="Calibri"/>
                <w:b/>
                <w:bCs/>
                <w:color w:val="000000"/>
                <w:kern w:val="0"/>
                <w:sz w:val="22"/>
                <w:szCs w:val="22"/>
                <w14:ligatures w14:val="none"/>
              </w:rPr>
            </w:pPr>
            <w:r w:rsidRPr="0098551A">
              <w:rPr>
                <w:rFonts w:ascii="Calibri" w:eastAsia="Times New Roman" w:hAnsi="Calibri" w:cs="Calibri"/>
                <w:b/>
                <w:bCs/>
                <w:color w:val="000000"/>
                <w:kern w:val="0"/>
                <w:sz w:val="22"/>
                <w:szCs w:val="22"/>
                <w14:ligatures w14:val="none"/>
              </w:rPr>
              <w:t>s0 (202</w:t>
            </w:r>
            <w:r w:rsidR="00DA4803">
              <w:rPr>
                <w:rFonts w:ascii="Calibri" w:eastAsia="Times New Roman" w:hAnsi="Calibri" w:cs="Calibri"/>
                <w:b/>
                <w:bCs/>
                <w:color w:val="000000"/>
                <w:kern w:val="0"/>
                <w:sz w:val="22"/>
                <w:szCs w:val="22"/>
                <w14:ligatures w14:val="none"/>
              </w:rPr>
              <w:t>4</w:t>
            </w:r>
            <w:r w:rsidRPr="0098551A">
              <w:rPr>
                <w:rFonts w:ascii="Calibri" w:eastAsia="Times New Roman" w:hAnsi="Calibri" w:cs="Calibri"/>
                <w:b/>
                <w:bCs/>
                <w:color w:val="000000"/>
                <w:kern w:val="0"/>
                <w:sz w:val="22"/>
                <w:szCs w:val="22"/>
                <w14:ligatures w14:val="none"/>
              </w:rPr>
              <w:t>)</w:t>
            </w:r>
          </w:p>
        </w:tc>
        <w:tc>
          <w:tcPr>
            <w:tcW w:w="1040"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54B5BA2" w14:textId="77777777" w:rsidR="00680A2F" w:rsidRPr="000152F6" w:rsidRDefault="00680A2F" w:rsidP="00163004">
            <w:pPr>
              <w:spacing w:after="0" w:line="240" w:lineRule="auto"/>
              <w:jc w:val="center"/>
              <w:rPr>
                <w:rFonts w:ascii="Calibri" w:eastAsia="Times New Roman" w:hAnsi="Calibri" w:cs="Calibri"/>
                <w:b/>
                <w:bCs/>
                <w:color w:val="000000"/>
                <w:kern w:val="0"/>
                <w:sz w:val="22"/>
                <w:szCs w:val="22"/>
                <w14:ligatures w14:val="none"/>
              </w:rPr>
            </w:pPr>
            <w:r w:rsidRPr="0098551A">
              <w:rPr>
                <w:rFonts w:ascii="Calibri" w:eastAsia="Times New Roman" w:hAnsi="Calibri" w:cs="Calibri"/>
                <w:b/>
                <w:bCs/>
                <w:color w:val="000000"/>
                <w:kern w:val="0"/>
                <w:sz w:val="22"/>
                <w:szCs w:val="22"/>
                <w14:ligatures w14:val="none"/>
              </w:rPr>
              <w:t xml:space="preserve">s* </w:t>
            </w:r>
          </w:p>
          <w:p w14:paraId="17073C0E" w14:textId="77777777" w:rsidR="00680A2F" w:rsidRPr="0098551A" w:rsidRDefault="00680A2F" w:rsidP="00163004">
            <w:pPr>
              <w:spacing w:after="0" w:line="240" w:lineRule="auto"/>
              <w:jc w:val="center"/>
              <w:rPr>
                <w:rFonts w:ascii="Calibri" w:eastAsia="Times New Roman" w:hAnsi="Calibri" w:cs="Calibri"/>
                <w:b/>
                <w:bCs/>
                <w:color w:val="000000"/>
                <w:kern w:val="0"/>
                <w:sz w:val="22"/>
                <w:szCs w:val="22"/>
                <w14:ligatures w14:val="none"/>
              </w:rPr>
            </w:pPr>
            <w:r w:rsidRPr="0098551A">
              <w:rPr>
                <w:rFonts w:ascii="Calibri" w:eastAsia="Times New Roman" w:hAnsi="Calibri" w:cs="Calibri"/>
                <w:b/>
                <w:bCs/>
                <w:color w:val="000000"/>
                <w:kern w:val="0"/>
                <w:sz w:val="22"/>
                <w:szCs w:val="22"/>
                <w14:ligatures w14:val="none"/>
              </w:rPr>
              <w:t>(largo plazo)</w:t>
            </w:r>
          </w:p>
        </w:tc>
        <w:tc>
          <w:tcPr>
            <w:tcW w:w="1280"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B97B5A3" w14:textId="77777777" w:rsidR="00680A2F" w:rsidRPr="0098551A" w:rsidRDefault="00680A2F" w:rsidP="00163004">
            <w:pPr>
              <w:spacing w:after="0" w:line="240" w:lineRule="auto"/>
              <w:jc w:val="center"/>
              <w:rPr>
                <w:rFonts w:ascii="Calibri" w:eastAsia="Times New Roman" w:hAnsi="Calibri" w:cs="Calibri"/>
                <w:b/>
                <w:bCs/>
                <w:color w:val="000000"/>
                <w:kern w:val="0"/>
                <w:sz w:val="22"/>
                <w:szCs w:val="22"/>
                <w14:ligatures w14:val="none"/>
              </w:rPr>
            </w:pPr>
            <w:r w:rsidRPr="0098551A">
              <w:rPr>
                <w:rFonts w:ascii="Calibri" w:eastAsia="Times New Roman" w:hAnsi="Calibri" w:cs="Calibri"/>
                <w:b/>
                <w:bCs/>
                <w:color w:val="000000"/>
                <w:kern w:val="0"/>
                <w:sz w:val="22"/>
                <w:szCs w:val="22"/>
                <w14:ligatures w14:val="none"/>
              </w:rPr>
              <w:t>λ mensual</w:t>
            </w:r>
          </w:p>
        </w:tc>
        <w:tc>
          <w:tcPr>
            <w:tcW w:w="620"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61FEBCE" w14:textId="77777777" w:rsidR="00680A2F" w:rsidRPr="0098551A" w:rsidRDefault="00680A2F" w:rsidP="00163004">
            <w:pPr>
              <w:spacing w:after="0" w:line="240" w:lineRule="auto"/>
              <w:jc w:val="center"/>
              <w:rPr>
                <w:rFonts w:ascii="Calibri" w:eastAsia="Times New Roman" w:hAnsi="Calibri" w:cs="Calibri"/>
                <w:b/>
                <w:bCs/>
                <w:color w:val="000000"/>
                <w:kern w:val="0"/>
                <w:sz w:val="22"/>
                <w:szCs w:val="22"/>
                <w14:ligatures w14:val="none"/>
              </w:rPr>
            </w:pPr>
            <w:r w:rsidRPr="0098551A">
              <w:rPr>
                <w:rFonts w:ascii="Calibri" w:eastAsia="Times New Roman" w:hAnsi="Calibri" w:cs="Calibri"/>
                <w:b/>
                <w:bCs/>
                <w:color w:val="000000"/>
                <w:kern w:val="0"/>
                <w:sz w:val="22"/>
                <w:szCs w:val="22"/>
                <w14:ligatures w14:val="none"/>
              </w:rPr>
              <w:t>ε</w:t>
            </w:r>
          </w:p>
        </w:tc>
        <w:tc>
          <w:tcPr>
            <w:tcW w:w="2532" w:type="dxa"/>
            <w:gridSpan w:val="3"/>
            <w:tcBorders>
              <w:top w:val="single" w:sz="4" w:space="0" w:color="auto"/>
              <w:left w:val="nil"/>
              <w:bottom w:val="single" w:sz="4" w:space="0" w:color="auto"/>
              <w:right w:val="single" w:sz="4" w:space="0" w:color="auto"/>
            </w:tcBorders>
            <w:shd w:val="clear" w:color="auto" w:fill="E7E6E6" w:themeFill="background2"/>
            <w:noWrap/>
            <w:vAlign w:val="bottom"/>
            <w:hideMark/>
          </w:tcPr>
          <w:p w14:paraId="21A62384" w14:textId="21D71EFF" w:rsidR="00680A2F" w:rsidRPr="0098551A" w:rsidRDefault="00680A2F" w:rsidP="00163004">
            <w:pPr>
              <w:spacing w:after="0" w:line="240" w:lineRule="auto"/>
              <w:jc w:val="center"/>
              <w:rPr>
                <w:rFonts w:ascii="Calibri" w:eastAsia="Times New Roman" w:hAnsi="Calibri" w:cs="Calibri"/>
                <w:b/>
                <w:bCs/>
                <w:color w:val="000000"/>
                <w:kern w:val="0"/>
                <w:sz w:val="22"/>
                <w:szCs w:val="22"/>
                <w14:ligatures w14:val="none"/>
              </w:rPr>
            </w:pPr>
            <w:r w:rsidRPr="0098551A">
              <w:rPr>
                <w:rFonts w:ascii="Calibri" w:eastAsia="Times New Roman" w:hAnsi="Calibri" w:cs="Calibri"/>
                <w:b/>
                <w:bCs/>
                <w:color w:val="000000"/>
                <w:kern w:val="0"/>
                <w:sz w:val="22"/>
                <w:szCs w:val="22"/>
                <w14:ligatures w14:val="none"/>
              </w:rPr>
              <w:t>Cuota</w:t>
            </w:r>
            <w:r w:rsidR="0096082F">
              <w:rPr>
                <w:rFonts w:ascii="Calibri" w:eastAsia="Times New Roman" w:hAnsi="Calibri" w:cs="Calibri"/>
                <w:b/>
                <w:bCs/>
                <w:color w:val="000000"/>
                <w:kern w:val="0"/>
                <w:sz w:val="22"/>
                <w:szCs w:val="22"/>
                <w14:ligatures w14:val="none"/>
              </w:rPr>
              <w:t xml:space="preserve"> de Mercado</w:t>
            </w:r>
            <w:r w:rsidRPr="0098551A">
              <w:rPr>
                <w:rFonts w:ascii="Calibri" w:eastAsia="Times New Roman" w:hAnsi="Calibri" w:cs="Calibri"/>
                <w:b/>
                <w:bCs/>
                <w:color w:val="000000"/>
                <w:kern w:val="0"/>
                <w:sz w:val="22"/>
                <w:szCs w:val="22"/>
                <w14:ligatures w14:val="none"/>
              </w:rPr>
              <w:t xml:space="preserve"> en tiempo t</w:t>
            </w:r>
          </w:p>
        </w:tc>
      </w:tr>
      <w:tr w:rsidR="00680A2F" w:rsidRPr="000152F6" w14:paraId="03C993D8" w14:textId="77777777" w:rsidTr="00163004">
        <w:trPr>
          <w:trHeight w:val="564"/>
        </w:trPr>
        <w:tc>
          <w:tcPr>
            <w:tcW w:w="2740"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B40376D" w14:textId="77777777" w:rsidR="00680A2F" w:rsidRPr="0098551A" w:rsidRDefault="00680A2F" w:rsidP="00163004">
            <w:pPr>
              <w:spacing w:after="0" w:line="240" w:lineRule="auto"/>
              <w:rPr>
                <w:rFonts w:ascii="Calibri" w:eastAsia="Times New Roman" w:hAnsi="Calibri" w:cs="Calibri"/>
                <w:b/>
                <w:bCs/>
                <w:color w:val="000000"/>
                <w:kern w:val="0"/>
                <w:sz w:val="22"/>
                <w:szCs w:val="22"/>
                <w14:ligatures w14:val="none"/>
              </w:rPr>
            </w:pPr>
          </w:p>
        </w:tc>
        <w:tc>
          <w:tcPr>
            <w:tcW w:w="980"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99B5A17" w14:textId="77777777" w:rsidR="00680A2F" w:rsidRPr="0098551A" w:rsidRDefault="00680A2F" w:rsidP="00163004">
            <w:pPr>
              <w:spacing w:after="0" w:line="240" w:lineRule="auto"/>
              <w:rPr>
                <w:rFonts w:ascii="Calibri" w:eastAsia="Times New Roman" w:hAnsi="Calibri" w:cs="Calibri"/>
                <w:b/>
                <w:bCs/>
                <w:color w:val="000000"/>
                <w:kern w:val="0"/>
                <w:sz w:val="22"/>
                <w:szCs w:val="22"/>
                <w14:ligatures w14:val="none"/>
              </w:rPr>
            </w:pPr>
          </w:p>
        </w:tc>
        <w:tc>
          <w:tcPr>
            <w:tcW w:w="1040"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7DC0A30" w14:textId="77777777" w:rsidR="00680A2F" w:rsidRPr="0098551A" w:rsidRDefault="00680A2F" w:rsidP="00163004">
            <w:pPr>
              <w:spacing w:after="0" w:line="240" w:lineRule="auto"/>
              <w:rPr>
                <w:rFonts w:ascii="Calibri" w:eastAsia="Times New Roman" w:hAnsi="Calibri" w:cs="Calibri"/>
                <w:b/>
                <w:bCs/>
                <w:color w:val="000000"/>
                <w:kern w:val="0"/>
                <w:sz w:val="22"/>
                <w:szCs w:val="22"/>
                <w14:ligatures w14:val="none"/>
              </w:rPr>
            </w:pPr>
          </w:p>
        </w:tc>
        <w:tc>
          <w:tcPr>
            <w:tcW w:w="1280"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F7F8125" w14:textId="77777777" w:rsidR="00680A2F" w:rsidRPr="0098551A" w:rsidRDefault="00680A2F" w:rsidP="00163004">
            <w:pPr>
              <w:spacing w:after="0" w:line="240" w:lineRule="auto"/>
              <w:rPr>
                <w:rFonts w:ascii="Calibri" w:eastAsia="Times New Roman" w:hAnsi="Calibri" w:cs="Calibri"/>
                <w:b/>
                <w:bCs/>
                <w:color w:val="000000"/>
                <w:kern w:val="0"/>
                <w:sz w:val="22"/>
                <w:szCs w:val="22"/>
                <w14:ligatures w14:val="none"/>
              </w:rPr>
            </w:pPr>
          </w:p>
        </w:tc>
        <w:tc>
          <w:tcPr>
            <w:tcW w:w="620"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98A3AA2" w14:textId="77777777" w:rsidR="00680A2F" w:rsidRPr="0098551A" w:rsidRDefault="00680A2F" w:rsidP="00163004">
            <w:pPr>
              <w:spacing w:after="0" w:line="240" w:lineRule="auto"/>
              <w:rPr>
                <w:rFonts w:ascii="Calibri" w:eastAsia="Times New Roman" w:hAnsi="Calibri" w:cs="Calibri"/>
                <w:b/>
                <w:bCs/>
                <w:color w:val="000000"/>
                <w:kern w:val="0"/>
                <w:sz w:val="22"/>
                <w:szCs w:val="22"/>
                <w14:ligatures w14:val="none"/>
              </w:rPr>
            </w:pPr>
          </w:p>
        </w:tc>
        <w:tc>
          <w:tcPr>
            <w:tcW w:w="792" w:type="dxa"/>
            <w:tcBorders>
              <w:top w:val="nil"/>
              <w:left w:val="nil"/>
              <w:bottom w:val="single" w:sz="4" w:space="0" w:color="auto"/>
              <w:right w:val="single" w:sz="4" w:space="0" w:color="auto"/>
            </w:tcBorders>
            <w:shd w:val="clear" w:color="auto" w:fill="E7E6E6" w:themeFill="background2"/>
            <w:vAlign w:val="center"/>
            <w:hideMark/>
          </w:tcPr>
          <w:p w14:paraId="46F86305" w14:textId="77777777" w:rsidR="00680A2F" w:rsidRPr="0098551A" w:rsidRDefault="00680A2F" w:rsidP="00163004">
            <w:pPr>
              <w:spacing w:after="0" w:line="240" w:lineRule="auto"/>
              <w:jc w:val="center"/>
              <w:rPr>
                <w:rFonts w:ascii="Calibri" w:eastAsia="Times New Roman" w:hAnsi="Calibri" w:cs="Calibri"/>
                <w:b/>
                <w:bCs/>
                <w:color w:val="000000"/>
                <w:kern w:val="0"/>
                <w:sz w:val="22"/>
                <w:szCs w:val="22"/>
                <w14:ligatures w14:val="none"/>
              </w:rPr>
            </w:pPr>
            <w:r w:rsidRPr="0098551A">
              <w:rPr>
                <w:rFonts w:ascii="Calibri" w:eastAsia="Times New Roman" w:hAnsi="Calibri" w:cs="Calibri"/>
                <w:b/>
                <w:bCs/>
                <w:color w:val="000000"/>
                <w:kern w:val="0"/>
                <w:sz w:val="22"/>
                <w:szCs w:val="22"/>
                <w14:ligatures w14:val="none"/>
              </w:rPr>
              <w:t xml:space="preserve">12 </w:t>
            </w:r>
            <w:r w:rsidRPr="000152F6">
              <w:rPr>
                <w:rFonts w:ascii="Calibri" w:eastAsia="Times New Roman" w:hAnsi="Calibri" w:cs="Calibri"/>
                <w:b/>
                <w:bCs/>
                <w:color w:val="000000"/>
                <w:kern w:val="0"/>
                <w:sz w:val="22"/>
                <w:szCs w:val="22"/>
                <w14:ligatures w14:val="none"/>
              </w:rPr>
              <w:t>meses</w:t>
            </w:r>
          </w:p>
        </w:tc>
        <w:tc>
          <w:tcPr>
            <w:tcW w:w="820" w:type="dxa"/>
            <w:tcBorders>
              <w:top w:val="nil"/>
              <w:left w:val="nil"/>
              <w:bottom w:val="single" w:sz="4" w:space="0" w:color="auto"/>
              <w:right w:val="single" w:sz="4" w:space="0" w:color="auto"/>
            </w:tcBorders>
            <w:shd w:val="clear" w:color="auto" w:fill="E7E6E6" w:themeFill="background2"/>
            <w:vAlign w:val="center"/>
            <w:hideMark/>
          </w:tcPr>
          <w:p w14:paraId="41FB8E8F" w14:textId="77777777" w:rsidR="00680A2F" w:rsidRPr="0098551A" w:rsidRDefault="00680A2F" w:rsidP="00163004">
            <w:pPr>
              <w:spacing w:after="0" w:line="240" w:lineRule="auto"/>
              <w:jc w:val="center"/>
              <w:rPr>
                <w:rFonts w:ascii="Calibri" w:eastAsia="Times New Roman" w:hAnsi="Calibri" w:cs="Calibri"/>
                <w:b/>
                <w:bCs/>
                <w:color w:val="000000"/>
                <w:kern w:val="0"/>
                <w:sz w:val="22"/>
                <w:szCs w:val="22"/>
                <w14:ligatures w14:val="none"/>
              </w:rPr>
            </w:pPr>
            <w:r w:rsidRPr="0098551A">
              <w:rPr>
                <w:rFonts w:ascii="Calibri" w:eastAsia="Times New Roman" w:hAnsi="Calibri" w:cs="Calibri"/>
                <w:b/>
                <w:bCs/>
                <w:color w:val="000000"/>
                <w:kern w:val="0"/>
                <w:sz w:val="22"/>
                <w:szCs w:val="22"/>
                <w14:ligatures w14:val="none"/>
              </w:rPr>
              <w:t xml:space="preserve">24 </w:t>
            </w:r>
            <w:r w:rsidRPr="000152F6">
              <w:rPr>
                <w:rFonts w:ascii="Calibri" w:eastAsia="Times New Roman" w:hAnsi="Calibri" w:cs="Calibri"/>
                <w:b/>
                <w:bCs/>
                <w:color w:val="000000"/>
                <w:kern w:val="0"/>
                <w:sz w:val="22"/>
                <w:szCs w:val="22"/>
                <w14:ligatures w14:val="none"/>
              </w:rPr>
              <w:t>meses</w:t>
            </w:r>
          </w:p>
        </w:tc>
        <w:tc>
          <w:tcPr>
            <w:tcW w:w="920" w:type="dxa"/>
            <w:tcBorders>
              <w:top w:val="nil"/>
              <w:left w:val="nil"/>
              <w:bottom w:val="single" w:sz="4" w:space="0" w:color="auto"/>
              <w:right w:val="single" w:sz="4" w:space="0" w:color="auto"/>
            </w:tcBorders>
            <w:shd w:val="clear" w:color="auto" w:fill="E7E6E6" w:themeFill="background2"/>
            <w:vAlign w:val="center"/>
            <w:hideMark/>
          </w:tcPr>
          <w:p w14:paraId="6A98D252" w14:textId="77777777" w:rsidR="00680A2F" w:rsidRPr="0098551A" w:rsidRDefault="00680A2F" w:rsidP="00163004">
            <w:pPr>
              <w:spacing w:after="0" w:line="240" w:lineRule="auto"/>
              <w:jc w:val="center"/>
              <w:rPr>
                <w:rFonts w:ascii="Calibri" w:eastAsia="Times New Roman" w:hAnsi="Calibri" w:cs="Calibri"/>
                <w:b/>
                <w:bCs/>
                <w:color w:val="000000"/>
                <w:kern w:val="0"/>
                <w:sz w:val="22"/>
                <w:szCs w:val="22"/>
                <w14:ligatures w14:val="none"/>
              </w:rPr>
            </w:pPr>
            <w:r w:rsidRPr="0098551A">
              <w:rPr>
                <w:rFonts w:ascii="Calibri" w:eastAsia="Times New Roman" w:hAnsi="Calibri" w:cs="Calibri"/>
                <w:b/>
                <w:bCs/>
                <w:color w:val="000000"/>
                <w:kern w:val="0"/>
                <w:sz w:val="22"/>
                <w:szCs w:val="22"/>
                <w14:ligatures w14:val="none"/>
              </w:rPr>
              <w:t xml:space="preserve">36 </w:t>
            </w:r>
            <w:r w:rsidRPr="000152F6">
              <w:rPr>
                <w:rFonts w:ascii="Calibri" w:eastAsia="Times New Roman" w:hAnsi="Calibri" w:cs="Calibri"/>
                <w:b/>
                <w:bCs/>
                <w:color w:val="000000"/>
                <w:kern w:val="0"/>
                <w:sz w:val="22"/>
                <w:szCs w:val="22"/>
                <w14:ligatures w14:val="none"/>
              </w:rPr>
              <w:t>meses</w:t>
            </w:r>
          </w:p>
        </w:tc>
      </w:tr>
      <w:tr w:rsidR="00680A2F" w:rsidRPr="000152F6" w14:paraId="466338CA" w14:textId="77777777" w:rsidTr="00163004">
        <w:trPr>
          <w:trHeight w:val="288"/>
        </w:trPr>
        <w:tc>
          <w:tcPr>
            <w:tcW w:w="2740" w:type="dxa"/>
            <w:tcBorders>
              <w:top w:val="single" w:sz="4" w:space="0" w:color="auto"/>
              <w:left w:val="single" w:sz="4" w:space="0" w:color="auto"/>
              <w:bottom w:val="single" w:sz="4" w:space="0" w:color="auto"/>
              <w:right w:val="single" w:sz="4" w:space="0" w:color="auto"/>
            </w:tcBorders>
            <w:noWrap/>
            <w:vAlign w:val="bottom"/>
            <w:hideMark/>
          </w:tcPr>
          <w:p w14:paraId="67398934" w14:textId="77777777" w:rsidR="00680A2F" w:rsidRPr="0098551A" w:rsidRDefault="00680A2F" w:rsidP="00163004">
            <w:pPr>
              <w:spacing w:after="0" w:line="240" w:lineRule="auto"/>
              <w:rPr>
                <w:rFonts w:ascii="Calibri" w:eastAsia="Times New Roman" w:hAnsi="Calibri" w:cs="Calibri"/>
                <w:color w:val="000000"/>
                <w:kern w:val="0"/>
                <w:sz w:val="22"/>
                <w:szCs w:val="22"/>
                <w14:ligatures w14:val="none"/>
              </w:rPr>
            </w:pPr>
            <w:r>
              <w:rPr>
                <w:rFonts w:ascii="Calibri" w:hAnsi="Calibri" w:cs="Calibri"/>
                <w:color w:val="000000"/>
                <w:sz w:val="22"/>
                <w:szCs w:val="22"/>
              </w:rPr>
              <w:t>Base (referencia)</w:t>
            </w:r>
          </w:p>
        </w:tc>
        <w:tc>
          <w:tcPr>
            <w:tcW w:w="980" w:type="dxa"/>
            <w:tcBorders>
              <w:top w:val="single" w:sz="4" w:space="0" w:color="auto"/>
              <w:left w:val="single" w:sz="4" w:space="0" w:color="auto"/>
              <w:bottom w:val="single" w:sz="4" w:space="0" w:color="auto"/>
              <w:right w:val="single" w:sz="4" w:space="0" w:color="auto"/>
            </w:tcBorders>
            <w:noWrap/>
            <w:vAlign w:val="bottom"/>
            <w:hideMark/>
          </w:tcPr>
          <w:p w14:paraId="25517186" w14:textId="77777777" w:rsidR="00680A2F" w:rsidRPr="00680A2F" w:rsidRDefault="00680A2F" w:rsidP="00163004">
            <w:pPr>
              <w:spacing w:after="0" w:line="240" w:lineRule="auto"/>
              <w:jc w:val="center"/>
              <w:rPr>
                <w:rFonts w:ascii="Calibri" w:eastAsia="Times New Roman" w:hAnsi="Calibri" w:cs="Calibri"/>
                <w:color w:val="000000"/>
                <w:kern w:val="0"/>
                <w:sz w:val="22"/>
                <w:szCs w:val="22"/>
                <w:highlight w:val="yellow"/>
                <w14:ligatures w14:val="none"/>
              </w:rPr>
            </w:pPr>
            <w:r>
              <w:rPr>
                <w:rFonts w:ascii="Calibri" w:hAnsi="Calibri" w:cs="Calibri"/>
                <w:color w:val="000000"/>
                <w:sz w:val="22"/>
                <w:szCs w:val="22"/>
              </w:rPr>
              <w:t>1.3%</w:t>
            </w:r>
          </w:p>
        </w:tc>
        <w:tc>
          <w:tcPr>
            <w:tcW w:w="1040" w:type="dxa"/>
            <w:tcBorders>
              <w:top w:val="single" w:sz="4" w:space="0" w:color="auto"/>
              <w:left w:val="single" w:sz="4" w:space="0" w:color="auto"/>
              <w:bottom w:val="single" w:sz="4" w:space="0" w:color="auto"/>
              <w:right w:val="single" w:sz="4" w:space="0" w:color="auto"/>
            </w:tcBorders>
            <w:noWrap/>
            <w:vAlign w:val="bottom"/>
            <w:hideMark/>
          </w:tcPr>
          <w:p w14:paraId="407CEF28" w14:textId="77777777" w:rsidR="00680A2F" w:rsidRPr="0098551A" w:rsidRDefault="00680A2F" w:rsidP="00163004">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90%</w:t>
            </w:r>
          </w:p>
        </w:tc>
        <w:tc>
          <w:tcPr>
            <w:tcW w:w="1280" w:type="dxa"/>
            <w:tcBorders>
              <w:top w:val="single" w:sz="4" w:space="0" w:color="auto"/>
              <w:left w:val="single" w:sz="4" w:space="0" w:color="auto"/>
              <w:bottom w:val="single" w:sz="4" w:space="0" w:color="auto"/>
              <w:right w:val="single" w:sz="4" w:space="0" w:color="auto"/>
            </w:tcBorders>
            <w:noWrap/>
            <w:vAlign w:val="bottom"/>
            <w:hideMark/>
          </w:tcPr>
          <w:p w14:paraId="13EFA454" w14:textId="77777777" w:rsidR="00680A2F" w:rsidRPr="0098551A" w:rsidRDefault="00680A2F" w:rsidP="00163004">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0.0561</w:t>
            </w:r>
          </w:p>
        </w:tc>
        <w:tc>
          <w:tcPr>
            <w:tcW w:w="620" w:type="dxa"/>
            <w:tcBorders>
              <w:top w:val="single" w:sz="4" w:space="0" w:color="auto"/>
              <w:left w:val="single" w:sz="4" w:space="0" w:color="auto"/>
              <w:bottom w:val="single" w:sz="4" w:space="0" w:color="auto"/>
              <w:right w:val="single" w:sz="4" w:space="0" w:color="auto"/>
            </w:tcBorders>
            <w:noWrap/>
            <w:vAlign w:val="bottom"/>
            <w:hideMark/>
          </w:tcPr>
          <w:p w14:paraId="6B7FF956" w14:textId="77777777" w:rsidR="00680A2F" w:rsidRPr="0098551A" w:rsidRDefault="00680A2F" w:rsidP="00163004">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-0.5</w:t>
            </w:r>
          </w:p>
        </w:tc>
        <w:tc>
          <w:tcPr>
            <w:tcW w:w="792" w:type="dxa"/>
            <w:tcBorders>
              <w:top w:val="single" w:sz="4" w:space="0" w:color="auto"/>
              <w:left w:val="single" w:sz="4" w:space="0" w:color="auto"/>
              <w:bottom w:val="single" w:sz="4" w:space="0" w:color="auto"/>
              <w:right w:val="single" w:sz="4" w:space="0" w:color="auto"/>
            </w:tcBorders>
            <w:noWrap/>
            <w:vAlign w:val="bottom"/>
            <w:hideMark/>
          </w:tcPr>
          <w:p w14:paraId="278D5BBE" w14:textId="77777777" w:rsidR="00680A2F" w:rsidRPr="0098551A" w:rsidRDefault="00680A2F" w:rsidP="00163004">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45.6%</w:t>
            </w:r>
          </w:p>
        </w:tc>
        <w:tc>
          <w:tcPr>
            <w:tcW w:w="820" w:type="dxa"/>
            <w:tcBorders>
              <w:top w:val="single" w:sz="4" w:space="0" w:color="auto"/>
              <w:left w:val="single" w:sz="4" w:space="0" w:color="auto"/>
              <w:bottom w:val="single" w:sz="4" w:space="0" w:color="auto"/>
              <w:right w:val="single" w:sz="4" w:space="0" w:color="auto"/>
            </w:tcBorders>
            <w:noWrap/>
            <w:vAlign w:val="bottom"/>
            <w:hideMark/>
          </w:tcPr>
          <w:p w14:paraId="75055978" w14:textId="77777777" w:rsidR="00680A2F" w:rsidRPr="0098551A" w:rsidRDefault="00680A2F" w:rsidP="00163004">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67.8%</w:t>
            </w:r>
          </w:p>
        </w:tc>
        <w:tc>
          <w:tcPr>
            <w:tcW w:w="920" w:type="dxa"/>
            <w:tcBorders>
              <w:top w:val="single" w:sz="4" w:space="0" w:color="auto"/>
              <w:left w:val="single" w:sz="4" w:space="0" w:color="auto"/>
              <w:bottom w:val="single" w:sz="4" w:space="0" w:color="auto"/>
              <w:right w:val="single" w:sz="4" w:space="0" w:color="auto"/>
            </w:tcBorders>
            <w:noWrap/>
            <w:vAlign w:val="bottom"/>
            <w:hideMark/>
          </w:tcPr>
          <w:p w14:paraId="69463B70" w14:textId="77777777" w:rsidR="00680A2F" w:rsidRPr="0098551A" w:rsidRDefault="00680A2F" w:rsidP="00163004">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78.9%</w:t>
            </w:r>
          </w:p>
        </w:tc>
      </w:tr>
      <w:tr w:rsidR="00680A2F" w:rsidRPr="000152F6" w14:paraId="39D994B6" w14:textId="77777777" w:rsidTr="00163004">
        <w:trPr>
          <w:trHeight w:val="288"/>
        </w:trPr>
        <w:tc>
          <w:tcPr>
            <w:tcW w:w="2740" w:type="dxa"/>
            <w:tcBorders>
              <w:top w:val="single" w:sz="4" w:space="0" w:color="auto"/>
              <w:left w:val="single" w:sz="4" w:space="0" w:color="auto"/>
              <w:bottom w:val="single" w:sz="4" w:space="0" w:color="auto"/>
              <w:right w:val="single" w:sz="4" w:space="0" w:color="auto"/>
            </w:tcBorders>
            <w:noWrap/>
            <w:vAlign w:val="bottom"/>
            <w:hideMark/>
          </w:tcPr>
          <w:p w14:paraId="678675F2" w14:textId="77777777" w:rsidR="00680A2F" w:rsidRPr="0098551A" w:rsidRDefault="00680A2F" w:rsidP="00163004">
            <w:pPr>
              <w:spacing w:after="0" w:line="240" w:lineRule="auto"/>
              <w:rPr>
                <w:rFonts w:ascii="Calibri" w:eastAsia="Times New Roman" w:hAnsi="Calibri" w:cs="Calibri"/>
                <w:color w:val="000000"/>
                <w:kern w:val="0"/>
                <w:sz w:val="22"/>
                <w:szCs w:val="22"/>
                <w14:ligatures w14:val="none"/>
              </w:rPr>
            </w:pPr>
            <w:bookmarkStart w:id="0" w:name="_Hlk208739371"/>
            <w:r>
              <w:rPr>
                <w:rFonts w:ascii="Calibri" w:hAnsi="Calibri" w:cs="Calibri"/>
                <w:color w:val="000000"/>
                <w:sz w:val="22"/>
                <w:szCs w:val="22"/>
              </w:rPr>
              <w:t>Baja sustitución (σ↓)</w:t>
            </w:r>
          </w:p>
        </w:tc>
        <w:tc>
          <w:tcPr>
            <w:tcW w:w="980" w:type="dxa"/>
            <w:tcBorders>
              <w:top w:val="single" w:sz="4" w:space="0" w:color="auto"/>
              <w:left w:val="single" w:sz="4" w:space="0" w:color="auto"/>
              <w:bottom w:val="single" w:sz="4" w:space="0" w:color="auto"/>
              <w:right w:val="single" w:sz="4" w:space="0" w:color="auto"/>
            </w:tcBorders>
            <w:noWrap/>
            <w:vAlign w:val="bottom"/>
            <w:hideMark/>
          </w:tcPr>
          <w:p w14:paraId="2C67B994" w14:textId="77777777" w:rsidR="00680A2F" w:rsidRPr="00680A2F" w:rsidRDefault="00680A2F" w:rsidP="00163004">
            <w:pPr>
              <w:spacing w:after="0" w:line="240" w:lineRule="auto"/>
              <w:jc w:val="center"/>
              <w:rPr>
                <w:rFonts w:ascii="Calibri" w:eastAsia="Times New Roman" w:hAnsi="Calibri" w:cs="Calibri"/>
                <w:color w:val="000000"/>
                <w:kern w:val="0"/>
                <w:sz w:val="22"/>
                <w:szCs w:val="22"/>
                <w:highlight w:val="yellow"/>
                <w14:ligatures w14:val="none"/>
              </w:rPr>
            </w:pPr>
            <w:r>
              <w:rPr>
                <w:rFonts w:ascii="Calibri" w:hAnsi="Calibri" w:cs="Calibri"/>
                <w:color w:val="000000"/>
                <w:sz w:val="22"/>
                <w:szCs w:val="22"/>
              </w:rPr>
              <w:t>1.3%</w:t>
            </w:r>
          </w:p>
        </w:tc>
        <w:tc>
          <w:tcPr>
            <w:tcW w:w="1040" w:type="dxa"/>
            <w:tcBorders>
              <w:top w:val="single" w:sz="4" w:space="0" w:color="auto"/>
              <w:left w:val="single" w:sz="4" w:space="0" w:color="auto"/>
              <w:bottom w:val="single" w:sz="4" w:space="0" w:color="auto"/>
              <w:right w:val="single" w:sz="4" w:space="0" w:color="auto"/>
            </w:tcBorders>
            <w:noWrap/>
            <w:vAlign w:val="bottom"/>
            <w:hideMark/>
          </w:tcPr>
          <w:p w14:paraId="2247357D" w14:textId="77777777" w:rsidR="00680A2F" w:rsidRPr="0098551A" w:rsidRDefault="00680A2F" w:rsidP="00163004">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85%</w:t>
            </w:r>
          </w:p>
        </w:tc>
        <w:tc>
          <w:tcPr>
            <w:tcW w:w="1280" w:type="dxa"/>
            <w:tcBorders>
              <w:top w:val="single" w:sz="4" w:space="0" w:color="auto"/>
              <w:left w:val="single" w:sz="4" w:space="0" w:color="auto"/>
              <w:bottom w:val="single" w:sz="4" w:space="0" w:color="auto"/>
              <w:right w:val="single" w:sz="4" w:space="0" w:color="auto"/>
            </w:tcBorders>
            <w:noWrap/>
            <w:vAlign w:val="bottom"/>
            <w:hideMark/>
          </w:tcPr>
          <w:p w14:paraId="20DBC445" w14:textId="77777777" w:rsidR="00680A2F" w:rsidRPr="0098551A" w:rsidRDefault="00680A2F" w:rsidP="00163004">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0.0293</w:t>
            </w:r>
          </w:p>
        </w:tc>
        <w:tc>
          <w:tcPr>
            <w:tcW w:w="620" w:type="dxa"/>
            <w:tcBorders>
              <w:top w:val="single" w:sz="4" w:space="0" w:color="auto"/>
              <w:left w:val="single" w:sz="4" w:space="0" w:color="auto"/>
              <w:bottom w:val="single" w:sz="4" w:space="0" w:color="auto"/>
              <w:right w:val="single" w:sz="4" w:space="0" w:color="auto"/>
            </w:tcBorders>
            <w:noWrap/>
            <w:vAlign w:val="bottom"/>
            <w:hideMark/>
          </w:tcPr>
          <w:p w14:paraId="2A0545F6" w14:textId="77777777" w:rsidR="00680A2F" w:rsidRPr="0098551A" w:rsidRDefault="00680A2F" w:rsidP="00163004">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-0.5</w:t>
            </w:r>
          </w:p>
        </w:tc>
        <w:tc>
          <w:tcPr>
            <w:tcW w:w="792" w:type="dxa"/>
            <w:tcBorders>
              <w:top w:val="single" w:sz="4" w:space="0" w:color="auto"/>
              <w:left w:val="single" w:sz="4" w:space="0" w:color="auto"/>
              <w:bottom w:val="single" w:sz="4" w:space="0" w:color="auto"/>
              <w:right w:val="single" w:sz="4" w:space="0" w:color="auto"/>
            </w:tcBorders>
            <w:noWrap/>
            <w:vAlign w:val="bottom"/>
            <w:hideMark/>
          </w:tcPr>
          <w:p w14:paraId="2759BF5E" w14:textId="77777777" w:rsidR="00680A2F" w:rsidRPr="0098551A" w:rsidRDefault="00680A2F" w:rsidP="00163004">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26.4%</w:t>
            </w:r>
          </w:p>
        </w:tc>
        <w:tc>
          <w:tcPr>
            <w:tcW w:w="820" w:type="dxa"/>
            <w:tcBorders>
              <w:top w:val="single" w:sz="4" w:space="0" w:color="auto"/>
              <w:left w:val="single" w:sz="4" w:space="0" w:color="auto"/>
              <w:bottom w:val="single" w:sz="4" w:space="0" w:color="auto"/>
              <w:right w:val="single" w:sz="4" w:space="0" w:color="auto"/>
            </w:tcBorders>
            <w:noWrap/>
            <w:vAlign w:val="bottom"/>
            <w:hideMark/>
          </w:tcPr>
          <w:p w14:paraId="390F3A30" w14:textId="77777777" w:rsidR="00680A2F" w:rsidRPr="0098551A" w:rsidRDefault="00680A2F" w:rsidP="00163004">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44.0%</w:t>
            </w:r>
          </w:p>
        </w:tc>
        <w:tc>
          <w:tcPr>
            <w:tcW w:w="920" w:type="dxa"/>
            <w:tcBorders>
              <w:top w:val="single" w:sz="4" w:space="0" w:color="auto"/>
              <w:left w:val="single" w:sz="4" w:space="0" w:color="auto"/>
              <w:bottom w:val="single" w:sz="4" w:space="0" w:color="auto"/>
              <w:right w:val="single" w:sz="4" w:space="0" w:color="auto"/>
            </w:tcBorders>
            <w:noWrap/>
            <w:vAlign w:val="bottom"/>
            <w:hideMark/>
          </w:tcPr>
          <w:p w14:paraId="18381064" w14:textId="77777777" w:rsidR="00680A2F" w:rsidRPr="0098551A" w:rsidRDefault="00680A2F" w:rsidP="00163004">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56.3%</w:t>
            </w:r>
          </w:p>
        </w:tc>
      </w:tr>
      <w:bookmarkEnd w:id="0"/>
      <w:tr w:rsidR="00680A2F" w:rsidRPr="000152F6" w14:paraId="695B93A3" w14:textId="77777777" w:rsidTr="00163004">
        <w:trPr>
          <w:trHeight w:val="288"/>
        </w:trPr>
        <w:tc>
          <w:tcPr>
            <w:tcW w:w="2740" w:type="dxa"/>
            <w:tcBorders>
              <w:top w:val="single" w:sz="4" w:space="0" w:color="auto"/>
              <w:left w:val="single" w:sz="4" w:space="0" w:color="auto"/>
              <w:bottom w:val="single" w:sz="4" w:space="0" w:color="auto"/>
              <w:right w:val="single" w:sz="4" w:space="0" w:color="auto"/>
            </w:tcBorders>
            <w:noWrap/>
            <w:vAlign w:val="bottom"/>
            <w:hideMark/>
          </w:tcPr>
          <w:p w14:paraId="6B2ACF6C" w14:textId="77777777" w:rsidR="00680A2F" w:rsidRPr="0098551A" w:rsidRDefault="00680A2F" w:rsidP="00163004">
            <w:pPr>
              <w:spacing w:after="0" w:line="240" w:lineRule="auto"/>
              <w:rPr>
                <w:rFonts w:ascii="Calibri" w:eastAsia="Times New Roman" w:hAnsi="Calibri" w:cs="Calibri"/>
                <w:color w:val="000000"/>
                <w:kern w:val="0"/>
                <w:sz w:val="22"/>
                <w:szCs w:val="22"/>
                <w14:ligatures w14:val="none"/>
              </w:rPr>
            </w:pPr>
            <w:r>
              <w:rPr>
                <w:rFonts w:ascii="Calibri" w:hAnsi="Calibri" w:cs="Calibri"/>
                <w:color w:val="000000"/>
                <w:sz w:val="22"/>
                <w:szCs w:val="22"/>
              </w:rPr>
              <w:t>Alta sustitución (σ↑)</w:t>
            </w:r>
          </w:p>
        </w:tc>
        <w:tc>
          <w:tcPr>
            <w:tcW w:w="980" w:type="dxa"/>
            <w:tcBorders>
              <w:top w:val="single" w:sz="4" w:space="0" w:color="auto"/>
              <w:left w:val="single" w:sz="4" w:space="0" w:color="auto"/>
              <w:bottom w:val="single" w:sz="4" w:space="0" w:color="auto"/>
              <w:right w:val="single" w:sz="4" w:space="0" w:color="auto"/>
            </w:tcBorders>
            <w:noWrap/>
            <w:vAlign w:val="bottom"/>
            <w:hideMark/>
          </w:tcPr>
          <w:p w14:paraId="6464631C" w14:textId="77777777" w:rsidR="00680A2F" w:rsidRPr="00680A2F" w:rsidRDefault="00680A2F" w:rsidP="00163004">
            <w:pPr>
              <w:spacing w:after="0" w:line="240" w:lineRule="auto"/>
              <w:jc w:val="center"/>
              <w:rPr>
                <w:rFonts w:ascii="Calibri" w:eastAsia="Times New Roman" w:hAnsi="Calibri" w:cs="Calibri"/>
                <w:color w:val="000000"/>
                <w:kern w:val="0"/>
                <w:sz w:val="22"/>
                <w:szCs w:val="22"/>
                <w:highlight w:val="yellow"/>
                <w14:ligatures w14:val="none"/>
              </w:rPr>
            </w:pPr>
            <w:r>
              <w:rPr>
                <w:rFonts w:ascii="Calibri" w:hAnsi="Calibri" w:cs="Calibri"/>
                <w:color w:val="000000"/>
                <w:sz w:val="22"/>
                <w:szCs w:val="22"/>
              </w:rPr>
              <w:t>1.3%</w:t>
            </w:r>
          </w:p>
        </w:tc>
        <w:tc>
          <w:tcPr>
            <w:tcW w:w="1040" w:type="dxa"/>
            <w:tcBorders>
              <w:top w:val="single" w:sz="4" w:space="0" w:color="auto"/>
              <w:left w:val="single" w:sz="4" w:space="0" w:color="auto"/>
              <w:bottom w:val="single" w:sz="4" w:space="0" w:color="auto"/>
              <w:right w:val="single" w:sz="4" w:space="0" w:color="auto"/>
            </w:tcBorders>
            <w:noWrap/>
            <w:vAlign w:val="bottom"/>
            <w:hideMark/>
          </w:tcPr>
          <w:p w14:paraId="7A3B1331" w14:textId="77777777" w:rsidR="00680A2F" w:rsidRPr="0098551A" w:rsidRDefault="00680A2F" w:rsidP="00163004">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100%</w:t>
            </w:r>
          </w:p>
        </w:tc>
        <w:tc>
          <w:tcPr>
            <w:tcW w:w="1280" w:type="dxa"/>
            <w:tcBorders>
              <w:top w:val="single" w:sz="4" w:space="0" w:color="auto"/>
              <w:left w:val="single" w:sz="4" w:space="0" w:color="auto"/>
              <w:bottom w:val="single" w:sz="4" w:space="0" w:color="auto"/>
              <w:right w:val="single" w:sz="4" w:space="0" w:color="auto"/>
            </w:tcBorders>
            <w:noWrap/>
            <w:vAlign w:val="bottom"/>
            <w:hideMark/>
          </w:tcPr>
          <w:p w14:paraId="475C3FD4" w14:textId="77777777" w:rsidR="00680A2F" w:rsidRPr="0098551A" w:rsidRDefault="00680A2F" w:rsidP="00163004">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0.1255</w:t>
            </w:r>
          </w:p>
        </w:tc>
        <w:tc>
          <w:tcPr>
            <w:tcW w:w="620" w:type="dxa"/>
            <w:tcBorders>
              <w:top w:val="single" w:sz="4" w:space="0" w:color="auto"/>
              <w:left w:val="single" w:sz="4" w:space="0" w:color="auto"/>
              <w:bottom w:val="single" w:sz="4" w:space="0" w:color="auto"/>
              <w:right w:val="single" w:sz="4" w:space="0" w:color="auto"/>
            </w:tcBorders>
            <w:noWrap/>
            <w:vAlign w:val="bottom"/>
            <w:hideMark/>
          </w:tcPr>
          <w:p w14:paraId="390979C3" w14:textId="77777777" w:rsidR="00680A2F" w:rsidRPr="0098551A" w:rsidRDefault="00680A2F" w:rsidP="00163004">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-0.5</w:t>
            </w:r>
          </w:p>
        </w:tc>
        <w:tc>
          <w:tcPr>
            <w:tcW w:w="792" w:type="dxa"/>
            <w:tcBorders>
              <w:top w:val="single" w:sz="4" w:space="0" w:color="auto"/>
              <w:left w:val="single" w:sz="4" w:space="0" w:color="auto"/>
              <w:bottom w:val="single" w:sz="4" w:space="0" w:color="auto"/>
              <w:right w:val="single" w:sz="4" w:space="0" w:color="auto"/>
            </w:tcBorders>
            <w:noWrap/>
            <w:vAlign w:val="bottom"/>
            <w:hideMark/>
          </w:tcPr>
          <w:p w14:paraId="3B910E33" w14:textId="77777777" w:rsidR="00680A2F" w:rsidRPr="0098551A" w:rsidRDefault="00680A2F" w:rsidP="00163004">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80.3%</w:t>
            </w:r>
          </w:p>
        </w:tc>
        <w:tc>
          <w:tcPr>
            <w:tcW w:w="820" w:type="dxa"/>
            <w:tcBorders>
              <w:top w:val="single" w:sz="4" w:space="0" w:color="auto"/>
              <w:left w:val="single" w:sz="4" w:space="0" w:color="auto"/>
              <w:bottom w:val="single" w:sz="4" w:space="0" w:color="auto"/>
              <w:right w:val="single" w:sz="4" w:space="0" w:color="auto"/>
            </w:tcBorders>
            <w:noWrap/>
            <w:vAlign w:val="bottom"/>
            <w:hideMark/>
          </w:tcPr>
          <w:p w14:paraId="46DA84A2" w14:textId="77777777" w:rsidR="00680A2F" w:rsidRPr="0098551A" w:rsidRDefault="00680A2F" w:rsidP="00163004">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96.1%</w:t>
            </w:r>
          </w:p>
        </w:tc>
        <w:tc>
          <w:tcPr>
            <w:tcW w:w="920" w:type="dxa"/>
            <w:tcBorders>
              <w:top w:val="single" w:sz="4" w:space="0" w:color="auto"/>
              <w:left w:val="single" w:sz="4" w:space="0" w:color="auto"/>
              <w:bottom w:val="single" w:sz="4" w:space="0" w:color="auto"/>
              <w:right w:val="single" w:sz="4" w:space="0" w:color="auto"/>
            </w:tcBorders>
            <w:noWrap/>
            <w:vAlign w:val="bottom"/>
            <w:hideMark/>
          </w:tcPr>
          <w:p w14:paraId="481F06FB" w14:textId="77777777" w:rsidR="00680A2F" w:rsidRPr="0098551A" w:rsidRDefault="00680A2F" w:rsidP="00163004">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99.2%</w:t>
            </w:r>
          </w:p>
        </w:tc>
      </w:tr>
      <w:tr w:rsidR="00680A2F" w:rsidRPr="000152F6" w14:paraId="377EEA77" w14:textId="77777777" w:rsidTr="00163004">
        <w:trPr>
          <w:trHeight w:val="288"/>
        </w:trPr>
        <w:tc>
          <w:tcPr>
            <w:tcW w:w="2740" w:type="dxa"/>
            <w:tcBorders>
              <w:top w:val="single" w:sz="4" w:space="0" w:color="auto"/>
              <w:left w:val="single" w:sz="4" w:space="0" w:color="auto"/>
              <w:bottom w:val="single" w:sz="4" w:space="0" w:color="auto"/>
              <w:right w:val="single" w:sz="4" w:space="0" w:color="auto"/>
            </w:tcBorders>
            <w:noWrap/>
            <w:vAlign w:val="bottom"/>
            <w:hideMark/>
          </w:tcPr>
          <w:p w14:paraId="793BC6DA" w14:textId="77777777" w:rsidR="00680A2F" w:rsidRPr="0098551A" w:rsidRDefault="00680A2F" w:rsidP="00163004">
            <w:pPr>
              <w:spacing w:after="0" w:line="240" w:lineRule="auto"/>
              <w:rPr>
                <w:rFonts w:ascii="Calibri" w:eastAsia="Times New Roman" w:hAnsi="Calibri" w:cs="Calibri"/>
                <w:color w:val="000000"/>
                <w:kern w:val="0"/>
                <w:sz w:val="22"/>
                <w:szCs w:val="22"/>
                <w14:ligatures w14:val="none"/>
              </w:rPr>
            </w:pPr>
            <w:r>
              <w:rPr>
                <w:rFonts w:ascii="Calibri" w:hAnsi="Calibri" w:cs="Calibri"/>
                <w:color w:val="000000"/>
                <w:sz w:val="22"/>
                <w:szCs w:val="22"/>
              </w:rPr>
              <w:t>Demanda muy inelástica (ε↓)</w:t>
            </w:r>
          </w:p>
        </w:tc>
        <w:tc>
          <w:tcPr>
            <w:tcW w:w="980" w:type="dxa"/>
            <w:tcBorders>
              <w:top w:val="single" w:sz="4" w:space="0" w:color="auto"/>
              <w:left w:val="single" w:sz="4" w:space="0" w:color="auto"/>
              <w:bottom w:val="single" w:sz="4" w:space="0" w:color="auto"/>
              <w:right w:val="single" w:sz="4" w:space="0" w:color="auto"/>
            </w:tcBorders>
            <w:noWrap/>
            <w:vAlign w:val="bottom"/>
            <w:hideMark/>
          </w:tcPr>
          <w:p w14:paraId="054895F4" w14:textId="77777777" w:rsidR="00680A2F" w:rsidRPr="00680A2F" w:rsidRDefault="00680A2F" w:rsidP="00163004">
            <w:pPr>
              <w:spacing w:after="0" w:line="240" w:lineRule="auto"/>
              <w:jc w:val="center"/>
              <w:rPr>
                <w:rFonts w:ascii="Calibri" w:eastAsia="Times New Roman" w:hAnsi="Calibri" w:cs="Calibri"/>
                <w:color w:val="000000"/>
                <w:kern w:val="0"/>
                <w:sz w:val="22"/>
                <w:szCs w:val="22"/>
                <w:highlight w:val="yellow"/>
                <w14:ligatures w14:val="none"/>
              </w:rPr>
            </w:pPr>
            <w:r>
              <w:rPr>
                <w:rFonts w:ascii="Calibri" w:hAnsi="Calibri" w:cs="Calibri"/>
                <w:color w:val="000000"/>
                <w:sz w:val="22"/>
                <w:szCs w:val="22"/>
              </w:rPr>
              <w:t>1.3%</w:t>
            </w:r>
          </w:p>
        </w:tc>
        <w:tc>
          <w:tcPr>
            <w:tcW w:w="1040" w:type="dxa"/>
            <w:tcBorders>
              <w:top w:val="single" w:sz="4" w:space="0" w:color="auto"/>
              <w:left w:val="single" w:sz="4" w:space="0" w:color="auto"/>
              <w:bottom w:val="single" w:sz="4" w:space="0" w:color="auto"/>
              <w:right w:val="single" w:sz="4" w:space="0" w:color="auto"/>
            </w:tcBorders>
            <w:noWrap/>
            <w:vAlign w:val="bottom"/>
            <w:hideMark/>
          </w:tcPr>
          <w:p w14:paraId="4CAD75C0" w14:textId="77777777" w:rsidR="00680A2F" w:rsidRPr="0098551A" w:rsidRDefault="00680A2F" w:rsidP="00163004">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95%</w:t>
            </w:r>
          </w:p>
        </w:tc>
        <w:tc>
          <w:tcPr>
            <w:tcW w:w="1280" w:type="dxa"/>
            <w:tcBorders>
              <w:top w:val="single" w:sz="4" w:space="0" w:color="auto"/>
              <w:left w:val="single" w:sz="4" w:space="0" w:color="auto"/>
              <w:bottom w:val="single" w:sz="4" w:space="0" w:color="auto"/>
              <w:right w:val="single" w:sz="4" w:space="0" w:color="auto"/>
            </w:tcBorders>
            <w:noWrap/>
            <w:vAlign w:val="bottom"/>
            <w:hideMark/>
          </w:tcPr>
          <w:p w14:paraId="358B24DC" w14:textId="77777777" w:rsidR="00680A2F" w:rsidRPr="0098551A" w:rsidRDefault="00680A2F" w:rsidP="00163004">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0.0561</w:t>
            </w:r>
          </w:p>
        </w:tc>
        <w:tc>
          <w:tcPr>
            <w:tcW w:w="620" w:type="dxa"/>
            <w:tcBorders>
              <w:top w:val="single" w:sz="4" w:space="0" w:color="auto"/>
              <w:left w:val="single" w:sz="4" w:space="0" w:color="auto"/>
              <w:bottom w:val="single" w:sz="4" w:space="0" w:color="auto"/>
              <w:right w:val="single" w:sz="4" w:space="0" w:color="auto"/>
            </w:tcBorders>
            <w:noWrap/>
            <w:vAlign w:val="bottom"/>
            <w:hideMark/>
          </w:tcPr>
          <w:p w14:paraId="3611EB28" w14:textId="77777777" w:rsidR="00680A2F" w:rsidRPr="0098551A" w:rsidRDefault="00680A2F" w:rsidP="00163004">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-0.2</w:t>
            </w:r>
          </w:p>
        </w:tc>
        <w:tc>
          <w:tcPr>
            <w:tcW w:w="792" w:type="dxa"/>
            <w:tcBorders>
              <w:top w:val="single" w:sz="4" w:space="0" w:color="auto"/>
              <w:left w:val="single" w:sz="4" w:space="0" w:color="auto"/>
              <w:bottom w:val="single" w:sz="4" w:space="0" w:color="auto"/>
              <w:right w:val="single" w:sz="4" w:space="0" w:color="auto"/>
            </w:tcBorders>
            <w:noWrap/>
            <w:vAlign w:val="bottom"/>
            <w:hideMark/>
          </w:tcPr>
          <w:p w14:paraId="68773233" w14:textId="77777777" w:rsidR="00680A2F" w:rsidRPr="0098551A" w:rsidRDefault="00680A2F" w:rsidP="00163004">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48.1%</w:t>
            </w:r>
          </w:p>
        </w:tc>
        <w:tc>
          <w:tcPr>
            <w:tcW w:w="820" w:type="dxa"/>
            <w:tcBorders>
              <w:top w:val="single" w:sz="4" w:space="0" w:color="auto"/>
              <w:left w:val="single" w:sz="4" w:space="0" w:color="auto"/>
              <w:bottom w:val="single" w:sz="4" w:space="0" w:color="auto"/>
              <w:right w:val="single" w:sz="4" w:space="0" w:color="auto"/>
            </w:tcBorders>
            <w:noWrap/>
            <w:vAlign w:val="bottom"/>
            <w:hideMark/>
          </w:tcPr>
          <w:p w14:paraId="3FCDB21B" w14:textId="77777777" w:rsidR="00680A2F" w:rsidRPr="0098551A" w:rsidRDefault="00680A2F" w:rsidP="00163004">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71.6%</w:t>
            </w:r>
          </w:p>
        </w:tc>
        <w:tc>
          <w:tcPr>
            <w:tcW w:w="920" w:type="dxa"/>
            <w:tcBorders>
              <w:top w:val="single" w:sz="4" w:space="0" w:color="auto"/>
              <w:left w:val="single" w:sz="4" w:space="0" w:color="auto"/>
              <w:bottom w:val="single" w:sz="4" w:space="0" w:color="auto"/>
              <w:right w:val="single" w:sz="4" w:space="0" w:color="auto"/>
            </w:tcBorders>
            <w:noWrap/>
            <w:vAlign w:val="bottom"/>
            <w:hideMark/>
          </w:tcPr>
          <w:p w14:paraId="51369F02" w14:textId="77777777" w:rsidR="00680A2F" w:rsidRPr="0098551A" w:rsidRDefault="00680A2F" w:rsidP="00163004">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83.3%</w:t>
            </w:r>
          </w:p>
        </w:tc>
      </w:tr>
      <w:tr w:rsidR="00680A2F" w:rsidRPr="000152F6" w14:paraId="4F0D0E2E" w14:textId="77777777" w:rsidTr="00163004">
        <w:trPr>
          <w:trHeight w:val="288"/>
        </w:trPr>
        <w:tc>
          <w:tcPr>
            <w:tcW w:w="2740" w:type="dxa"/>
            <w:tcBorders>
              <w:top w:val="single" w:sz="4" w:space="0" w:color="auto"/>
              <w:left w:val="single" w:sz="4" w:space="0" w:color="auto"/>
              <w:bottom w:val="single" w:sz="4" w:space="0" w:color="auto"/>
              <w:right w:val="single" w:sz="4" w:space="0" w:color="auto"/>
            </w:tcBorders>
            <w:noWrap/>
            <w:vAlign w:val="bottom"/>
            <w:hideMark/>
          </w:tcPr>
          <w:p w14:paraId="1AF5AFCC" w14:textId="77777777" w:rsidR="00680A2F" w:rsidRPr="0098551A" w:rsidRDefault="00680A2F" w:rsidP="00163004">
            <w:pPr>
              <w:spacing w:after="0" w:line="240" w:lineRule="auto"/>
              <w:rPr>
                <w:rFonts w:ascii="Calibri" w:eastAsia="Times New Roman" w:hAnsi="Calibri" w:cs="Calibri"/>
                <w:color w:val="000000"/>
                <w:kern w:val="0"/>
                <w:sz w:val="22"/>
                <w:szCs w:val="22"/>
                <w14:ligatures w14:val="none"/>
              </w:rPr>
            </w:pPr>
            <w:r>
              <w:rPr>
                <w:rFonts w:ascii="Calibri" w:hAnsi="Calibri" w:cs="Calibri"/>
                <w:color w:val="000000"/>
                <w:sz w:val="22"/>
                <w:szCs w:val="22"/>
              </w:rPr>
              <w:t>Demanda elástica (ε↑)</w:t>
            </w:r>
          </w:p>
        </w:tc>
        <w:tc>
          <w:tcPr>
            <w:tcW w:w="980" w:type="dxa"/>
            <w:tcBorders>
              <w:top w:val="single" w:sz="4" w:space="0" w:color="auto"/>
              <w:left w:val="single" w:sz="4" w:space="0" w:color="auto"/>
              <w:bottom w:val="single" w:sz="4" w:space="0" w:color="auto"/>
              <w:right w:val="single" w:sz="4" w:space="0" w:color="auto"/>
            </w:tcBorders>
            <w:noWrap/>
            <w:vAlign w:val="bottom"/>
            <w:hideMark/>
          </w:tcPr>
          <w:p w14:paraId="5E65F368" w14:textId="77777777" w:rsidR="00680A2F" w:rsidRPr="00680A2F" w:rsidRDefault="00680A2F" w:rsidP="00163004">
            <w:pPr>
              <w:spacing w:after="0" w:line="240" w:lineRule="auto"/>
              <w:jc w:val="center"/>
              <w:rPr>
                <w:rFonts w:ascii="Calibri" w:eastAsia="Times New Roman" w:hAnsi="Calibri" w:cs="Calibri"/>
                <w:color w:val="000000"/>
                <w:kern w:val="0"/>
                <w:sz w:val="22"/>
                <w:szCs w:val="22"/>
                <w:highlight w:val="yellow"/>
                <w14:ligatures w14:val="none"/>
              </w:rPr>
            </w:pPr>
            <w:r>
              <w:rPr>
                <w:rFonts w:ascii="Calibri" w:hAnsi="Calibri" w:cs="Calibri"/>
                <w:color w:val="000000"/>
                <w:sz w:val="22"/>
                <w:szCs w:val="22"/>
              </w:rPr>
              <w:t>1.3%</w:t>
            </w:r>
          </w:p>
        </w:tc>
        <w:tc>
          <w:tcPr>
            <w:tcW w:w="1040" w:type="dxa"/>
            <w:tcBorders>
              <w:top w:val="single" w:sz="4" w:space="0" w:color="auto"/>
              <w:left w:val="single" w:sz="4" w:space="0" w:color="auto"/>
              <w:bottom w:val="single" w:sz="4" w:space="0" w:color="auto"/>
              <w:right w:val="single" w:sz="4" w:space="0" w:color="auto"/>
            </w:tcBorders>
            <w:noWrap/>
            <w:vAlign w:val="bottom"/>
            <w:hideMark/>
          </w:tcPr>
          <w:p w14:paraId="0837D5DE" w14:textId="77777777" w:rsidR="00680A2F" w:rsidRPr="0098551A" w:rsidRDefault="00680A2F" w:rsidP="00163004">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85%</w:t>
            </w:r>
          </w:p>
        </w:tc>
        <w:tc>
          <w:tcPr>
            <w:tcW w:w="1280" w:type="dxa"/>
            <w:tcBorders>
              <w:top w:val="single" w:sz="4" w:space="0" w:color="auto"/>
              <w:left w:val="single" w:sz="4" w:space="0" w:color="auto"/>
              <w:bottom w:val="single" w:sz="4" w:space="0" w:color="auto"/>
              <w:right w:val="single" w:sz="4" w:space="0" w:color="auto"/>
            </w:tcBorders>
            <w:noWrap/>
            <w:vAlign w:val="bottom"/>
            <w:hideMark/>
          </w:tcPr>
          <w:p w14:paraId="61146D81" w14:textId="77777777" w:rsidR="00680A2F" w:rsidRPr="0098551A" w:rsidRDefault="00680A2F" w:rsidP="00163004">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0.0561</w:t>
            </w:r>
          </w:p>
        </w:tc>
        <w:tc>
          <w:tcPr>
            <w:tcW w:w="620" w:type="dxa"/>
            <w:tcBorders>
              <w:top w:val="single" w:sz="4" w:space="0" w:color="auto"/>
              <w:left w:val="single" w:sz="4" w:space="0" w:color="auto"/>
              <w:bottom w:val="single" w:sz="4" w:space="0" w:color="auto"/>
              <w:right w:val="single" w:sz="4" w:space="0" w:color="auto"/>
            </w:tcBorders>
            <w:noWrap/>
            <w:vAlign w:val="bottom"/>
            <w:hideMark/>
          </w:tcPr>
          <w:p w14:paraId="67B9CF1E" w14:textId="77777777" w:rsidR="00680A2F" w:rsidRPr="0098551A" w:rsidRDefault="00680A2F" w:rsidP="00163004">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-1</w:t>
            </w:r>
          </w:p>
        </w:tc>
        <w:tc>
          <w:tcPr>
            <w:tcW w:w="792" w:type="dxa"/>
            <w:tcBorders>
              <w:top w:val="single" w:sz="4" w:space="0" w:color="auto"/>
              <w:left w:val="single" w:sz="4" w:space="0" w:color="auto"/>
              <w:bottom w:val="single" w:sz="4" w:space="0" w:color="auto"/>
              <w:right w:val="single" w:sz="4" w:space="0" w:color="auto"/>
            </w:tcBorders>
            <w:noWrap/>
            <w:vAlign w:val="bottom"/>
            <w:hideMark/>
          </w:tcPr>
          <w:p w14:paraId="5E4BA942" w14:textId="77777777" w:rsidR="00680A2F" w:rsidRPr="0098551A" w:rsidRDefault="00680A2F" w:rsidP="00163004">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43.1%</w:t>
            </w:r>
          </w:p>
        </w:tc>
        <w:tc>
          <w:tcPr>
            <w:tcW w:w="820" w:type="dxa"/>
            <w:tcBorders>
              <w:top w:val="single" w:sz="4" w:space="0" w:color="auto"/>
              <w:left w:val="single" w:sz="4" w:space="0" w:color="auto"/>
              <w:bottom w:val="single" w:sz="4" w:space="0" w:color="auto"/>
              <w:right w:val="single" w:sz="4" w:space="0" w:color="auto"/>
            </w:tcBorders>
            <w:noWrap/>
            <w:vAlign w:val="bottom"/>
            <w:hideMark/>
          </w:tcPr>
          <w:p w14:paraId="17A93061" w14:textId="77777777" w:rsidR="00680A2F" w:rsidRPr="0098551A" w:rsidRDefault="00680A2F" w:rsidP="00163004">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64.1%</w:t>
            </w:r>
          </w:p>
        </w:tc>
        <w:tc>
          <w:tcPr>
            <w:tcW w:w="920" w:type="dxa"/>
            <w:tcBorders>
              <w:top w:val="single" w:sz="4" w:space="0" w:color="auto"/>
              <w:left w:val="single" w:sz="4" w:space="0" w:color="auto"/>
              <w:bottom w:val="single" w:sz="4" w:space="0" w:color="auto"/>
              <w:right w:val="single" w:sz="4" w:space="0" w:color="auto"/>
            </w:tcBorders>
            <w:noWrap/>
            <w:vAlign w:val="bottom"/>
            <w:hideMark/>
          </w:tcPr>
          <w:p w14:paraId="50B1C630" w14:textId="77777777" w:rsidR="00680A2F" w:rsidRPr="0098551A" w:rsidRDefault="00680A2F" w:rsidP="00163004">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74.5%</w:t>
            </w:r>
          </w:p>
        </w:tc>
      </w:tr>
    </w:tbl>
    <w:p w14:paraId="74EDE6BA" w14:textId="4F2EF3DE" w:rsidR="0096082F" w:rsidRDefault="0096082F" w:rsidP="008C4DD1"/>
    <w:p w14:paraId="574E7AB1" w14:textId="77777777" w:rsidR="0096082F" w:rsidRDefault="0096082F">
      <w:r>
        <w:br w:type="page"/>
      </w:r>
    </w:p>
    <w:p w14:paraId="7F31E843" w14:textId="031CC355" w:rsidR="003B3C15" w:rsidRPr="000152F6" w:rsidRDefault="003B3C15" w:rsidP="00C7306D">
      <w:pPr>
        <w:pStyle w:val="Heading1"/>
        <w:numPr>
          <w:ilvl w:val="0"/>
          <w:numId w:val="8"/>
        </w:numPr>
      </w:pPr>
      <w:r w:rsidRPr="000152F6">
        <w:lastRenderedPageBreak/>
        <w:t>Introducción y Contexto</w:t>
      </w:r>
    </w:p>
    <w:p w14:paraId="6DF365CE" w14:textId="4D690326" w:rsidR="003B3C15" w:rsidRPr="003B3C15" w:rsidRDefault="003B3C15" w:rsidP="003B3C15">
      <w:r w:rsidRPr="003B3C15">
        <w:t xml:space="preserve">El presente informe analiza la </w:t>
      </w:r>
      <w:r w:rsidRPr="003B3C15">
        <w:rPr>
          <w:b/>
          <w:bCs/>
        </w:rPr>
        <w:t>capacidad de Turquía para absorber el mercado dominicano de varillas de acero corrugado</w:t>
      </w:r>
      <w:r w:rsidRPr="003B3C15">
        <w:t>, apoyándose en teoría económica y datos recientes. La motivación es evaluar qué ocurriría si la varilla turca compite libremente (sin barreras antidumping) en República Dominicana</w:t>
      </w:r>
      <w:r w:rsidR="00397134" w:rsidRPr="000152F6">
        <w:t>.</w:t>
      </w:r>
    </w:p>
    <w:p w14:paraId="0A8D1806" w14:textId="77777777" w:rsidR="00C7306D" w:rsidRPr="000152F6" w:rsidRDefault="003B3C15" w:rsidP="003B3C15">
      <w:r w:rsidRPr="003B3C15">
        <w:t xml:space="preserve">Se busca responder a la pregunta central: </w:t>
      </w:r>
      <w:r w:rsidRPr="003B3C15">
        <w:rPr>
          <w:b/>
          <w:bCs/>
        </w:rPr>
        <w:t>¿Puede Turquía abastecer la totalidad del mercado dominicano de varillas, en qué plazo, y bajo qué condiciones</w:t>
      </w:r>
      <w:r w:rsidR="00C7306D" w:rsidRPr="000152F6">
        <w:rPr>
          <w:b/>
          <w:bCs/>
        </w:rPr>
        <w:t>?</w:t>
      </w:r>
      <w:r w:rsidRPr="003B3C15">
        <w:t xml:space="preserve"> Esto involucra examinar</w:t>
      </w:r>
      <w:r w:rsidR="00C7306D" w:rsidRPr="000152F6">
        <w:t>:</w:t>
      </w:r>
      <w:r w:rsidRPr="003B3C15">
        <w:t xml:space="preserve"> </w:t>
      </w:r>
    </w:p>
    <w:p w14:paraId="4E88F47F" w14:textId="77189136" w:rsidR="00C7306D" w:rsidRPr="000152F6" w:rsidRDefault="003B3C15" w:rsidP="00C7306D">
      <w:pPr>
        <w:pStyle w:val="ListParagraph"/>
        <w:numPr>
          <w:ilvl w:val="0"/>
          <w:numId w:val="7"/>
        </w:numPr>
      </w:pPr>
      <w:r w:rsidRPr="000152F6">
        <w:t xml:space="preserve">las características del producto (homogeneidad y sustituibilidad), </w:t>
      </w:r>
    </w:p>
    <w:p w14:paraId="6F5388DA" w14:textId="16B5C42A" w:rsidR="00C7306D" w:rsidRPr="000152F6" w:rsidRDefault="003B3C15" w:rsidP="00C7306D">
      <w:pPr>
        <w:pStyle w:val="ListParagraph"/>
        <w:numPr>
          <w:ilvl w:val="0"/>
          <w:numId w:val="7"/>
        </w:numPr>
      </w:pPr>
      <w:r w:rsidRPr="000152F6">
        <w:t xml:space="preserve">la evolución de la demanda y las cuotas de mercado 2021–2024, </w:t>
      </w:r>
    </w:p>
    <w:p w14:paraId="0938F96A" w14:textId="77777777" w:rsidR="00C7306D" w:rsidRPr="000152F6" w:rsidRDefault="003B3C15" w:rsidP="00C7306D">
      <w:pPr>
        <w:pStyle w:val="ListParagraph"/>
        <w:numPr>
          <w:ilvl w:val="0"/>
          <w:numId w:val="7"/>
        </w:numPr>
      </w:pPr>
      <w:r w:rsidRPr="000152F6">
        <w:t xml:space="preserve">las elasticidades relevantes de sustitución y de demanda, </w:t>
      </w:r>
    </w:p>
    <w:p w14:paraId="4914E245" w14:textId="192F4081" w:rsidR="00C7306D" w:rsidRPr="000152F6" w:rsidRDefault="00C7306D" w:rsidP="00C7306D">
      <w:pPr>
        <w:pStyle w:val="ListParagraph"/>
        <w:numPr>
          <w:ilvl w:val="0"/>
          <w:numId w:val="7"/>
        </w:numPr>
      </w:pPr>
      <w:r w:rsidRPr="000152F6">
        <w:t>l</w:t>
      </w:r>
      <w:r w:rsidR="003B3C15" w:rsidRPr="000152F6">
        <w:t xml:space="preserve">as condiciones teóricas para que un oferente de menor costo desplace a la industria local, </w:t>
      </w:r>
    </w:p>
    <w:p w14:paraId="4B9A135F" w14:textId="573516D8" w:rsidR="00C7306D" w:rsidRPr="000152F6" w:rsidRDefault="003B3C15" w:rsidP="00C7306D">
      <w:pPr>
        <w:pStyle w:val="ListParagraph"/>
        <w:numPr>
          <w:ilvl w:val="0"/>
          <w:numId w:val="7"/>
        </w:numPr>
      </w:pPr>
      <w:r w:rsidRPr="000152F6">
        <w:t>una proyección dinámica de la penetración turca en distintos escenarios</w:t>
      </w:r>
    </w:p>
    <w:p w14:paraId="2454FA15" w14:textId="48209AED" w:rsidR="003B3C15" w:rsidRPr="000152F6" w:rsidRDefault="003B3C15" w:rsidP="00C7306D">
      <w:pPr>
        <w:pStyle w:val="Heading1"/>
        <w:numPr>
          <w:ilvl w:val="0"/>
          <w:numId w:val="8"/>
        </w:numPr>
      </w:pPr>
      <w:r w:rsidRPr="000152F6">
        <w:t>Bien homogéneo y competencia en precios</w:t>
      </w:r>
    </w:p>
    <w:p w14:paraId="2E3B80A1" w14:textId="4C590ABD" w:rsidR="003B3C15" w:rsidRPr="003B3C15" w:rsidRDefault="003B3C15" w:rsidP="003B3C15">
      <w:r w:rsidRPr="003B3C15">
        <w:t xml:space="preserve">Las varillas de acero corrugado son un bien homogéneo: barras de acero al carbono laminadas, estándar en la construcción para refuerzo de concreto. Su calidad y dimensiones se rigen por normas técnicas internacionales, haciendo que una </w:t>
      </w:r>
      <w:r w:rsidR="00680A2F" w:rsidRPr="003B3C15">
        <w:t>varilla localmente</w:t>
      </w:r>
      <w:r w:rsidRPr="003B3C15">
        <w:t xml:space="preserve"> sea esencialmente indistinguible de una importada en su uso final. No existen diferencias significativas en funcionalidad o durabilidad por país de origen, siempre que cumplan la norma ASTM correspondiente. Por tanto, desde la perspectiva del consumidor (constructoras, ferreterías), la varilla es un </w:t>
      </w:r>
      <w:r w:rsidRPr="003B3C15">
        <w:rPr>
          <w:i/>
          <w:iCs/>
        </w:rPr>
        <w:t>commodity</w:t>
      </w:r>
      <w:r w:rsidRPr="003B3C15">
        <w:t xml:space="preserve"> fungible: la única variable diferenciadora relevante es el precio</w:t>
      </w:r>
      <w:r w:rsidR="002F724C">
        <w:t xml:space="preserve"> y la disponibilidad del producto</w:t>
      </w:r>
      <w:r w:rsidRPr="003B3C15">
        <w:t>.</w:t>
      </w:r>
    </w:p>
    <w:p w14:paraId="3BC26F63" w14:textId="0B389362" w:rsidR="003B3C15" w:rsidRPr="003B3C15" w:rsidRDefault="003B3C15" w:rsidP="003B3C15">
      <w:r w:rsidRPr="003B3C15">
        <w:t xml:space="preserve">En mercados de productos homogéneos, rige la competencia </w:t>
      </w:r>
      <w:r w:rsidRPr="003B3C15">
        <w:rPr>
          <w:i/>
          <w:iCs/>
        </w:rPr>
        <w:t>Bertrand</w:t>
      </w:r>
      <w:r w:rsidRPr="003B3C15">
        <w:t xml:space="preserve"> en precios. La teoría económica establece que el proveedor con el menor precio puede capturar todo el mercado, dado que los compradores cambiarán completamente al producto más barato si no hay costos de cambio ni diferenciación. Esto genera un fuerte incentivo para que cada competidor intente undercut (ofertar un precio apenas menor que el rival) hasta igualar esencialmente el costo marginal. En equilibrio, con libre competencia internacional, el precio interno tenderá a igualarse con el precio internacional más bajo (costo marginal del productor más eficiente a nivel global, más costos de transporte).</w:t>
      </w:r>
      <w:r w:rsidR="00E143AF">
        <w:t xml:space="preserve"> </w:t>
      </w:r>
    </w:p>
    <w:p w14:paraId="2D380D12" w14:textId="2979CFA4" w:rsidR="003B3C15" w:rsidRPr="003B3C15" w:rsidRDefault="003B3C15" w:rsidP="003B3C15">
      <w:r w:rsidRPr="003B3C15">
        <w:t xml:space="preserve">En República Dominicana, tradicionalmente la siderúrgica local ha dominado el mercado de varillas, protegida por medidas antidumping contra países de bajo costo (ej. Turquía, Costa Rica). Estas medidas mantenían el precio doméstico por encima del precio CIF de importación. </w:t>
      </w:r>
    </w:p>
    <w:p w14:paraId="64D16A41" w14:textId="5F55127C" w:rsidR="003B3C15" w:rsidRPr="000152F6" w:rsidRDefault="003B3C15" w:rsidP="003B3C15">
      <w:r w:rsidRPr="003B3C15">
        <w:lastRenderedPageBreak/>
        <w:t>En resumen, las varillas corrugadas constituyen un bien altamente sustituible internacionalmente. Esta homogeneidad sienta las bases para que, al removerse barreras comerciales, prevalezca el oferente más eficiente a nivel de costos, en este caso Turquía, siempre y cuando tenga capacidad suficiente para suplir la demanda (como se analizará más adelante).</w:t>
      </w:r>
      <w:r w:rsidR="00C76B0D" w:rsidRPr="00C76B0D">
        <w:t xml:space="preserve"> </w:t>
      </w:r>
    </w:p>
    <w:p w14:paraId="30031BFA" w14:textId="079D552C" w:rsidR="00C76B0D" w:rsidRPr="000152F6" w:rsidRDefault="00C76B0D" w:rsidP="00397134">
      <w:pPr>
        <w:pStyle w:val="Heading1"/>
        <w:numPr>
          <w:ilvl w:val="0"/>
          <w:numId w:val="8"/>
        </w:numPr>
      </w:pPr>
      <w:r w:rsidRPr="000152F6">
        <w:t>Elasticidades de sustitución y de demanda</w:t>
      </w:r>
    </w:p>
    <w:p w14:paraId="0EFF5271" w14:textId="77777777" w:rsidR="00C76B0D" w:rsidRPr="00C76B0D" w:rsidRDefault="00C76B0D" w:rsidP="00C76B0D">
      <w:r w:rsidRPr="00C76B0D">
        <w:t>Para cuantificar rigurosamente qué tan sensible es el mercado dominicano al precio y cómo se redistribuye la demanda entre origen local e importado, es crucial distinguir dos conceptos:</w:t>
      </w:r>
    </w:p>
    <w:p w14:paraId="740A6A33" w14:textId="77777777" w:rsidR="00C76B0D" w:rsidRPr="00C76B0D" w:rsidRDefault="00C76B0D" w:rsidP="00C76B0D">
      <w:pPr>
        <w:numPr>
          <w:ilvl w:val="0"/>
          <w:numId w:val="4"/>
        </w:numPr>
      </w:pPr>
      <w:r w:rsidRPr="00C76B0D">
        <w:t xml:space="preserve">Elasticidad de sustitución (σ): mide cómo se redistribuye la demanda entre dos orígenes (p. ej., varilla local vs. varilla importada de Turquía) ante cambios en sus precios relativos, manteniendo constante el consumo total. En este contexto, σ captura qué tanto aumenta la cuota de mercado de Turquía cuando su precio baja respecto al de la varilla local. Es esencialmente la elasticidad de la </w:t>
      </w:r>
      <w:r w:rsidRPr="00C76B0D">
        <w:rPr>
          <w:i/>
          <w:iCs/>
        </w:rPr>
        <w:t>participación de mercado</w:t>
      </w:r>
      <w:r w:rsidRPr="00C76B0D">
        <w:t xml:space="preserve"> al diferencial de precio. Un σ alto indica que los compradores con facilidad sustituyen un origen por otro si uno es apenas más barato; un σ bajo implicaría cierta preferencia por lo nacional o reticencia a cambiar de proveedor.</w:t>
      </w:r>
    </w:p>
    <w:p w14:paraId="4E992CB9" w14:textId="1A39A74A" w:rsidR="00C76B0D" w:rsidRPr="00C76B0D" w:rsidRDefault="00C76B0D" w:rsidP="00C76B0D">
      <w:pPr>
        <w:numPr>
          <w:ilvl w:val="0"/>
          <w:numId w:val="4"/>
        </w:numPr>
      </w:pPr>
      <w:r w:rsidRPr="00C76B0D">
        <w:t xml:space="preserve">Elasticidad precio de la demanda (ε): mide cómo varía la demanda total de varillas en RD ante cambios en el precio promedio (del mercado en su conjunto). Es la elasticidad </w:t>
      </w:r>
      <w:r w:rsidRPr="00C76B0D">
        <w:rPr>
          <w:i/>
          <w:iCs/>
        </w:rPr>
        <w:t>agregada</w:t>
      </w:r>
      <w:r w:rsidRPr="00C76B0D">
        <w:t xml:space="preserve"> de consumo respecto al nivel de precio. Un |ε| bajo (inelástico) significa que incluso grandes variaciones de precio generan cambios proporcionales pequeños en la cantidad total demandada (p. ej., la construcción sigue </w:t>
      </w:r>
      <w:r w:rsidR="00C7306D" w:rsidRPr="000152F6">
        <w:t>adelante,</w:t>
      </w:r>
      <w:r w:rsidRPr="00C76B0D">
        <w:t xml:space="preserve"> aunque suba el precio del acero, hasta cierto punto). Un |ε| alto (elástico) implica que una reducción del precio provoca un aumento considerable del consumo total (p. ej., nuevos proyectos se vuelven viables o se </w:t>
      </w:r>
      <w:r w:rsidR="00C7306D" w:rsidRPr="000152F6">
        <w:t>sobreconsumo</w:t>
      </w:r>
      <w:r w:rsidRPr="00C76B0D">
        <w:t xml:space="preserve"> acero en construcción).</w:t>
      </w:r>
    </w:p>
    <w:p w14:paraId="65559B55" w14:textId="77777777" w:rsidR="00C76B0D" w:rsidRPr="000152F6" w:rsidRDefault="00C76B0D" w:rsidP="00C76B0D">
      <w:r w:rsidRPr="00C76B0D">
        <w:t>Estas dos elasticidades operan en distintos niveles: σ redistribuye el “pastel” de demanda entre competidores, mientras ε cambia el tamaño del “pastel” total. Es fundamental no confundirlas. En nuestro análisis, σ determina la rapidez y grado en que Turquía gana cuota de mercado a expensas de la producción local cuando ofrece mejor precio, en tanto ε determina cuánto crece el mercado total (beneficiando a ambos en alguna medida) al bajar el precio promedio.</w:t>
      </w:r>
    </w:p>
    <w:p w14:paraId="543A7A62" w14:textId="0BF140C8" w:rsidR="00C76B0D" w:rsidRPr="000152F6" w:rsidRDefault="00397134" w:rsidP="00F06415">
      <w:pPr>
        <w:pStyle w:val="Heading2"/>
      </w:pPr>
      <w:r w:rsidRPr="000152F6">
        <w:t xml:space="preserve">3.1 </w:t>
      </w:r>
      <w:r w:rsidR="00C76B0D" w:rsidRPr="000152F6">
        <w:t>Elasticidad de sustitución σ (varilla local vs. importada)</w:t>
      </w:r>
    </w:p>
    <w:p w14:paraId="6275E22F" w14:textId="664BB782" w:rsidR="00C76B0D" w:rsidRPr="00C76B0D" w:rsidRDefault="00C76B0D" w:rsidP="00C76B0D">
      <w:r w:rsidRPr="00C76B0D">
        <w:t>Dada la homogeneidad del producto, esperamos que la elasticidad de sustitución σ sea elevada. Evidencia de la USITC (Comisión de Comercio Internacional de EE.UU.) en un caso sobre varillas de acero</w:t>
      </w:r>
      <w:r w:rsidR="00DA18B0" w:rsidRPr="000152F6">
        <w:t xml:space="preserve">, justo contra Turquía también, </w:t>
      </w:r>
      <w:r w:rsidRPr="00C76B0D">
        <w:t xml:space="preserve">concluyó que </w:t>
      </w:r>
      <w:r w:rsidRPr="00C76B0D">
        <w:rPr>
          <w:i/>
          <w:iCs/>
        </w:rPr>
        <w:t xml:space="preserve">“la elasticidad de sustitución entre la </w:t>
      </w:r>
      <w:r w:rsidRPr="00C76B0D">
        <w:rPr>
          <w:i/>
          <w:iCs/>
        </w:rPr>
        <w:lastRenderedPageBreak/>
        <w:t>varilla de refuerzo doméstica y la importada es probablemente del orden de 4 a 6”</w:t>
      </w:r>
      <w:r w:rsidR="00DA18B0" w:rsidRPr="000152F6">
        <w:rPr>
          <w:rStyle w:val="FootnoteReference"/>
          <w:i/>
          <w:iCs/>
        </w:rPr>
        <w:footnoteReference w:id="1"/>
      </w:r>
      <w:r w:rsidRPr="00C76B0D">
        <w:t xml:space="preserve">. Esto significa que una diferencia de precio del 1% entre orígenes puede llevar a cambios de 4% a 6% en sus cuotas de mercado respectivas, reflejando una sustituibilidad muy alta. En otras palabras, los compradores estadounidenses consideraban la varilla importada casi perfectamente intercambiable con la local. En </w:t>
      </w:r>
      <w:r w:rsidR="00C7306D" w:rsidRPr="000152F6">
        <w:t xml:space="preserve">República </w:t>
      </w:r>
      <w:r w:rsidRPr="00C76B0D">
        <w:t>Dominicana, es razonable asumir σ en ese rango.</w:t>
      </w:r>
      <w:r w:rsidR="00DA18B0" w:rsidRPr="000152F6">
        <w:t xml:space="preserve"> </w:t>
      </w:r>
    </w:p>
    <w:p w14:paraId="62765030" w14:textId="7F675761" w:rsidR="00C76B0D" w:rsidRPr="00C76B0D" w:rsidRDefault="00E13D24" w:rsidP="00C76B0D">
      <w:r w:rsidRPr="000152F6">
        <w:t>Asumiremos, acorde a la literatura,</w:t>
      </w:r>
      <w:r w:rsidR="00C76B0D" w:rsidRPr="00C76B0D">
        <w:t xml:space="preserve"> que </w:t>
      </w:r>
      <w:r w:rsidR="00C76B0D" w:rsidRPr="00C76B0D">
        <w:rPr>
          <w:b/>
          <w:bCs/>
        </w:rPr>
        <w:t>la elasticidad de sustitución σ es alta (</w:t>
      </w:r>
      <w:r w:rsidR="00DA18B0" w:rsidRPr="000152F6">
        <w:rPr>
          <w:b/>
          <w:bCs/>
        </w:rPr>
        <w:t>4</w:t>
      </w:r>
      <w:r w:rsidR="00C76B0D" w:rsidRPr="00C76B0D">
        <w:rPr>
          <w:b/>
          <w:bCs/>
        </w:rPr>
        <w:t xml:space="preserve"> o más)</w:t>
      </w:r>
      <w:r w:rsidR="00C76B0D" w:rsidRPr="00C76B0D">
        <w:t>. Esto implica que Turquía no enfrentaría barreras significativas para ganar participación de mercado: una vez que pueda ofrecer varilla a menor precio, rápidamente atraerá a la mayoría de compradores, a menos que el productor local iguale el precio.</w:t>
      </w:r>
    </w:p>
    <w:p w14:paraId="20DBD685" w14:textId="0997FF1E" w:rsidR="00C76B0D" w:rsidRPr="000152F6" w:rsidRDefault="00397134" w:rsidP="00F06415">
      <w:pPr>
        <w:pStyle w:val="Heading2"/>
      </w:pPr>
      <w:r w:rsidRPr="000152F6">
        <w:t>3</w:t>
      </w:r>
      <w:r w:rsidR="00C76B0D" w:rsidRPr="000152F6">
        <w:t>.2 Elasticidad-precio de la demanda ε (demanda total en RD)</w:t>
      </w:r>
    </w:p>
    <w:p w14:paraId="46BB7E6B" w14:textId="6113C447" w:rsidR="00922441" w:rsidRPr="00922441" w:rsidRDefault="00922441" w:rsidP="00922441">
      <w:r w:rsidRPr="00922441">
        <w:t>La elasticidad precio de la demanda (ε) de varillas refleja cómo el volumen total consumido responde a cambios en el nivel de precios en el mercado dominicano. Este parámetro captura, por ejemplo, si abaratar la varilla induce a construir más metros cuadrados de vivienda (por reducción de costos)</w:t>
      </w:r>
      <w:r w:rsidR="00DA18B0" w:rsidRPr="000152F6">
        <w:t>.</w:t>
      </w:r>
    </w:p>
    <w:p w14:paraId="21EDBBBE" w14:textId="0D50993D" w:rsidR="00922441" w:rsidRPr="00922441" w:rsidRDefault="00922441" w:rsidP="00922441">
      <w:r w:rsidRPr="00922441">
        <w:t xml:space="preserve">La literatura indica que la demanda de acero para construcción tiende a ser inelástica en el corto plazo, ya que en una obra en marcha no es fácil sustituir el acero por otro material; además, el costo del acero es solo una fracción del costo total de construcción (cemento, mano de obra, etc.), por lo que un cambio moderado en el precio de la varilla puede no alterar sustancialmente la decisión de construir. Un estudio de mercado de </w:t>
      </w:r>
      <w:r w:rsidR="00C7306D" w:rsidRPr="000152F6">
        <w:t>varillas</w:t>
      </w:r>
      <w:r w:rsidRPr="00922441">
        <w:t xml:space="preserve"> en Egipto encontró una elasticidad de demanda de apenas 0.38 (en valor absoluto), concluyendo que la varilla es un producto inelástico</w:t>
      </w:r>
      <w:r w:rsidR="00DA18B0" w:rsidRPr="000152F6">
        <w:rPr>
          <w:rStyle w:val="FootnoteReference"/>
        </w:rPr>
        <w:footnoteReference w:id="2"/>
      </w:r>
      <w:r w:rsidRPr="00922441">
        <w:t>. De forma similar, la USITC suele asumir una elasticidad de demanda de aproximadamente –0.5 para acero en sus análisis, considerándolo inelástico, y a veces examina escenarios con elasticidad hasta –2.0 para ver efectos más elásticos en el largo plazo</w:t>
      </w:r>
      <w:r w:rsidR="00DA18B0" w:rsidRPr="000152F6">
        <w:rPr>
          <w:rStyle w:val="FootnoteReference"/>
        </w:rPr>
        <w:footnoteReference w:id="3"/>
      </w:r>
    </w:p>
    <w:p w14:paraId="38483EF1" w14:textId="48C59BA1" w:rsidR="00922441" w:rsidRPr="00922441" w:rsidRDefault="00922441" w:rsidP="00922441">
      <w:r w:rsidRPr="00922441">
        <w:t>La evidencia dominicana en 2024 sugiere que existe alguna respuesta de la demanda a la baja de precios, aunque no extrema. Estimamos que el precio promedio bajó 10–15% en 2024 y la cantidad demandada subió</w:t>
      </w:r>
      <w:r w:rsidR="00DA18B0" w:rsidRPr="000152F6">
        <w:t xml:space="preserve"> alrededor de </w:t>
      </w:r>
      <w:r w:rsidRPr="00922441">
        <w:t xml:space="preserve">12%. Esto implicaría una elasticidad aparente </w:t>
      </w:r>
      <w:r w:rsidR="000152F6" w:rsidRPr="000152F6">
        <w:t xml:space="preserve">entre </w:t>
      </w:r>
      <w:r w:rsidR="000152F6" w:rsidRPr="00922441">
        <w:t>–</w:t>
      </w:r>
      <w:r w:rsidRPr="00922441">
        <w:t>1.0 a –1.2 en ese intervalo (12%/–10%)</w:t>
      </w:r>
      <w:r w:rsidR="00DA18B0" w:rsidRPr="000152F6">
        <w:t xml:space="preserve">. Esto </w:t>
      </w:r>
      <w:r w:rsidR="000152F6" w:rsidRPr="000152F6">
        <w:t>también</w:t>
      </w:r>
      <w:r w:rsidRPr="00922441">
        <w:t>, podría ser un efecto puntual de corto plazo al eliminar la restricción de oferta.</w:t>
      </w:r>
    </w:p>
    <w:p w14:paraId="01D86464" w14:textId="5D3522E8" w:rsidR="00922441" w:rsidRPr="00922441" w:rsidRDefault="00922441" w:rsidP="00922441">
      <w:r w:rsidRPr="00922441">
        <w:t xml:space="preserve">Para el mediano plazo, es razonable suponer ε en torno a –0.3 a –0.5 (inelasticidad moderada). Esto significa que una caída permanente del precio de, digamos, 20% podría elevar el consumo total de varillas en ~6–10% después de un tiempo de ajuste. En horizontes más largos, si el </w:t>
      </w:r>
      <w:r w:rsidRPr="00922441">
        <w:lastRenderedPageBreak/>
        <w:t xml:space="preserve">precio se mantiene bajo, la elasticidad efectiva podría aumentar un poco (más proyectos de inversión se planificarían considerando el menor costo estructural, etc.). </w:t>
      </w:r>
    </w:p>
    <w:p w14:paraId="658FF591" w14:textId="420BD245" w:rsidR="00922441" w:rsidRPr="00922441" w:rsidRDefault="00922441" w:rsidP="00922441">
      <w:r w:rsidRPr="00922441">
        <w:t>En nuestro análisis base, tomaremos ε ≈ –0.5. Esto concuerda con considerar la demanda relativamente rígida</w:t>
      </w:r>
      <w:r w:rsidR="00DA18B0" w:rsidRPr="000152F6">
        <w:t xml:space="preserve"> y con la literatura</w:t>
      </w:r>
      <w:r w:rsidRPr="00922441">
        <w:t>: la mayor parte del efecto de varilla barata será reemplazar producción local por importada, y solo una fracción resultará en mayor volumen total consumido. No obstante, examinaremos también un escenario de sensibilidad con ε más bajo (–0.2) y más alto (–1.0) para ver cómo cambia el panorama.</w:t>
      </w:r>
    </w:p>
    <w:p w14:paraId="60437EDE" w14:textId="7D63A0ED" w:rsidR="00922441" w:rsidRPr="000152F6" w:rsidRDefault="00397134" w:rsidP="00DA18B0">
      <w:pPr>
        <w:pStyle w:val="Heading1"/>
      </w:pPr>
      <w:r w:rsidRPr="000152F6">
        <w:t>4</w:t>
      </w:r>
      <w:r w:rsidR="00922441" w:rsidRPr="000152F6">
        <w:t>. Condición económica de desplazamiento total</w:t>
      </w:r>
    </w:p>
    <w:p w14:paraId="07321706" w14:textId="77777777" w:rsidR="00922441" w:rsidRPr="00922441" w:rsidRDefault="00922441" w:rsidP="00922441">
      <w:r w:rsidRPr="00922441">
        <w:t xml:space="preserve">Basándonos en la teoría microeconómica y comercial, podemos enunciar las condiciones bajo las cuales un país con ventaja de precio (Turquía) </w:t>
      </w:r>
      <w:r w:rsidRPr="00922441">
        <w:rPr>
          <w:b/>
          <w:bCs/>
        </w:rPr>
        <w:t>desplazaría por completo</w:t>
      </w:r>
      <w:r w:rsidRPr="00922441">
        <w:t xml:space="preserve"> a la industria doméstica (RD) en un bien homogéneo sin </w:t>
      </w:r>
      <w:r w:rsidRPr="00922441">
        <w:rPr>
          <w:i/>
          <w:iCs/>
        </w:rPr>
        <w:t>dumping</w:t>
      </w:r>
      <w:r w:rsidRPr="00922441">
        <w:t xml:space="preserve">. Estas condiciones ayudan a entender </w:t>
      </w:r>
      <w:r w:rsidRPr="00922441">
        <w:rPr>
          <w:i/>
          <w:iCs/>
        </w:rPr>
        <w:t>si</w:t>
      </w:r>
      <w:r w:rsidRPr="00922441">
        <w:t xml:space="preserve"> y </w:t>
      </w:r>
      <w:r w:rsidRPr="00922441">
        <w:rPr>
          <w:i/>
          <w:iCs/>
        </w:rPr>
        <w:t>por qué</w:t>
      </w:r>
      <w:r w:rsidRPr="00922441">
        <w:t xml:space="preserve"> Turquía efectivamente podría absorber todo el mercado:</w:t>
      </w:r>
    </w:p>
    <w:p w14:paraId="27AA0511" w14:textId="68BD9656" w:rsidR="00922441" w:rsidRPr="00922441" w:rsidRDefault="00922441" w:rsidP="00922441">
      <w:pPr>
        <w:numPr>
          <w:ilvl w:val="0"/>
          <w:numId w:val="5"/>
        </w:numPr>
      </w:pPr>
      <w:r w:rsidRPr="00922441">
        <w:rPr>
          <w:b/>
          <w:bCs/>
        </w:rPr>
        <w:t>Precio internacional &lt; Costo doméstico:</w:t>
      </w:r>
      <w:r w:rsidRPr="00922441">
        <w:t xml:space="preserve"> La condición primordial es que el precio de Turquía puesta en RD sea menor que el costo de producción marginal de la siderúrgica local. Si la siderúrgica local no puede igualar ese precio sin incurrir en pérdidas, entonces no podrá seguir produciendo para el mercado local una vez que los importadores puedan abastecer libremente. </w:t>
      </w:r>
    </w:p>
    <w:p w14:paraId="40912662" w14:textId="677D9634" w:rsidR="00922441" w:rsidRPr="00922441" w:rsidRDefault="00922441" w:rsidP="00922441">
      <w:pPr>
        <w:numPr>
          <w:ilvl w:val="0"/>
          <w:numId w:val="5"/>
        </w:numPr>
      </w:pPr>
      <w:r w:rsidRPr="00922441">
        <w:rPr>
          <w:b/>
          <w:bCs/>
        </w:rPr>
        <w:t>Capacidad de oferta suficiente:</w:t>
      </w:r>
      <w:r w:rsidRPr="00922441">
        <w:t xml:space="preserve"> Turquía debe tener capacidad ociosa para abastecer la demanda dominicana sin elevar su propio precio significativamente. Como vimos, Turquía exportó 3.4 millones ton en 2024, muy por encima de las 0.6 millones ton de </w:t>
      </w:r>
      <w:r w:rsidR="00C30E5E" w:rsidRPr="000152F6">
        <w:t xml:space="preserve">ventas de la RPN al mercado </w:t>
      </w:r>
      <w:r w:rsidRPr="00922441">
        <w:t>dominican</w:t>
      </w:r>
      <w:r w:rsidR="00C30E5E" w:rsidRPr="000152F6">
        <w:t>o</w:t>
      </w:r>
      <w:r w:rsidRPr="00922441">
        <w:t xml:space="preserve">. Incluso en 2021 exportó 7.1 millones. Por tanto, RD representa menos del 10% de las exportaciones turcas típicas. Incluir ese volumen adicional no tensionaría la industria turca; es más, en 2023–24 la caída de sus exportaciones indica que tiene excedentes que buscarían colocación. En otras palabras, no hay restricción de oferta del lado turco: pueden proveer a RD prácticamente ilimitadamente a precio CIF similar, sin quedarse sin producto. </w:t>
      </w:r>
    </w:p>
    <w:p w14:paraId="1B7A42D6" w14:textId="439753D2" w:rsidR="00922441" w:rsidRPr="00922441" w:rsidRDefault="00922441" w:rsidP="00922441">
      <w:pPr>
        <w:numPr>
          <w:ilvl w:val="0"/>
          <w:numId w:val="5"/>
        </w:numPr>
      </w:pPr>
      <w:r w:rsidRPr="00922441">
        <w:rPr>
          <w:b/>
          <w:bCs/>
        </w:rPr>
        <w:t>Libre acceso al mercado (ausencia de barreras):</w:t>
      </w:r>
      <w:r w:rsidRPr="00922441">
        <w:t xml:space="preserve"> </w:t>
      </w:r>
      <w:r w:rsidR="009D1184">
        <w:t>S</w:t>
      </w:r>
      <w:r w:rsidRPr="00922441">
        <w:t xml:space="preserve">e asume que no hay </w:t>
      </w:r>
      <w:r w:rsidR="009D1184">
        <w:t>tasas antidumping</w:t>
      </w:r>
      <w:r w:rsidRPr="00922441">
        <w:t>, cuotas ni trabas administrativas que encarezcan o limiten la importación turca.</w:t>
      </w:r>
    </w:p>
    <w:p w14:paraId="3C62DF4A" w14:textId="15667C62" w:rsidR="00922441" w:rsidRPr="00922441" w:rsidRDefault="00922441" w:rsidP="00922441">
      <w:pPr>
        <w:numPr>
          <w:ilvl w:val="0"/>
          <w:numId w:val="5"/>
        </w:numPr>
      </w:pPr>
      <w:r w:rsidRPr="00922441">
        <w:rPr>
          <w:b/>
          <w:bCs/>
        </w:rPr>
        <w:t>Bien homogéneo sin preferencia local:</w:t>
      </w:r>
      <w:r w:rsidR="00C30E5E" w:rsidRPr="000152F6">
        <w:rPr>
          <w:b/>
          <w:bCs/>
        </w:rPr>
        <w:t xml:space="preserve"> </w:t>
      </w:r>
      <w:r w:rsidR="00C30E5E" w:rsidRPr="000152F6">
        <w:t>L</w:t>
      </w:r>
      <w:r w:rsidRPr="00922441">
        <w:t xml:space="preserve">os consumidores no perciben diferencia significativa salvo precio, y no existe un </w:t>
      </w:r>
      <w:r w:rsidR="00C30E5E" w:rsidRPr="000152F6">
        <w:t>sesgo</w:t>
      </w:r>
      <w:r w:rsidRPr="00922441">
        <w:t xml:space="preserve"> fuerte a "comprar local" si resulta más caro. </w:t>
      </w:r>
      <w:r w:rsidR="00C30E5E" w:rsidRPr="000152F6">
        <w:t>Al</w:t>
      </w:r>
      <w:r w:rsidRPr="00922441">
        <w:t xml:space="preserve"> poder obtener varilla más barata importada, no hay evidencia de que prefieran voluntariamente pagar más por la local. </w:t>
      </w:r>
    </w:p>
    <w:p w14:paraId="381CE1AA" w14:textId="77777777" w:rsidR="00922441" w:rsidRPr="00922441" w:rsidRDefault="00922441" w:rsidP="00922441">
      <w:pPr>
        <w:numPr>
          <w:ilvl w:val="0"/>
          <w:numId w:val="5"/>
        </w:numPr>
      </w:pPr>
      <w:r w:rsidRPr="00922441">
        <w:rPr>
          <w:b/>
          <w:bCs/>
        </w:rPr>
        <w:lastRenderedPageBreak/>
        <w:t>Horizonte temporal suficiente para ajuste:</w:t>
      </w:r>
      <w:r w:rsidRPr="00922441">
        <w:t xml:space="preserve"> Incluso si todas las condiciones anteriores se dan, podría no ocurrir de la noche a la mañana. Es necesario un periodo de ajuste durante el cual los contratos existentes expiran, los distribuidores locales establecen líneas de importación, y el productor doméstico decide si reduce precios o cede mercado. Sin embargo, este horizonte suele medirse en meses o pocos años, no décadas, cuando la ventaja de costo es clara. En nuestro análisis proyectaremos 36 meses (3 años) como horizonte, asumiendo que es un lapso razonable para un cambio casi total de la estructura de suministro si las condiciones se mantienen.</w:t>
      </w:r>
    </w:p>
    <w:p w14:paraId="470A110C" w14:textId="25F3C21B" w:rsidR="00922441" w:rsidRPr="00922441" w:rsidRDefault="00922441" w:rsidP="00922441">
      <w:r w:rsidRPr="00922441">
        <w:t>Bajo estas condiciones, la teoría de comercio para un país pequeño dice que la oferta extranjera desplaza a la doméstica totalmente, y el precio doméstico se iguala al precio mundial</w:t>
      </w:r>
      <w:r w:rsidR="00DA18B0" w:rsidRPr="000152F6">
        <w:rPr>
          <w:rStyle w:val="FootnoteReference"/>
        </w:rPr>
        <w:footnoteReference w:id="4"/>
      </w:r>
      <w:r w:rsidRPr="00922441">
        <w:t xml:space="preserve">. El productor local perderá mercado a menos que pueda producir al precio internacional. </w:t>
      </w:r>
    </w:p>
    <w:p w14:paraId="7FCA0558" w14:textId="465A6E0E" w:rsidR="00922441" w:rsidRPr="00922441" w:rsidRDefault="00922441" w:rsidP="00922441">
      <w:r w:rsidRPr="00922441">
        <w:t>En la práctica, la</w:t>
      </w:r>
      <w:r w:rsidR="00363FF7">
        <w:t xml:space="preserve"> </w:t>
      </w:r>
      <w:r w:rsidR="00746CFC">
        <w:t xml:space="preserve">RPN </w:t>
      </w:r>
      <w:r w:rsidR="00746CFC" w:rsidRPr="00922441">
        <w:t>podría</w:t>
      </w:r>
      <w:r w:rsidRPr="00922441">
        <w:t xml:space="preserve"> optar por bajar su precio hasta el nivel turco para intentar retener participación (vendiendo a margen muy bajo o incluso costo marginal). Esto sería un juego de supervivencia: podrían mantener operaciones reduciendo drásticamente sus beneficios, en espera de que Turquía no incremente aún más su oferta o de que vuelvan protecciones</w:t>
      </w:r>
      <w:r w:rsidR="00DA18B0" w:rsidRPr="000152F6">
        <w:t>.</w:t>
      </w:r>
    </w:p>
    <w:p w14:paraId="5428DE97" w14:textId="0C72D4B6" w:rsidR="00922441" w:rsidRPr="000152F6" w:rsidRDefault="00397134" w:rsidP="00F06415">
      <w:pPr>
        <w:pStyle w:val="Heading1"/>
      </w:pPr>
      <w:r w:rsidRPr="000152F6">
        <w:t>5</w:t>
      </w:r>
      <w:r w:rsidR="00922441" w:rsidRPr="000152F6">
        <w:t>. Proyección dinámica de absorción del mercado</w:t>
      </w:r>
    </w:p>
    <w:p w14:paraId="0C6E5784" w14:textId="3AC911DF" w:rsidR="00922441" w:rsidRPr="00922441" w:rsidRDefault="00922441" w:rsidP="00922441">
      <w:r w:rsidRPr="00922441">
        <w:t xml:space="preserve">A continuación, presentamos una proyección teórica de cómo evolucionaría la cuota de mercado de Turquía en República Dominicana en el tiempo, asumiendo que a partir de 2025 se permite la importación sin </w:t>
      </w:r>
      <w:r w:rsidR="00746CFC">
        <w:t>las tasas antidumping</w:t>
      </w:r>
      <w:r w:rsidRPr="00922441">
        <w:t xml:space="preserve"> de forma permanente. Esta proyección utiliza los parámetros discutidos (σ y ε) para simular el ajuste año tras año, e incorpora distintos escenarios de sensibilidad.</w:t>
      </w:r>
    </w:p>
    <w:p w14:paraId="24E5E367" w14:textId="4399E456" w:rsidR="00B1662C" w:rsidRPr="000152F6" w:rsidRDefault="00922441" w:rsidP="00922441">
      <w:r w:rsidRPr="00680A2F">
        <w:rPr>
          <w:b/>
          <w:bCs/>
        </w:rPr>
        <w:t>El modelo de ajuste empleado es una versión simple de ajuste parcial</w:t>
      </w:r>
      <w:r w:rsidRPr="00922441">
        <w:t>: asumimos que cada período Turquía captura una fracción del mercado que aún no posee. Esto refleja que no todos los clientes cambian de proveedor instantáneamente, pero gradualmente sí lo hacen a medida que ven confirmada la ventaja de precio y establecen contratos de suministro con importadores. En el escenario base calibramos esta velocidad de ajuste de manera consistente con σ = 5 (alta, pero no infinita).</w:t>
      </w:r>
      <w:r w:rsidR="007B6666" w:rsidRPr="000152F6">
        <w:t xml:space="preserve"> Las proyecciones se hacen con la siguiente formula</w:t>
      </w:r>
      <w:r w:rsidR="00B1662C" w:rsidRPr="000152F6">
        <w:t>:</w:t>
      </w:r>
    </w:p>
    <w:p w14:paraId="1731D0BF" w14:textId="4992EEF4" w:rsidR="007B6666" w:rsidRPr="000152F6" w:rsidRDefault="00B1662C" w:rsidP="00B1662C">
      <w:pPr>
        <w:jc w:val="center"/>
      </w:pPr>
      <w:r w:rsidRPr="000152F6">
        <w:rPr>
          <w:noProof/>
        </w:rPr>
        <w:drawing>
          <wp:inline distT="0" distB="0" distL="0" distR="0" wp14:anchorId="66B62A2B" wp14:editId="104887EB">
            <wp:extent cx="3111500" cy="380955"/>
            <wp:effectExtent l="0" t="0" r="0" b="635"/>
            <wp:docPr id="18465334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533450" name=""/>
                    <pic:cNvPicPr/>
                  </pic:nvPicPr>
                  <pic:blipFill rotWithShape="1">
                    <a:blip r:embed="rId8"/>
                    <a:srcRect l="25532" b="81651"/>
                    <a:stretch>
                      <a:fillRect/>
                    </a:stretch>
                  </pic:blipFill>
                  <pic:spPr bwMode="auto">
                    <a:xfrm>
                      <a:off x="0" y="0"/>
                      <a:ext cx="3125555" cy="382676"/>
                    </a:xfrm>
                    <a:prstGeom prst="rect">
                      <a:avLst/>
                    </a:prstGeom>
                    <a:ln>
                      <a:noFill/>
                    </a:ln>
                    <a:extLst>
                      <a:ext uri="{53640926-AAD7-44D8-BBD7-CCE9431645EC}">
                        <a14:shadowObscured xmlns:a14="http://schemas.microsoft.com/office/drawing/2010/main"/>
                      </a:ext>
                    </a:extLst>
                  </pic:spPr>
                </pic:pic>
              </a:graphicData>
            </a:graphic>
          </wp:inline>
        </w:drawing>
      </w:r>
    </w:p>
    <w:p w14:paraId="10C9C728" w14:textId="3FC317E4" w:rsidR="00B1662C" w:rsidRPr="000152F6" w:rsidRDefault="00B1662C" w:rsidP="00922441">
      <w:r w:rsidRPr="000152F6">
        <w:t>Donde:</w:t>
      </w:r>
    </w:p>
    <w:p w14:paraId="35D0023E" w14:textId="3D0BC58B" w:rsidR="00B1662C" w:rsidRPr="000152F6" w:rsidRDefault="00B1662C" w:rsidP="00B1662C">
      <w:pPr>
        <w:pStyle w:val="ListParagraph"/>
        <w:numPr>
          <w:ilvl w:val="0"/>
          <w:numId w:val="9"/>
        </w:numPr>
      </w:pPr>
      <w:r w:rsidRPr="000152F6">
        <w:rPr>
          <w:i/>
          <w:iCs/>
        </w:rPr>
        <w:t>s</w:t>
      </w:r>
      <w:r w:rsidRPr="000152F6">
        <w:rPr>
          <w:i/>
          <w:iCs/>
          <w:vertAlign w:val="subscript"/>
        </w:rPr>
        <w:t>t</w:t>
      </w:r>
      <w:r w:rsidRPr="000152F6">
        <w:t xml:space="preserve">: cuota de Turquía en el tiempo </w:t>
      </w:r>
      <w:r w:rsidRPr="000152F6">
        <w:rPr>
          <w:i/>
          <w:iCs/>
        </w:rPr>
        <w:t>t.</w:t>
      </w:r>
    </w:p>
    <w:p w14:paraId="0CB3BC21" w14:textId="7784877A" w:rsidR="00B1662C" w:rsidRPr="000152F6" w:rsidRDefault="00B1662C" w:rsidP="00B1662C">
      <w:pPr>
        <w:pStyle w:val="ListParagraph"/>
        <w:numPr>
          <w:ilvl w:val="0"/>
          <w:numId w:val="9"/>
        </w:numPr>
      </w:pPr>
      <w:r w:rsidRPr="000152F6">
        <w:rPr>
          <w:i/>
          <w:iCs/>
        </w:rPr>
        <w:lastRenderedPageBreak/>
        <w:t>s</w:t>
      </w:r>
      <w:r w:rsidRPr="000152F6">
        <w:rPr>
          <w:i/>
          <w:iCs/>
          <w:vertAlign w:val="superscript"/>
        </w:rPr>
        <w:t>*</w:t>
      </w:r>
      <w:r w:rsidRPr="000152F6">
        <w:rPr>
          <w:i/>
          <w:iCs/>
        </w:rPr>
        <w:t xml:space="preserve">: </w:t>
      </w:r>
      <w:r w:rsidRPr="000152F6">
        <w:t>cuota de largo plazo (lo que alcanzaría en equilibrio de largo plazo)</w:t>
      </w:r>
    </w:p>
    <w:p w14:paraId="1CB76CBB" w14:textId="590D1C6F" w:rsidR="00B1662C" w:rsidRPr="000152F6" w:rsidRDefault="00B1662C" w:rsidP="00B1662C">
      <w:pPr>
        <w:pStyle w:val="ListParagraph"/>
        <w:numPr>
          <w:ilvl w:val="0"/>
          <w:numId w:val="9"/>
        </w:numPr>
      </w:pPr>
      <w:r w:rsidRPr="000152F6">
        <w:rPr>
          <w:i/>
          <w:iCs/>
        </w:rPr>
        <w:t>s</w:t>
      </w:r>
      <w:r w:rsidRPr="000152F6">
        <w:rPr>
          <w:i/>
          <w:iCs/>
          <w:vertAlign w:val="subscript"/>
        </w:rPr>
        <w:t>0</w:t>
      </w:r>
      <w:r w:rsidRPr="000152F6">
        <w:t>: cuota inicial de Turquía</w:t>
      </w:r>
      <w:r w:rsidRPr="000152F6">
        <w:rPr>
          <w:i/>
          <w:iCs/>
        </w:rPr>
        <w:t>.</w:t>
      </w:r>
    </w:p>
    <w:p w14:paraId="7E46971F" w14:textId="7788868E" w:rsidR="00B1662C" w:rsidRPr="000152F6" w:rsidRDefault="00B1662C" w:rsidP="00B1662C">
      <w:pPr>
        <w:pStyle w:val="ListParagraph"/>
        <w:numPr>
          <w:ilvl w:val="0"/>
          <w:numId w:val="9"/>
        </w:numPr>
      </w:pPr>
      <w:r w:rsidRPr="000152F6">
        <w:rPr>
          <w:rFonts w:cstheme="minorHAnsi"/>
        </w:rPr>
        <w:t>λ</w:t>
      </w:r>
      <w:r w:rsidRPr="000152F6">
        <w:t>: velocidad de ajuste (entre 0 y 1)</w:t>
      </w:r>
    </w:p>
    <w:p w14:paraId="2A59AE60" w14:textId="7E590514" w:rsidR="00B1662C" w:rsidRPr="000152F6" w:rsidRDefault="00B1662C" w:rsidP="00B1662C">
      <w:pPr>
        <w:pStyle w:val="ListParagraph"/>
        <w:numPr>
          <w:ilvl w:val="0"/>
          <w:numId w:val="9"/>
        </w:numPr>
        <w:rPr>
          <w:i/>
          <w:iCs/>
        </w:rPr>
      </w:pPr>
      <w:r w:rsidRPr="000152F6">
        <w:rPr>
          <w:i/>
          <w:iCs/>
        </w:rPr>
        <w:t xml:space="preserve">t: </w:t>
      </w:r>
      <w:r w:rsidR="00C30E5E" w:rsidRPr="000152F6">
        <w:t>número</w:t>
      </w:r>
      <w:r w:rsidRPr="000152F6">
        <w:t xml:space="preserve"> de periodos (en este caso, meses)</w:t>
      </w:r>
    </w:p>
    <w:p w14:paraId="33E0C498" w14:textId="614A3D86" w:rsidR="00F06415" w:rsidRPr="00F06415" w:rsidRDefault="00F06415" w:rsidP="00F06415">
      <w:r w:rsidRPr="00F06415">
        <w:t xml:space="preserve">La </w:t>
      </w:r>
      <w:r w:rsidRPr="000152F6">
        <w:t xml:space="preserve">fórmula </w:t>
      </w:r>
      <w:r w:rsidRPr="00F06415">
        <w:t xml:space="preserve">surge del </w:t>
      </w:r>
      <w:r w:rsidRPr="00F06415">
        <w:rPr>
          <w:b/>
          <w:bCs/>
        </w:rPr>
        <w:t>modelo de ajuste parcial</w:t>
      </w:r>
      <w:r w:rsidRPr="00F06415">
        <w:t xml:space="preserve"> en economía. La idea central es que las variables no saltan de inmediato a su nivel de equilibrio de largo plazo, sino que ajustan de manera gradual. En cada periodo, el cambio observado es solo una fracción λ de la brecha con el equilibrio. </w:t>
      </w:r>
    </w:p>
    <w:p w14:paraId="50E2D821" w14:textId="64DD3AB7" w:rsidR="00F06415" w:rsidRPr="00F06415" w:rsidRDefault="00F06415" w:rsidP="00F06415">
      <w:r w:rsidRPr="00F06415">
        <w:t>La lógica detrás es intuitiva: si λ es bajo (por ejemplo, 0</w:t>
      </w:r>
      <w:r w:rsidR="00B1662C" w:rsidRPr="000152F6">
        <w:t>.</w:t>
      </w:r>
      <w:r w:rsidRPr="00F06415">
        <w:t>05), cada mes se cierra solo un 5% de la diferencia con el equilibrio, generando una transición lenta; si λ es alto (0</w:t>
      </w:r>
      <w:r w:rsidR="00B1662C" w:rsidRPr="000152F6">
        <w:t>.</w:t>
      </w:r>
      <w:r w:rsidRPr="00F06415">
        <w:t>3 o 0</w:t>
      </w:r>
      <w:r w:rsidR="00B1662C" w:rsidRPr="000152F6">
        <w:t>.</w:t>
      </w:r>
      <w:r w:rsidRPr="00F06415">
        <w:t>5), el ajuste es mucho más rápido. Este tipo de formulación, introducida en la literatura clásica de Koyck (1954) y Nerlove (1958), se utiliza en economía para modelar situaciones donde el ajuste a nuevas condiciones (como precios más bajos de importaciones) ocurre de manera progresiva y no instantánea. En el caso de las varillas, esta fórmula permite proyectar cómo la cuota de Turquía avanzaría en 12, 24 o 36 meses hacia su nivel de largo plazo bajo libre competencia.</w:t>
      </w:r>
    </w:p>
    <w:p w14:paraId="22DC810C" w14:textId="52813CBE" w:rsidR="007B6666" w:rsidRPr="000152F6" w:rsidRDefault="007B6666" w:rsidP="00922441">
      <w:r w:rsidRPr="000152F6">
        <w:t xml:space="preserve">Un ejemplo de cálculo </w:t>
      </w:r>
      <w:r w:rsidR="00D41C95" w:rsidRPr="000152F6">
        <w:t xml:space="preserve">a 36 meses </w:t>
      </w:r>
      <w:r w:rsidRPr="000152F6">
        <w:t>es:</w:t>
      </w:r>
    </w:p>
    <w:p w14:paraId="41943194" w14:textId="6C8E53D6" w:rsidR="00B1662C" w:rsidRPr="00680A2F" w:rsidRDefault="00B1662C" w:rsidP="00922441">
      <w:pPr>
        <w:rPr>
          <w:rFonts w:cstheme="minorHAnsi"/>
          <w:lang w:val="pt-BR"/>
        </w:rPr>
      </w:pPr>
      <w:r w:rsidRPr="00680A2F">
        <w:rPr>
          <w:lang w:val="pt-BR"/>
        </w:rPr>
        <w:t xml:space="preserve">Usando </w:t>
      </w:r>
      <w:r w:rsidRPr="00680A2F">
        <w:rPr>
          <w:i/>
          <w:iCs/>
          <w:lang w:val="pt-BR"/>
        </w:rPr>
        <w:t>s</w:t>
      </w:r>
      <w:r w:rsidRPr="00680A2F">
        <w:rPr>
          <w:i/>
          <w:iCs/>
          <w:vertAlign w:val="superscript"/>
          <w:lang w:val="pt-BR"/>
        </w:rPr>
        <w:t>*</w:t>
      </w:r>
      <w:r w:rsidRPr="00680A2F">
        <w:rPr>
          <w:lang w:val="pt-BR"/>
        </w:rPr>
        <w:t xml:space="preserve"> = 0.90, </w:t>
      </w:r>
      <w:r w:rsidRPr="00680A2F">
        <w:rPr>
          <w:i/>
          <w:iCs/>
          <w:lang w:val="pt-BR"/>
        </w:rPr>
        <w:t>s</w:t>
      </w:r>
      <w:r w:rsidRPr="00680A2F">
        <w:rPr>
          <w:i/>
          <w:iCs/>
          <w:vertAlign w:val="subscript"/>
          <w:lang w:val="pt-BR"/>
        </w:rPr>
        <w:t>0</w:t>
      </w:r>
      <w:r w:rsidRPr="00680A2F">
        <w:rPr>
          <w:vertAlign w:val="subscript"/>
          <w:lang w:val="pt-BR"/>
        </w:rPr>
        <w:t xml:space="preserve"> </w:t>
      </w:r>
      <w:r w:rsidRPr="00680A2F">
        <w:rPr>
          <w:lang w:val="pt-BR"/>
        </w:rPr>
        <w:t>= 0.</w:t>
      </w:r>
      <w:r w:rsidR="00035655" w:rsidRPr="00680A2F">
        <w:rPr>
          <w:lang w:val="pt-BR"/>
        </w:rPr>
        <w:t>075</w:t>
      </w:r>
      <w:r w:rsidRPr="00680A2F">
        <w:rPr>
          <w:lang w:val="pt-BR"/>
        </w:rPr>
        <w:t xml:space="preserve"> y </w:t>
      </w:r>
      <w:r w:rsidRPr="000152F6">
        <w:rPr>
          <w:rFonts w:cstheme="minorHAnsi"/>
          <w:i/>
          <w:iCs/>
        </w:rPr>
        <w:t>λ</w:t>
      </w:r>
      <w:r w:rsidRPr="00680A2F">
        <w:rPr>
          <w:rFonts w:cstheme="minorHAnsi"/>
          <w:lang w:val="pt-BR"/>
        </w:rPr>
        <w:t xml:space="preserve"> = 0.05</w:t>
      </w:r>
      <w:r w:rsidR="00035655" w:rsidRPr="00680A2F">
        <w:rPr>
          <w:rFonts w:cstheme="minorHAnsi"/>
          <w:lang w:val="pt-BR"/>
        </w:rPr>
        <w:t>6</w:t>
      </w:r>
      <w:r w:rsidRPr="00680A2F">
        <w:rPr>
          <w:rFonts w:cstheme="minorHAnsi"/>
          <w:lang w:val="pt-BR"/>
        </w:rPr>
        <w:t>:</w:t>
      </w:r>
    </w:p>
    <w:p w14:paraId="32CF0B1E" w14:textId="18761A3D" w:rsidR="00B1662C" w:rsidRPr="00C867A2" w:rsidRDefault="00D41C95" w:rsidP="00D41C95">
      <w:pPr>
        <w:jc w:val="center"/>
        <w:rPr>
          <w:vertAlign w:val="superscript"/>
          <w:lang w:val="en-US"/>
        </w:rPr>
      </w:pPr>
      <w:r w:rsidRPr="00C867A2">
        <w:rPr>
          <w:rFonts w:cstheme="minorHAnsi"/>
          <w:i/>
          <w:iCs/>
          <w:lang w:val="en-US"/>
        </w:rPr>
        <w:t>s</w:t>
      </w:r>
      <w:r w:rsidR="00B1662C" w:rsidRPr="00C867A2">
        <w:rPr>
          <w:rFonts w:cstheme="minorHAnsi"/>
          <w:i/>
          <w:iCs/>
          <w:vertAlign w:val="subscript"/>
          <w:lang w:val="en-US"/>
        </w:rPr>
        <w:t>36</w:t>
      </w:r>
      <w:r w:rsidR="00B1662C" w:rsidRPr="00C867A2">
        <w:rPr>
          <w:rFonts w:cstheme="minorHAnsi"/>
          <w:vertAlign w:val="subscript"/>
          <w:lang w:val="en-US"/>
        </w:rPr>
        <w:t xml:space="preserve"> </w:t>
      </w:r>
      <w:r w:rsidR="00B1662C" w:rsidRPr="00C867A2">
        <w:rPr>
          <w:lang w:val="en-US"/>
        </w:rPr>
        <w:t>= 0.90 – (0.90 – 0.</w:t>
      </w:r>
      <w:r w:rsidR="00035655" w:rsidRPr="00C867A2">
        <w:rPr>
          <w:lang w:val="en-US"/>
        </w:rPr>
        <w:t>075</w:t>
      </w:r>
      <w:r w:rsidR="00B1662C" w:rsidRPr="00C867A2">
        <w:rPr>
          <w:lang w:val="en-US"/>
        </w:rPr>
        <w:t>) (1 – 0.05</w:t>
      </w:r>
      <w:r w:rsidR="00035655" w:rsidRPr="00C867A2">
        <w:rPr>
          <w:lang w:val="en-US"/>
        </w:rPr>
        <w:t>6</w:t>
      </w:r>
      <w:r w:rsidR="00B1662C" w:rsidRPr="00C867A2">
        <w:rPr>
          <w:lang w:val="en-US"/>
        </w:rPr>
        <w:t>)</w:t>
      </w:r>
      <w:r w:rsidR="00B1662C" w:rsidRPr="00C867A2">
        <w:rPr>
          <w:vertAlign w:val="superscript"/>
          <w:lang w:val="en-US"/>
        </w:rPr>
        <w:t>36</w:t>
      </w:r>
    </w:p>
    <w:p w14:paraId="48BFF1F4" w14:textId="642671A3" w:rsidR="00D41C95" w:rsidRPr="000152F6" w:rsidRDefault="00D41C95" w:rsidP="00D41C95">
      <w:pPr>
        <w:jc w:val="center"/>
      </w:pPr>
      <w:r w:rsidRPr="000152F6">
        <w:rPr>
          <w:rFonts w:cstheme="minorHAnsi"/>
          <w:i/>
          <w:iCs/>
        </w:rPr>
        <w:t>s</w:t>
      </w:r>
      <w:r w:rsidRPr="000152F6">
        <w:rPr>
          <w:rFonts w:cstheme="minorHAnsi"/>
          <w:i/>
          <w:iCs/>
          <w:vertAlign w:val="subscript"/>
        </w:rPr>
        <w:t xml:space="preserve">36 = </w:t>
      </w:r>
      <w:r w:rsidRPr="000152F6">
        <w:rPr>
          <w:rFonts w:cstheme="minorHAnsi"/>
        </w:rPr>
        <w:t>0.7</w:t>
      </w:r>
      <w:r w:rsidR="00035655" w:rsidRPr="000152F6">
        <w:rPr>
          <w:rFonts w:cstheme="minorHAnsi"/>
        </w:rPr>
        <w:t>9</w:t>
      </w:r>
    </w:p>
    <w:p w14:paraId="58362BFE" w14:textId="77777777" w:rsidR="000152F6" w:rsidRDefault="007B6666">
      <w:r w:rsidRPr="000152F6">
        <w:t>Este lo que nos dice es que, con los parámetros establecidos, sin dumping y elasticidades</w:t>
      </w:r>
      <w:r w:rsidR="0098551A" w:rsidRPr="000152F6">
        <w:t xml:space="preserve"> establecidas</w:t>
      </w:r>
      <w:r w:rsidRPr="000152F6">
        <w:t>, cuanto mercado tendría Turquía en 36 meses.</w:t>
      </w:r>
      <w:r w:rsidR="00035655" w:rsidRPr="000152F6">
        <w:t xml:space="preserve"> </w:t>
      </w:r>
    </w:p>
    <w:p w14:paraId="0B4F3D82" w14:textId="79F74ABD" w:rsidR="000152F6" w:rsidRDefault="000152F6">
      <w:r>
        <w:t>Para asumir la velocidad de ajuste (</w:t>
      </w:r>
      <w:r w:rsidRPr="000152F6">
        <w:rPr>
          <w:rFonts w:cstheme="minorHAnsi"/>
        </w:rPr>
        <w:t>λ</w:t>
      </w:r>
      <w:r>
        <w:t>) tenemos que tomar en cuenta l</w:t>
      </w:r>
      <w:r w:rsidRPr="000152F6">
        <w:t xml:space="preserve">as elasticidades empíricas reportadas en la literatura para varilla (σ alto pero finito; ε inelástica en el corto plazo) implican que la respuesta del mercado </w:t>
      </w:r>
      <w:r w:rsidRPr="00AE4802">
        <w:t>no es instantánea</w:t>
      </w:r>
      <w:r w:rsidRPr="000152F6">
        <w:t>: aunque el precio relativo favorezca a Turquía, la sustitución toma tiempo por contratos vigentes, plazos logísticos, fricciones de búsqueda/proveedor, y rigideces operativas.</w:t>
      </w:r>
    </w:p>
    <w:p w14:paraId="5D45DC9D" w14:textId="5A8F64A0" w:rsidR="00035655" w:rsidRPr="00746CFC" w:rsidRDefault="000152F6">
      <w:r w:rsidRPr="00746CFC">
        <w:t xml:space="preserve"> En términos técnicos, esto se traduce en que las </w:t>
      </w:r>
      <w:r w:rsidRPr="00917827">
        <w:t>elasticidades de corto plazo</w:t>
      </w:r>
      <w:r w:rsidRPr="00746CFC">
        <w:t xml:space="preserve"> son menores que las de largo plazo, lo que es consistente con un </w:t>
      </w:r>
      <w:r w:rsidRPr="00917827">
        <w:t>mecanismo de ajuste parcial</w:t>
      </w:r>
      <w:r w:rsidRPr="00746CFC">
        <w:t xml:space="preserve">. Por ello adoptamos λ </w:t>
      </w:r>
      <w:r w:rsidRPr="00917827">
        <w:t>estrictamente menor que uno</w:t>
      </w:r>
      <w:r w:rsidRPr="00746CFC">
        <w:t xml:space="preserve"> y, para evitar dependencia de un único supuesto puntual, estructuramos un </w:t>
      </w:r>
      <w:r w:rsidRPr="00917827">
        <w:t>análisis de sensibilidad</w:t>
      </w:r>
      <w:r w:rsidRPr="00746CFC">
        <w:t xml:space="preserve"> con distintos valores de λ, que capturan desde un ajuste prudente hasta uno acelerado. Este enfoque hace el resultado </w:t>
      </w:r>
      <w:r w:rsidRPr="00917827">
        <w:t>robusto</w:t>
      </w:r>
      <w:r w:rsidRPr="00746CFC">
        <w:t xml:space="preserve">: en todos los diferentes rangos plausibles de λ. </w:t>
      </w:r>
      <w:r w:rsidR="00035655" w:rsidRPr="00746CFC">
        <w:t xml:space="preserve">En la siguiente tabla elaboramos el análisis con diferentes escenarios. </w:t>
      </w:r>
    </w:p>
    <w:p w14:paraId="06A29921" w14:textId="77777777" w:rsidR="000152F6" w:rsidRPr="000152F6" w:rsidRDefault="000152F6"/>
    <w:p w14:paraId="5C2D483A" w14:textId="0EE4F4B4" w:rsidR="00035655" w:rsidRPr="000152F6" w:rsidRDefault="00035655" w:rsidP="00035655">
      <w:r w:rsidRPr="000152F6">
        <w:rPr>
          <w:b/>
          <w:bCs/>
        </w:rPr>
        <w:t xml:space="preserve">Tabla </w:t>
      </w:r>
      <w:r w:rsidR="00E2605B" w:rsidRPr="000152F6">
        <w:rPr>
          <w:b/>
          <w:bCs/>
        </w:rPr>
        <w:t>1</w:t>
      </w:r>
      <w:r w:rsidRPr="000152F6">
        <w:rPr>
          <w:b/>
          <w:bCs/>
        </w:rPr>
        <w:t>.</w:t>
      </w:r>
      <w:r w:rsidRPr="000152F6">
        <w:t xml:space="preserve"> Escenarios de sensibilidad: efecto de variar elasticidades en la absorción del mercado por Turquía</w:t>
      </w:r>
    </w:p>
    <w:tbl>
      <w:tblPr>
        <w:tblW w:w="9192" w:type="dxa"/>
        <w:tblLook w:val="04A0" w:firstRow="1" w:lastRow="0" w:firstColumn="1" w:lastColumn="0" w:noHBand="0" w:noVBand="1"/>
      </w:tblPr>
      <w:tblGrid>
        <w:gridCol w:w="2740"/>
        <w:gridCol w:w="980"/>
        <w:gridCol w:w="1040"/>
        <w:gridCol w:w="1280"/>
        <w:gridCol w:w="620"/>
        <w:gridCol w:w="792"/>
        <w:gridCol w:w="820"/>
        <w:gridCol w:w="920"/>
      </w:tblGrid>
      <w:tr w:rsidR="00DA18B0" w:rsidRPr="000152F6" w14:paraId="3C465893" w14:textId="77777777" w:rsidTr="00DA18B0">
        <w:trPr>
          <w:trHeight w:val="288"/>
        </w:trPr>
        <w:tc>
          <w:tcPr>
            <w:tcW w:w="2740"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038C710" w14:textId="77777777" w:rsidR="00DA18B0" w:rsidRPr="0098551A" w:rsidRDefault="00DA18B0" w:rsidP="00163004">
            <w:pPr>
              <w:spacing w:after="0" w:line="240" w:lineRule="auto"/>
              <w:jc w:val="center"/>
              <w:rPr>
                <w:rFonts w:ascii="Calibri" w:eastAsia="Times New Roman" w:hAnsi="Calibri" w:cs="Calibri"/>
                <w:b/>
                <w:bCs/>
                <w:color w:val="000000"/>
                <w:kern w:val="0"/>
                <w:sz w:val="22"/>
                <w:szCs w:val="22"/>
                <w14:ligatures w14:val="none"/>
              </w:rPr>
            </w:pPr>
            <w:r w:rsidRPr="0098551A">
              <w:rPr>
                <w:rFonts w:ascii="Calibri" w:eastAsia="Times New Roman" w:hAnsi="Calibri" w:cs="Calibri"/>
                <w:b/>
                <w:bCs/>
                <w:color w:val="000000"/>
                <w:kern w:val="0"/>
                <w:sz w:val="22"/>
                <w:szCs w:val="22"/>
                <w14:ligatures w14:val="none"/>
              </w:rPr>
              <w:t>Escenario</w:t>
            </w:r>
          </w:p>
        </w:tc>
        <w:tc>
          <w:tcPr>
            <w:tcW w:w="980"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D39A387" w14:textId="1CECF469" w:rsidR="00DA18B0" w:rsidRPr="0098551A" w:rsidRDefault="00DA18B0" w:rsidP="00163004">
            <w:pPr>
              <w:spacing w:after="0" w:line="240" w:lineRule="auto"/>
              <w:jc w:val="center"/>
              <w:rPr>
                <w:rFonts w:ascii="Calibri" w:eastAsia="Times New Roman" w:hAnsi="Calibri" w:cs="Calibri"/>
                <w:b/>
                <w:bCs/>
                <w:color w:val="000000"/>
                <w:kern w:val="0"/>
                <w:sz w:val="22"/>
                <w:szCs w:val="22"/>
                <w14:ligatures w14:val="none"/>
              </w:rPr>
            </w:pPr>
            <w:r w:rsidRPr="0098551A">
              <w:rPr>
                <w:rFonts w:ascii="Calibri" w:eastAsia="Times New Roman" w:hAnsi="Calibri" w:cs="Calibri"/>
                <w:b/>
                <w:bCs/>
                <w:color w:val="000000"/>
                <w:kern w:val="0"/>
                <w:sz w:val="22"/>
                <w:szCs w:val="22"/>
                <w14:ligatures w14:val="none"/>
              </w:rPr>
              <w:t>s0 (202</w:t>
            </w:r>
            <w:r w:rsidR="00DA4803">
              <w:rPr>
                <w:rFonts w:ascii="Calibri" w:eastAsia="Times New Roman" w:hAnsi="Calibri" w:cs="Calibri"/>
                <w:b/>
                <w:bCs/>
                <w:color w:val="000000"/>
                <w:kern w:val="0"/>
                <w:sz w:val="22"/>
                <w:szCs w:val="22"/>
                <w14:ligatures w14:val="none"/>
              </w:rPr>
              <w:t>4</w:t>
            </w:r>
            <w:r w:rsidRPr="0098551A">
              <w:rPr>
                <w:rFonts w:ascii="Calibri" w:eastAsia="Times New Roman" w:hAnsi="Calibri" w:cs="Calibri"/>
                <w:b/>
                <w:bCs/>
                <w:color w:val="000000"/>
                <w:kern w:val="0"/>
                <w:sz w:val="22"/>
                <w:szCs w:val="22"/>
                <w14:ligatures w14:val="none"/>
              </w:rPr>
              <w:t>)</w:t>
            </w:r>
          </w:p>
        </w:tc>
        <w:tc>
          <w:tcPr>
            <w:tcW w:w="1040"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7434F68" w14:textId="77777777" w:rsidR="00DA18B0" w:rsidRPr="000152F6" w:rsidRDefault="00DA18B0" w:rsidP="00163004">
            <w:pPr>
              <w:spacing w:after="0" w:line="240" w:lineRule="auto"/>
              <w:jc w:val="center"/>
              <w:rPr>
                <w:rFonts w:ascii="Calibri" w:eastAsia="Times New Roman" w:hAnsi="Calibri" w:cs="Calibri"/>
                <w:b/>
                <w:bCs/>
                <w:color w:val="000000"/>
                <w:kern w:val="0"/>
                <w:sz w:val="22"/>
                <w:szCs w:val="22"/>
                <w14:ligatures w14:val="none"/>
              </w:rPr>
            </w:pPr>
            <w:r w:rsidRPr="0098551A">
              <w:rPr>
                <w:rFonts w:ascii="Calibri" w:eastAsia="Times New Roman" w:hAnsi="Calibri" w:cs="Calibri"/>
                <w:b/>
                <w:bCs/>
                <w:color w:val="000000"/>
                <w:kern w:val="0"/>
                <w:sz w:val="22"/>
                <w:szCs w:val="22"/>
                <w14:ligatures w14:val="none"/>
              </w:rPr>
              <w:t xml:space="preserve">s* </w:t>
            </w:r>
          </w:p>
          <w:p w14:paraId="0C4A08B3" w14:textId="77777777" w:rsidR="00DA18B0" w:rsidRPr="0098551A" w:rsidRDefault="00DA18B0" w:rsidP="00163004">
            <w:pPr>
              <w:spacing w:after="0" w:line="240" w:lineRule="auto"/>
              <w:jc w:val="center"/>
              <w:rPr>
                <w:rFonts w:ascii="Calibri" w:eastAsia="Times New Roman" w:hAnsi="Calibri" w:cs="Calibri"/>
                <w:b/>
                <w:bCs/>
                <w:color w:val="000000"/>
                <w:kern w:val="0"/>
                <w:sz w:val="22"/>
                <w:szCs w:val="22"/>
                <w14:ligatures w14:val="none"/>
              </w:rPr>
            </w:pPr>
            <w:r w:rsidRPr="0098551A">
              <w:rPr>
                <w:rFonts w:ascii="Calibri" w:eastAsia="Times New Roman" w:hAnsi="Calibri" w:cs="Calibri"/>
                <w:b/>
                <w:bCs/>
                <w:color w:val="000000"/>
                <w:kern w:val="0"/>
                <w:sz w:val="22"/>
                <w:szCs w:val="22"/>
                <w14:ligatures w14:val="none"/>
              </w:rPr>
              <w:t>(largo plazo)</w:t>
            </w:r>
          </w:p>
        </w:tc>
        <w:tc>
          <w:tcPr>
            <w:tcW w:w="1280"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C0F008C" w14:textId="77777777" w:rsidR="00DA18B0" w:rsidRPr="0098551A" w:rsidRDefault="00DA18B0" w:rsidP="00163004">
            <w:pPr>
              <w:spacing w:after="0" w:line="240" w:lineRule="auto"/>
              <w:jc w:val="center"/>
              <w:rPr>
                <w:rFonts w:ascii="Calibri" w:eastAsia="Times New Roman" w:hAnsi="Calibri" w:cs="Calibri"/>
                <w:b/>
                <w:bCs/>
                <w:color w:val="000000"/>
                <w:kern w:val="0"/>
                <w:sz w:val="22"/>
                <w:szCs w:val="22"/>
                <w14:ligatures w14:val="none"/>
              </w:rPr>
            </w:pPr>
            <w:r w:rsidRPr="0098551A">
              <w:rPr>
                <w:rFonts w:ascii="Calibri" w:eastAsia="Times New Roman" w:hAnsi="Calibri" w:cs="Calibri"/>
                <w:b/>
                <w:bCs/>
                <w:color w:val="000000"/>
                <w:kern w:val="0"/>
                <w:sz w:val="22"/>
                <w:szCs w:val="22"/>
                <w14:ligatures w14:val="none"/>
              </w:rPr>
              <w:t>λ mensual</w:t>
            </w:r>
          </w:p>
        </w:tc>
        <w:tc>
          <w:tcPr>
            <w:tcW w:w="620"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694BA8D" w14:textId="77777777" w:rsidR="00DA18B0" w:rsidRPr="0098551A" w:rsidRDefault="00DA18B0" w:rsidP="00163004">
            <w:pPr>
              <w:spacing w:after="0" w:line="240" w:lineRule="auto"/>
              <w:jc w:val="center"/>
              <w:rPr>
                <w:rFonts w:ascii="Calibri" w:eastAsia="Times New Roman" w:hAnsi="Calibri" w:cs="Calibri"/>
                <w:b/>
                <w:bCs/>
                <w:color w:val="000000"/>
                <w:kern w:val="0"/>
                <w:sz w:val="22"/>
                <w:szCs w:val="22"/>
                <w14:ligatures w14:val="none"/>
              </w:rPr>
            </w:pPr>
            <w:r w:rsidRPr="0098551A">
              <w:rPr>
                <w:rFonts w:ascii="Calibri" w:eastAsia="Times New Roman" w:hAnsi="Calibri" w:cs="Calibri"/>
                <w:b/>
                <w:bCs/>
                <w:color w:val="000000"/>
                <w:kern w:val="0"/>
                <w:sz w:val="22"/>
                <w:szCs w:val="22"/>
                <w14:ligatures w14:val="none"/>
              </w:rPr>
              <w:t>ε</w:t>
            </w:r>
          </w:p>
        </w:tc>
        <w:tc>
          <w:tcPr>
            <w:tcW w:w="2532" w:type="dxa"/>
            <w:gridSpan w:val="3"/>
            <w:tcBorders>
              <w:top w:val="single" w:sz="4" w:space="0" w:color="auto"/>
              <w:left w:val="nil"/>
              <w:bottom w:val="single" w:sz="4" w:space="0" w:color="auto"/>
              <w:right w:val="single" w:sz="4" w:space="0" w:color="auto"/>
            </w:tcBorders>
            <w:shd w:val="clear" w:color="auto" w:fill="E7E6E6" w:themeFill="background2"/>
            <w:noWrap/>
            <w:vAlign w:val="bottom"/>
            <w:hideMark/>
          </w:tcPr>
          <w:p w14:paraId="12C575D6" w14:textId="45518812" w:rsidR="00DA18B0" w:rsidRPr="0098551A" w:rsidRDefault="00DA18B0" w:rsidP="00163004">
            <w:pPr>
              <w:spacing w:after="0" w:line="240" w:lineRule="auto"/>
              <w:jc w:val="center"/>
              <w:rPr>
                <w:rFonts w:ascii="Calibri" w:eastAsia="Times New Roman" w:hAnsi="Calibri" w:cs="Calibri"/>
                <w:b/>
                <w:bCs/>
                <w:color w:val="000000"/>
                <w:kern w:val="0"/>
                <w:sz w:val="22"/>
                <w:szCs w:val="22"/>
                <w14:ligatures w14:val="none"/>
              </w:rPr>
            </w:pPr>
            <w:r w:rsidRPr="0098551A">
              <w:rPr>
                <w:rFonts w:ascii="Calibri" w:eastAsia="Times New Roman" w:hAnsi="Calibri" w:cs="Calibri"/>
                <w:b/>
                <w:bCs/>
                <w:color w:val="000000"/>
                <w:kern w:val="0"/>
                <w:sz w:val="22"/>
                <w:szCs w:val="22"/>
                <w14:ligatures w14:val="none"/>
              </w:rPr>
              <w:t xml:space="preserve">Cuota </w:t>
            </w:r>
            <w:r w:rsidR="00AE4802">
              <w:rPr>
                <w:rFonts w:ascii="Calibri" w:eastAsia="Times New Roman" w:hAnsi="Calibri" w:cs="Calibri"/>
                <w:b/>
                <w:bCs/>
                <w:color w:val="000000"/>
                <w:kern w:val="0"/>
                <w:sz w:val="22"/>
                <w:szCs w:val="22"/>
                <w14:ligatures w14:val="none"/>
              </w:rPr>
              <w:t xml:space="preserve">de Marcado </w:t>
            </w:r>
            <w:r w:rsidRPr="0098551A">
              <w:rPr>
                <w:rFonts w:ascii="Calibri" w:eastAsia="Times New Roman" w:hAnsi="Calibri" w:cs="Calibri"/>
                <w:b/>
                <w:bCs/>
                <w:color w:val="000000"/>
                <w:kern w:val="0"/>
                <w:sz w:val="22"/>
                <w:szCs w:val="22"/>
                <w14:ligatures w14:val="none"/>
              </w:rPr>
              <w:t>en tiempo t</w:t>
            </w:r>
          </w:p>
        </w:tc>
      </w:tr>
      <w:tr w:rsidR="00DA18B0" w:rsidRPr="000152F6" w14:paraId="1DA687E6" w14:textId="77777777" w:rsidTr="00DA18B0">
        <w:trPr>
          <w:trHeight w:val="564"/>
        </w:trPr>
        <w:tc>
          <w:tcPr>
            <w:tcW w:w="2740"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1C0E454" w14:textId="77777777" w:rsidR="00DA18B0" w:rsidRPr="0098551A" w:rsidRDefault="00DA18B0" w:rsidP="00163004">
            <w:pPr>
              <w:spacing w:after="0" w:line="240" w:lineRule="auto"/>
              <w:rPr>
                <w:rFonts w:ascii="Calibri" w:eastAsia="Times New Roman" w:hAnsi="Calibri" w:cs="Calibri"/>
                <w:b/>
                <w:bCs/>
                <w:color w:val="000000"/>
                <w:kern w:val="0"/>
                <w:sz w:val="22"/>
                <w:szCs w:val="22"/>
                <w14:ligatures w14:val="none"/>
              </w:rPr>
            </w:pPr>
          </w:p>
        </w:tc>
        <w:tc>
          <w:tcPr>
            <w:tcW w:w="980"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0045E0F" w14:textId="77777777" w:rsidR="00DA18B0" w:rsidRPr="0098551A" w:rsidRDefault="00DA18B0" w:rsidP="00163004">
            <w:pPr>
              <w:spacing w:after="0" w:line="240" w:lineRule="auto"/>
              <w:rPr>
                <w:rFonts w:ascii="Calibri" w:eastAsia="Times New Roman" w:hAnsi="Calibri" w:cs="Calibri"/>
                <w:b/>
                <w:bCs/>
                <w:color w:val="000000"/>
                <w:kern w:val="0"/>
                <w:sz w:val="22"/>
                <w:szCs w:val="22"/>
                <w14:ligatures w14:val="none"/>
              </w:rPr>
            </w:pPr>
          </w:p>
        </w:tc>
        <w:tc>
          <w:tcPr>
            <w:tcW w:w="1040"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2991C86" w14:textId="77777777" w:rsidR="00DA18B0" w:rsidRPr="0098551A" w:rsidRDefault="00DA18B0" w:rsidP="00163004">
            <w:pPr>
              <w:spacing w:after="0" w:line="240" w:lineRule="auto"/>
              <w:rPr>
                <w:rFonts w:ascii="Calibri" w:eastAsia="Times New Roman" w:hAnsi="Calibri" w:cs="Calibri"/>
                <w:b/>
                <w:bCs/>
                <w:color w:val="000000"/>
                <w:kern w:val="0"/>
                <w:sz w:val="22"/>
                <w:szCs w:val="22"/>
                <w14:ligatures w14:val="none"/>
              </w:rPr>
            </w:pPr>
          </w:p>
        </w:tc>
        <w:tc>
          <w:tcPr>
            <w:tcW w:w="1280"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E76F2B5" w14:textId="77777777" w:rsidR="00DA18B0" w:rsidRPr="0098551A" w:rsidRDefault="00DA18B0" w:rsidP="00163004">
            <w:pPr>
              <w:spacing w:after="0" w:line="240" w:lineRule="auto"/>
              <w:rPr>
                <w:rFonts w:ascii="Calibri" w:eastAsia="Times New Roman" w:hAnsi="Calibri" w:cs="Calibri"/>
                <w:b/>
                <w:bCs/>
                <w:color w:val="000000"/>
                <w:kern w:val="0"/>
                <w:sz w:val="22"/>
                <w:szCs w:val="22"/>
                <w14:ligatures w14:val="none"/>
              </w:rPr>
            </w:pPr>
          </w:p>
        </w:tc>
        <w:tc>
          <w:tcPr>
            <w:tcW w:w="620"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449E9F7" w14:textId="77777777" w:rsidR="00DA18B0" w:rsidRPr="0098551A" w:rsidRDefault="00DA18B0" w:rsidP="00163004">
            <w:pPr>
              <w:spacing w:after="0" w:line="240" w:lineRule="auto"/>
              <w:rPr>
                <w:rFonts w:ascii="Calibri" w:eastAsia="Times New Roman" w:hAnsi="Calibri" w:cs="Calibri"/>
                <w:b/>
                <w:bCs/>
                <w:color w:val="000000"/>
                <w:kern w:val="0"/>
                <w:sz w:val="22"/>
                <w:szCs w:val="22"/>
                <w14:ligatures w14:val="none"/>
              </w:rPr>
            </w:pPr>
          </w:p>
        </w:tc>
        <w:tc>
          <w:tcPr>
            <w:tcW w:w="792" w:type="dxa"/>
            <w:tcBorders>
              <w:top w:val="nil"/>
              <w:left w:val="nil"/>
              <w:bottom w:val="single" w:sz="4" w:space="0" w:color="auto"/>
              <w:right w:val="single" w:sz="4" w:space="0" w:color="auto"/>
            </w:tcBorders>
            <w:shd w:val="clear" w:color="auto" w:fill="E7E6E6" w:themeFill="background2"/>
            <w:vAlign w:val="center"/>
            <w:hideMark/>
          </w:tcPr>
          <w:p w14:paraId="72A164E5" w14:textId="247F89DF" w:rsidR="00DA18B0" w:rsidRPr="0098551A" w:rsidRDefault="00DA18B0" w:rsidP="00163004">
            <w:pPr>
              <w:spacing w:after="0" w:line="240" w:lineRule="auto"/>
              <w:jc w:val="center"/>
              <w:rPr>
                <w:rFonts w:ascii="Calibri" w:eastAsia="Times New Roman" w:hAnsi="Calibri" w:cs="Calibri"/>
                <w:b/>
                <w:bCs/>
                <w:color w:val="000000"/>
                <w:kern w:val="0"/>
                <w:sz w:val="22"/>
                <w:szCs w:val="22"/>
                <w14:ligatures w14:val="none"/>
              </w:rPr>
            </w:pPr>
            <w:r w:rsidRPr="0098551A">
              <w:rPr>
                <w:rFonts w:ascii="Calibri" w:eastAsia="Times New Roman" w:hAnsi="Calibri" w:cs="Calibri"/>
                <w:b/>
                <w:bCs/>
                <w:color w:val="000000"/>
                <w:kern w:val="0"/>
                <w:sz w:val="22"/>
                <w:szCs w:val="22"/>
                <w14:ligatures w14:val="none"/>
              </w:rPr>
              <w:t xml:space="preserve">12 </w:t>
            </w:r>
            <w:r w:rsidRPr="000152F6">
              <w:rPr>
                <w:rFonts w:ascii="Calibri" w:eastAsia="Times New Roman" w:hAnsi="Calibri" w:cs="Calibri"/>
                <w:b/>
                <w:bCs/>
                <w:color w:val="000000"/>
                <w:kern w:val="0"/>
                <w:sz w:val="22"/>
                <w:szCs w:val="22"/>
                <w14:ligatures w14:val="none"/>
              </w:rPr>
              <w:t>meses</w:t>
            </w:r>
          </w:p>
        </w:tc>
        <w:tc>
          <w:tcPr>
            <w:tcW w:w="820" w:type="dxa"/>
            <w:tcBorders>
              <w:top w:val="nil"/>
              <w:left w:val="nil"/>
              <w:bottom w:val="single" w:sz="4" w:space="0" w:color="auto"/>
              <w:right w:val="single" w:sz="4" w:space="0" w:color="auto"/>
            </w:tcBorders>
            <w:shd w:val="clear" w:color="auto" w:fill="E7E6E6" w:themeFill="background2"/>
            <w:vAlign w:val="center"/>
            <w:hideMark/>
          </w:tcPr>
          <w:p w14:paraId="34A89FED" w14:textId="5CA7380B" w:rsidR="00DA18B0" w:rsidRPr="0098551A" w:rsidRDefault="00DA18B0" w:rsidP="00163004">
            <w:pPr>
              <w:spacing w:after="0" w:line="240" w:lineRule="auto"/>
              <w:jc w:val="center"/>
              <w:rPr>
                <w:rFonts w:ascii="Calibri" w:eastAsia="Times New Roman" w:hAnsi="Calibri" w:cs="Calibri"/>
                <w:b/>
                <w:bCs/>
                <w:color w:val="000000"/>
                <w:kern w:val="0"/>
                <w:sz w:val="22"/>
                <w:szCs w:val="22"/>
                <w14:ligatures w14:val="none"/>
              </w:rPr>
            </w:pPr>
            <w:r w:rsidRPr="0098551A">
              <w:rPr>
                <w:rFonts w:ascii="Calibri" w:eastAsia="Times New Roman" w:hAnsi="Calibri" w:cs="Calibri"/>
                <w:b/>
                <w:bCs/>
                <w:color w:val="000000"/>
                <w:kern w:val="0"/>
                <w:sz w:val="22"/>
                <w:szCs w:val="22"/>
                <w14:ligatures w14:val="none"/>
              </w:rPr>
              <w:t xml:space="preserve">24 </w:t>
            </w:r>
            <w:r w:rsidRPr="000152F6">
              <w:rPr>
                <w:rFonts w:ascii="Calibri" w:eastAsia="Times New Roman" w:hAnsi="Calibri" w:cs="Calibri"/>
                <w:b/>
                <w:bCs/>
                <w:color w:val="000000"/>
                <w:kern w:val="0"/>
                <w:sz w:val="22"/>
                <w:szCs w:val="22"/>
                <w14:ligatures w14:val="none"/>
              </w:rPr>
              <w:t>meses</w:t>
            </w:r>
          </w:p>
        </w:tc>
        <w:tc>
          <w:tcPr>
            <w:tcW w:w="920" w:type="dxa"/>
            <w:tcBorders>
              <w:top w:val="nil"/>
              <w:left w:val="nil"/>
              <w:bottom w:val="single" w:sz="4" w:space="0" w:color="auto"/>
              <w:right w:val="single" w:sz="4" w:space="0" w:color="auto"/>
            </w:tcBorders>
            <w:shd w:val="clear" w:color="auto" w:fill="E7E6E6" w:themeFill="background2"/>
            <w:vAlign w:val="center"/>
            <w:hideMark/>
          </w:tcPr>
          <w:p w14:paraId="440C0EF4" w14:textId="16A2683B" w:rsidR="00DA18B0" w:rsidRPr="0098551A" w:rsidRDefault="00DA18B0" w:rsidP="00163004">
            <w:pPr>
              <w:spacing w:after="0" w:line="240" w:lineRule="auto"/>
              <w:jc w:val="center"/>
              <w:rPr>
                <w:rFonts w:ascii="Calibri" w:eastAsia="Times New Roman" w:hAnsi="Calibri" w:cs="Calibri"/>
                <w:b/>
                <w:bCs/>
                <w:color w:val="000000"/>
                <w:kern w:val="0"/>
                <w:sz w:val="22"/>
                <w:szCs w:val="22"/>
                <w14:ligatures w14:val="none"/>
              </w:rPr>
            </w:pPr>
            <w:r w:rsidRPr="0098551A">
              <w:rPr>
                <w:rFonts w:ascii="Calibri" w:eastAsia="Times New Roman" w:hAnsi="Calibri" w:cs="Calibri"/>
                <w:b/>
                <w:bCs/>
                <w:color w:val="000000"/>
                <w:kern w:val="0"/>
                <w:sz w:val="22"/>
                <w:szCs w:val="22"/>
                <w14:ligatures w14:val="none"/>
              </w:rPr>
              <w:t xml:space="preserve">36 </w:t>
            </w:r>
            <w:r w:rsidRPr="000152F6">
              <w:rPr>
                <w:rFonts w:ascii="Calibri" w:eastAsia="Times New Roman" w:hAnsi="Calibri" w:cs="Calibri"/>
                <w:b/>
                <w:bCs/>
                <w:color w:val="000000"/>
                <w:kern w:val="0"/>
                <w:sz w:val="22"/>
                <w:szCs w:val="22"/>
                <w14:ligatures w14:val="none"/>
              </w:rPr>
              <w:t>meses</w:t>
            </w:r>
          </w:p>
        </w:tc>
      </w:tr>
      <w:tr w:rsidR="00680A2F" w:rsidRPr="000152F6" w14:paraId="34412CF5" w14:textId="77777777" w:rsidTr="00DA18B0">
        <w:trPr>
          <w:trHeight w:val="288"/>
        </w:trPr>
        <w:tc>
          <w:tcPr>
            <w:tcW w:w="2740" w:type="dxa"/>
            <w:tcBorders>
              <w:top w:val="single" w:sz="4" w:space="0" w:color="auto"/>
              <w:left w:val="single" w:sz="4" w:space="0" w:color="auto"/>
              <w:bottom w:val="single" w:sz="4" w:space="0" w:color="auto"/>
              <w:right w:val="single" w:sz="4" w:space="0" w:color="auto"/>
            </w:tcBorders>
            <w:noWrap/>
            <w:vAlign w:val="bottom"/>
            <w:hideMark/>
          </w:tcPr>
          <w:p w14:paraId="18B8538E" w14:textId="5A374320" w:rsidR="00680A2F" w:rsidRPr="0098551A" w:rsidRDefault="00680A2F" w:rsidP="00680A2F">
            <w:pPr>
              <w:spacing w:after="0" w:line="240" w:lineRule="auto"/>
              <w:rPr>
                <w:rFonts w:ascii="Calibri" w:eastAsia="Times New Roman" w:hAnsi="Calibri" w:cs="Calibri"/>
                <w:color w:val="000000"/>
                <w:kern w:val="0"/>
                <w:sz w:val="22"/>
                <w:szCs w:val="22"/>
                <w14:ligatures w14:val="none"/>
              </w:rPr>
            </w:pPr>
            <w:r>
              <w:rPr>
                <w:rFonts w:ascii="Calibri" w:hAnsi="Calibri" w:cs="Calibri"/>
                <w:color w:val="000000"/>
                <w:sz w:val="22"/>
                <w:szCs w:val="22"/>
              </w:rPr>
              <w:t>Base (referencia)</w:t>
            </w:r>
          </w:p>
        </w:tc>
        <w:tc>
          <w:tcPr>
            <w:tcW w:w="980" w:type="dxa"/>
            <w:tcBorders>
              <w:top w:val="single" w:sz="4" w:space="0" w:color="auto"/>
              <w:left w:val="single" w:sz="4" w:space="0" w:color="auto"/>
              <w:bottom w:val="single" w:sz="4" w:space="0" w:color="auto"/>
              <w:right w:val="single" w:sz="4" w:space="0" w:color="auto"/>
            </w:tcBorders>
            <w:noWrap/>
            <w:vAlign w:val="bottom"/>
            <w:hideMark/>
          </w:tcPr>
          <w:p w14:paraId="726A2F9F" w14:textId="1E7C0DD9" w:rsidR="00680A2F" w:rsidRPr="00680A2F" w:rsidRDefault="00680A2F" w:rsidP="00680A2F">
            <w:pPr>
              <w:spacing w:after="0" w:line="240" w:lineRule="auto"/>
              <w:jc w:val="center"/>
              <w:rPr>
                <w:rFonts w:ascii="Calibri" w:eastAsia="Times New Roman" w:hAnsi="Calibri" w:cs="Calibri"/>
                <w:color w:val="000000"/>
                <w:kern w:val="0"/>
                <w:sz w:val="22"/>
                <w:szCs w:val="22"/>
                <w:highlight w:val="yellow"/>
                <w14:ligatures w14:val="none"/>
              </w:rPr>
            </w:pPr>
            <w:r>
              <w:rPr>
                <w:rFonts w:ascii="Calibri" w:hAnsi="Calibri" w:cs="Calibri"/>
                <w:color w:val="000000"/>
                <w:sz w:val="22"/>
                <w:szCs w:val="22"/>
              </w:rPr>
              <w:t>1.3%</w:t>
            </w:r>
          </w:p>
        </w:tc>
        <w:tc>
          <w:tcPr>
            <w:tcW w:w="1040" w:type="dxa"/>
            <w:tcBorders>
              <w:top w:val="single" w:sz="4" w:space="0" w:color="auto"/>
              <w:left w:val="single" w:sz="4" w:space="0" w:color="auto"/>
              <w:bottom w:val="single" w:sz="4" w:space="0" w:color="auto"/>
              <w:right w:val="single" w:sz="4" w:space="0" w:color="auto"/>
            </w:tcBorders>
            <w:noWrap/>
            <w:vAlign w:val="bottom"/>
            <w:hideMark/>
          </w:tcPr>
          <w:p w14:paraId="6EB1DA13" w14:textId="182BFD00" w:rsidR="00680A2F" w:rsidRPr="0098551A" w:rsidRDefault="00680A2F" w:rsidP="00680A2F">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90%</w:t>
            </w:r>
          </w:p>
        </w:tc>
        <w:tc>
          <w:tcPr>
            <w:tcW w:w="1280" w:type="dxa"/>
            <w:tcBorders>
              <w:top w:val="single" w:sz="4" w:space="0" w:color="auto"/>
              <w:left w:val="single" w:sz="4" w:space="0" w:color="auto"/>
              <w:bottom w:val="single" w:sz="4" w:space="0" w:color="auto"/>
              <w:right w:val="single" w:sz="4" w:space="0" w:color="auto"/>
            </w:tcBorders>
            <w:noWrap/>
            <w:vAlign w:val="bottom"/>
            <w:hideMark/>
          </w:tcPr>
          <w:p w14:paraId="2503FA90" w14:textId="6A95A132" w:rsidR="00680A2F" w:rsidRPr="0098551A" w:rsidRDefault="00680A2F" w:rsidP="00680A2F">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0.0561</w:t>
            </w:r>
          </w:p>
        </w:tc>
        <w:tc>
          <w:tcPr>
            <w:tcW w:w="620" w:type="dxa"/>
            <w:tcBorders>
              <w:top w:val="single" w:sz="4" w:space="0" w:color="auto"/>
              <w:left w:val="single" w:sz="4" w:space="0" w:color="auto"/>
              <w:bottom w:val="single" w:sz="4" w:space="0" w:color="auto"/>
              <w:right w:val="single" w:sz="4" w:space="0" w:color="auto"/>
            </w:tcBorders>
            <w:noWrap/>
            <w:vAlign w:val="bottom"/>
            <w:hideMark/>
          </w:tcPr>
          <w:p w14:paraId="24B01D50" w14:textId="0955DDD9" w:rsidR="00680A2F" w:rsidRPr="0098551A" w:rsidRDefault="00680A2F" w:rsidP="00680A2F">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-0.5</w:t>
            </w:r>
          </w:p>
        </w:tc>
        <w:tc>
          <w:tcPr>
            <w:tcW w:w="792" w:type="dxa"/>
            <w:tcBorders>
              <w:top w:val="single" w:sz="4" w:space="0" w:color="auto"/>
              <w:left w:val="single" w:sz="4" w:space="0" w:color="auto"/>
              <w:bottom w:val="single" w:sz="4" w:space="0" w:color="auto"/>
              <w:right w:val="single" w:sz="4" w:space="0" w:color="auto"/>
            </w:tcBorders>
            <w:noWrap/>
            <w:vAlign w:val="bottom"/>
            <w:hideMark/>
          </w:tcPr>
          <w:p w14:paraId="136145FB" w14:textId="3E2C89C6" w:rsidR="00680A2F" w:rsidRPr="0098551A" w:rsidRDefault="00680A2F" w:rsidP="00680A2F">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45.6%</w:t>
            </w:r>
          </w:p>
        </w:tc>
        <w:tc>
          <w:tcPr>
            <w:tcW w:w="820" w:type="dxa"/>
            <w:tcBorders>
              <w:top w:val="single" w:sz="4" w:space="0" w:color="auto"/>
              <w:left w:val="single" w:sz="4" w:space="0" w:color="auto"/>
              <w:bottom w:val="single" w:sz="4" w:space="0" w:color="auto"/>
              <w:right w:val="single" w:sz="4" w:space="0" w:color="auto"/>
            </w:tcBorders>
            <w:noWrap/>
            <w:vAlign w:val="bottom"/>
            <w:hideMark/>
          </w:tcPr>
          <w:p w14:paraId="15C65F57" w14:textId="4DAE56C2" w:rsidR="00680A2F" w:rsidRPr="0098551A" w:rsidRDefault="00680A2F" w:rsidP="00680A2F">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67.8%</w:t>
            </w:r>
          </w:p>
        </w:tc>
        <w:tc>
          <w:tcPr>
            <w:tcW w:w="920" w:type="dxa"/>
            <w:tcBorders>
              <w:top w:val="single" w:sz="4" w:space="0" w:color="auto"/>
              <w:left w:val="single" w:sz="4" w:space="0" w:color="auto"/>
              <w:bottom w:val="single" w:sz="4" w:space="0" w:color="auto"/>
              <w:right w:val="single" w:sz="4" w:space="0" w:color="auto"/>
            </w:tcBorders>
            <w:noWrap/>
            <w:vAlign w:val="bottom"/>
            <w:hideMark/>
          </w:tcPr>
          <w:p w14:paraId="76444613" w14:textId="3443248C" w:rsidR="00680A2F" w:rsidRPr="0098551A" w:rsidRDefault="00680A2F" w:rsidP="00680A2F">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78.9%</w:t>
            </w:r>
          </w:p>
        </w:tc>
      </w:tr>
      <w:tr w:rsidR="00680A2F" w:rsidRPr="000152F6" w14:paraId="1DA757B8" w14:textId="77777777" w:rsidTr="00DA18B0">
        <w:trPr>
          <w:trHeight w:val="288"/>
        </w:trPr>
        <w:tc>
          <w:tcPr>
            <w:tcW w:w="2740" w:type="dxa"/>
            <w:tcBorders>
              <w:top w:val="single" w:sz="4" w:space="0" w:color="auto"/>
              <w:left w:val="single" w:sz="4" w:space="0" w:color="auto"/>
              <w:bottom w:val="single" w:sz="4" w:space="0" w:color="auto"/>
              <w:right w:val="single" w:sz="4" w:space="0" w:color="auto"/>
            </w:tcBorders>
            <w:noWrap/>
            <w:vAlign w:val="bottom"/>
            <w:hideMark/>
          </w:tcPr>
          <w:p w14:paraId="436675C4" w14:textId="2C22717E" w:rsidR="00680A2F" w:rsidRPr="0098551A" w:rsidRDefault="00680A2F" w:rsidP="00680A2F">
            <w:pPr>
              <w:spacing w:after="0" w:line="240" w:lineRule="auto"/>
              <w:rPr>
                <w:rFonts w:ascii="Calibri" w:eastAsia="Times New Roman" w:hAnsi="Calibri" w:cs="Calibri"/>
                <w:color w:val="000000"/>
                <w:kern w:val="0"/>
                <w:sz w:val="22"/>
                <w:szCs w:val="22"/>
                <w14:ligatures w14:val="none"/>
              </w:rPr>
            </w:pPr>
            <w:r>
              <w:rPr>
                <w:rFonts w:ascii="Calibri" w:hAnsi="Calibri" w:cs="Calibri"/>
                <w:color w:val="000000"/>
                <w:sz w:val="22"/>
                <w:szCs w:val="22"/>
              </w:rPr>
              <w:t>Baja sustitución (σ↓)</w:t>
            </w:r>
          </w:p>
        </w:tc>
        <w:tc>
          <w:tcPr>
            <w:tcW w:w="980" w:type="dxa"/>
            <w:tcBorders>
              <w:top w:val="single" w:sz="4" w:space="0" w:color="auto"/>
              <w:left w:val="single" w:sz="4" w:space="0" w:color="auto"/>
              <w:bottom w:val="single" w:sz="4" w:space="0" w:color="auto"/>
              <w:right w:val="single" w:sz="4" w:space="0" w:color="auto"/>
            </w:tcBorders>
            <w:noWrap/>
            <w:vAlign w:val="bottom"/>
            <w:hideMark/>
          </w:tcPr>
          <w:p w14:paraId="4CC0B3F9" w14:textId="0EDDE10F" w:rsidR="00680A2F" w:rsidRPr="00680A2F" w:rsidRDefault="00680A2F" w:rsidP="00680A2F">
            <w:pPr>
              <w:spacing w:after="0" w:line="240" w:lineRule="auto"/>
              <w:jc w:val="center"/>
              <w:rPr>
                <w:rFonts w:ascii="Calibri" w:eastAsia="Times New Roman" w:hAnsi="Calibri" w:cs="Calibri"/>
                <w:color w:val="000000"/>
                <w:kern w:val="0"/>
                <w:sz w:val="22"/>
                <w:szCs w:val="22"/>
                <w:highlight w:val="yellow"/>
                <w14:ligatures w14:val="none"/>
              </w:rPr>
            </w:pPr>
            <w:r>
              <w:rPr>
                <w:rFonts w:ascii="Calibri" w:hAnsi="Calibri" w:cs="Calibri"/>
                <w:color w:val="000000"/>
                <w:sz w:val="22"/>
                <w:szCs w:val="22"/>
              </w:rPr>
              <w:t>1.3%</w:t>
            </w:r>
          </w:p>
        </w:tc>
        <w:tc>
          <w:tcPr>
            <w:tcW w:w="1040" w:type="dxa"/>
            <w:tcBorders>
              <w:top w:val="single" w:sz="4" w:space="0" w:color="auto"/>
              <w:left w:val="single" w:sz="4" w:space="0" w:color="auto"/>
              <w:bottom w:val="single" w:sz="4" w:space="0" w:color="auto"/>
              <w:right w:val="single" w:sz="4" w:space="0" w:color="auto"/>
            </w:tcBorders>
            <w:noWrap/>
            <w:vAlign w:val="bottom"/>
            <w:hideMark/>
          </w:tcPr>
          <w:p w14:paraId="17C53425" w14:textId="710FB9E3" w:rsidR="00680A2F" w:rsidRPr="0098551A" w:rsidRDefault="00680A2F" w:rsidP="00680A2F">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85%</w:t>
            </w:r>
          </w:p>
        </w:tc>
        <w:tc>
          <w:tcPr>
            <w:tcW w:w="1280" w:type="dxa"/>
            <w:tcBorders>
              <w:top w:val="single" w:sz="4" w:space="0" w:color="auto"/>
              <w:left w:val="single" w:sz="4" w:space="0" w:color="auto"/>
              <w:bottom w:val="single" w:sz="4" w:space="0" w:color="auto"/>
              <w:right w:val="single" w:sz="4" w:space="0" w:color="auto"/>
            </w:tcBorders>
            <w:noWrap/>
            <w:vAlign w:val="bottom"/>
            <w:hideMark/>
          </w:tcPr>
          <w:p w14:paraId="37351564" w14:textId="035B3793" w:rsidR="00680A2F" w:rsidRPr="0098551A" w:rsidRDefault="00680A2F" w:rsidP="00680A2F">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0.0293</w:t>
            </w:r>
          </w:p>
        </w:tc>
        <w:tc>
          <w:tcPr>
            <w:tcW w:w="620" w:type="dxa"/>
            <w:tcBorders>
              <w:top w:val="single" w:sz="4" w:space="0" w:color="auto"/>
              <w:left w:val="single" w:sz="4" w:space="0" w:color="auto"/>
              <w:bottom w:val="single" w:sz="4" w:space="0" w:color="auto"/>
              <w:right w:val="single" w:sz="4" w:space="0" w:color="auto"/>
            </w:tcBorders>
            <w:noWrap/>
            <w:vAlign w:val="bottom"/>
            <w:hideMark/>
          </w:tcPr>
          <w:p w14:paraId="0A8279CB" w14:textId="5D6FAA7D" w:rsidR="00680A2F" w:rsidRPr="0098551A" w:rsidRDefault="00680A2F" w:rsidP="00680A2F">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-0.5</w:t>
            </w:r>
          </w:p>
        </w:tc>
        <w:tc>
          <w:tcPr>
            <w:tcW w:w="792" w:type="dxa"/>
            <w:tcBorders>
              <w:top w:val="single" w:sz="4" w:space="0" w:color="auto"/>
              <w:left w:val="single" w:sz="4" w:space="0" w:color="auto"/>
              <w:bottom w:val="single" w:sz="4" w:space="0" w:color="auto"/>
              <w:right w:val="single" w:sz="4" w:space="0" w:color="auto"/>
            </w:tcBorders>
            <w:noWrap/>
            <w:vAlign w:val="bottom"/>
            <w:hideMark/>
          </w:tcPr>
          <w:p w14:paraId="4A8719C4" w14:textId="1FEC5E12" w:rsidR="00680A2F" w:rsidRPr="0098551A" w:rsidRDefault="00680A2F" w:rsidP="00680A2F">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26.4%</w:t>
            </w:r>
          </w:p>
        </w:tc>
        <w:tc>
          <w:tcPr>
            <w:tcW w:w="820" w:type="dxa"/>
            <w:tcBorders>
              <w:top w:val="single" w:sz="4" w:space="0" w:color="auto"/>
              <w:left w:val="single" w:sz="4" w:space="0" w:color="auto"/>
              <w:bottom w:val="single" w:sz="4" w:space="0" w:color="auto"/>
              <w:right w:val="single" w:sz="4" w:space="0" w:color="auto"/>
            </w:tcBorders>
            <w:noWrap/>
            <w:vAlign w:val="bottom"/>
            <w:hideMark/>
          </w:tcPr>
          <w:p w14:paraId="3BF456CF" w14:textId="49E19827" w:rsidR="00680A2F" w:rsidRPr="0098551A" w:rsidRDefault="00680A2F" w:rsidP="00680A2F">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44.0%</w:t>
            </w:r>
          </w:p>
        </w:tc>
        <w:tc>
          <w:tcPr>
            <w:tcW w:w="920" w:type="dxa"/>
            <w:tcBorders>
              <w:top w:val="single" w:sz="4" w:space="0" w:color="auto"/>
              <w:left w:val="single" w:sz="4" w:space="0" w:color="auto"/>
              <w:bottom w:val="single" w:sz="4" w:space="0" w:color="auto"/>
              <w:right w:val="single" w:sz="4" w:space="0" w:color="auto"/>
            </w:tcBorders>
            <w:noWrap/>
            <w:vAlign w:val="bottom"/>
            <w:hideMark/>
          </w:tcPr>
          <w:p w14:paraId="27B31E8A" w14:textId="6E96F22C" w:rsidR="00680A2F" w:rsidRPr="0098551A" w:rsidRDefault="00680A2F" w:rsidP="00680A2F">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56.3%</w:t>
            </w:r>
          </w:p>
        </w:tc>
      </w:tr>
      <w:tr w:rsidR="00680A2F" w:rsidRPr="000152F6" w14:paraId="43F87E37" w14:textId="77777777" w:rsidTr="00DA18B0">
        <w:trPr>
          <w:trHeight w:val="288"/>
        </w:trPr>
        <w:tc>
          <w:tcPr>
            <w:tcW w:w="2740" w:type="dxa"/>
            <w:tcBorders>
              <w:top w:val="single" w:sz="4" w:space="0" w:color="auto"/>
              <w:left w:val="single" w:sz="4" w:space="0" w:color="auto"/>
              <w:bottom w:val="single" w:sz="4" w:space="0" w:color="auto"/>
              <w:right w:val="single" w:sz="4" w:space="0" w:color="auto"/>
            </w:tcBorders>
            <w:noWrap/>
            <w:vAlign w:val="bottom"/>
            <w:hideMark/>
          </w:tcPr>
          <w:p w14:paraId="37DD018A" w14:textId="4BE4A5D6" w:rsidR="00680A2F" w:rsidRPr="0098551A" w:rsidRDefault="00680A2F" w:rsidP="00680A2F">
            <w:pPr>
              <w:spacing w:after="0" w:line="240" w:lineRule="auto"/>
              <w:rPr>
                <w:rFonts w:ascii="Calibri" w:eastAsia="Times New Roman" w:hAnsi="Calibri" w:cs="Calibri"/>
                <w:color w:val="000000"/>
                <w:kern w:val="0"/>
                <w:sz w:val="22"/>
                <w:szCs w:val="22"/>
                <w14:ligatures w14:val="none"/>
              </w:rPr>
            </w:pPr>
            <w:r>
              <w:rPr>
                <w:rFonts w:ascii="Calibri" w:hAnsi="Calibri" w:cs="Calibri"/>
                <w:color w:val="000000"/>
                <w:sz w:val="22"/>
                <w:szCs w:val="22"/>
              </w:rPr>
              <w:t>Alta sustitución (σ↑)</w:t>
            </w:r>
          </w:p>
        </w:tc>
        <w:tc>
          <w:tcPr>
            <w:tcW w:w="980" w:type="dxa"/>
            <w:tcBorders>
              <w:top w:val="single" w:sz="4" w:space="0" w:color="auto"/>
              <w:left w:val="single" w:sz="4" w:space="0" w:color="auto"/>
              <w:bottom w:val="single" w:sz="4" w:space="0" w:color="auto"/>
              <w:right w:val="single" w:sz="4" w:space="0" w:color="auto"/>
            </w:tcBorders>
            <w:noWrap/>
            <w:vAlign w:val="bottom"/>
            <w:hideMark/>
          </w:tcPr>
          <w:p w14:paraId="3490E0DA" w14:textId="2FD5724E" w:rsidR="00680A2F" w:rsidRPr="00680A2F" w:rsidRDefault="00680A2F" w:rsidP="00680A2F">
            <w:pPr>
              <w:spacing w:after="0" w:line="240" w:lineRule="auto"/>
              <w:jc w:val="center"/>
              <w:rPr>
                <w:rFonts w:ascii="Calibri" w:eastAsia="Times New Roman" w:hAnsi="Calibri" w:cs="Calibri"/>
                <w:color w:val="000000"/>
                <w:kern w:val="0"/>
                <w:sz w:val="22"/>
                <w:szCs w:val="22"/>
                <w:highlight w:val="yellow"/>
                <w14:ligatures w14:val="none"/>
              </w:rPr>
            </w:pPr>
            <w:r>
              <w:rPr>
                <w:rFonts w:ascii="Calibri" w:hAnsi="Calibri" w:cs="Calibri"/>
                <w:color w:val="000000"/>
                <w:sz w:val="22"/>
                <w:szCs w:val="22"/>
              </w:rPr>
              <w:t>1.3%</w:t>
            </w:r>
          </w:p>
        </w:tc>
        <w:tc>
          <w:tcPr>
            <w:tcW w:w="1040" w:type="dxa"/>
            <w:tcBorders>
              <w:top w:val="single" w:sz="4" w:space="0" w:color="auto"/>
              <w:left w:val="single" w:sz="4" w:space="0" w:color="auto"/>
              <w:bottom w:val="single" w:sz="4" w:space="0" w:color="auto"/>
              <w:right w:val="single" w:sz="4" w:space="0" w:color="auto"/>
            </w:tcBorders>
            <w:noWrap/>
            <w:vAlign w:val="bottom"/>
            <w:hideMark/>
          </w:tcPr>
          <w:p w14:paraId="350EDD3E" w14:textId="2A8ED89A" w:rsidR="00680A2F" w:rsidRPr="0098551A" w:rsidRDefault="00680A2F" w:rsidP="00680A2F">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100%</w:t>
            </w:r>
          </w:p>
        </w:tc>
        <w:tc>
          <w:tcPr>
            <w:tcW w:w="1280" w:type="dxa"/>
            <w:tcBorders>
              <w:top w:val="single" w:sz="4" w:space="0" w:color="auto"/>
              <w:left w:val="single" w:sz="4" w:space="0" w:color="auto"/>
              <w:bottom w:val="single" w:sz="4" w:space="0" w:color="auto"/>
              <w:right w:val="single" w:sz="4" w:space="0" w:color="auto"/>
            </w:tcBorders>
            <w:noWrap/>
            <w:vAlign w:val="bottom"/>
            <w:hideMark/>
          </w:tcPr>
          <w:p w14:paraId="3FBA0150" w14:textId="4518639D" w:rsidR="00680A2F" w:rsidRPr="0098551A" w:rsidRDefault="00680A2F" w:rsidP="00680A2F">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0.1255</w:t>
            </w:r>
          </w:p>
        </w:tc>
        <w:tc>
          <w:tcPr>
            <w:tcW w:w="620" w:type="dxa"/>
            <w:tcBorders>
              <w:top w:val="single" w:sz="4" w:space="0" w:color="auto"/>
              <w:left w:val="single" w:sz="4" w:space="0" w:color="auto"/>
              <w:bottom w:val="single" w:sz="4" w:space="0" w:color="auto"/>
              <w:right w:val="single" w:sz="4" w:space="0" w:color="auto"/>
            </w:tcBorders>
            <w:noWrap/>
            <w:vAlign w:val="bottom"/>
            <w:hideMark/>
          </w:tcPr>
          <w:p w14:paraId="5DD127B0" w14:textId="53B24571" w:rsidR="00680A2F" w:rsidRPr="0098551A" w:rsidRDefault="00680A2F" w:rsidP="00680A2F">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-0.5</w:t>
            </w:r>
          </w:p>
        </w:tc>
        <w:tc>
          <w:tcPr>
            <w:tcW w:w="792" w:type="dxa"/>
            <w:tcBorders>
              <w:top w:val="single" w:sz="4" w:space="0" w:color="auto"/>
              <w:left w:val="single" w:sz="4" w:space="0" w:color="auto"/>
              <w:bottom w:val="single" w:sz="4" w:space="0" w:color="auto"/>
              <w:right w:val="single" w:sz="4" w:space="0" w:color="auto"/>
            </w:tcBorders>
            <w:noWrap/>
            <w:vAlign w:val="bottom"/>
            <w:hideMark/>
          </w:tcPr>
          <w:p w14:paraId="3BEC6BAC" w14:textId="791EDDDC" w:rsidR="00680A2F" w:rsidRPr="0098551A" w:rsidRDefault="00680A2F" w:rsidP="00680A2F">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80.3%</w:t>
            </w:r>
          </w:p>
        </w:tc>
        <w:tc>
          <w:tcPr>
            <w:tcW w:w="820" w:type="dxa"/>
            <w:tcBorders>
              <w:top w:val="single" w:sz="4" w:space="0" w:color="auto"/>
              <w:left w:val="single" w:sz="4" w:space="0" w:color="auto"/>
              <w:bottom w:val="single" w:sz="4" w:space="0" w:color="auto"/>
              <w:right w:val="single" w:sz="4" w:space="0" w:color="auto"/>
            </w:tcBorders>
            <w:noWrap/>
            <w:vAlign w:val="bottom"/>
            <w:hideMark/>
          </w:tcPr>
          <w:p w14:paraId="77EB6C10" w14:textId="30322AA6" w:rsidR="00680A2F" w:rsidRPr="0098551A" w:rsidRDefault="00680A2F" w:rsidP="00680A2F">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96.1%</w:t>
            </w:r>
          </w:p>
        </w:tc>
        <w:tc>
          <w:tcPr>
            <w:tcW w:w="920" w:type="dxa"/>
            <w:tcBorders>
              <w:top w:val="single" w:sz="4" w:space="0" w:color="auto"/>
              <w:left w:val="single" w:sz="4" w:space="0" w:color="auto"/>
              <w:bottom w:val="single" w:sz="4" w:space="0" w:color="auto"/>
              <w:right w:val="single" w:sz="4" w:space="0" w:color="auto"/>
            </w:tcBorders>
            <w:noWrap/>
            <w:vAlign w:val="bottom"/>
            <w:hideMark/>
          </w:tcPr>
          <w:p w14:paraId="1D9DA610" w14:textId="0F9AE12C" w:rsidR="00680A2F" w:rsidRPr="0098551A" w:rsidRDefault="00680A2F" w:rsidP="00680A2F">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99.2%</w:t>
            </w:r>
          </w:p>
        </w:tc>
      </w:tr>
      <w:tr w:rsidR="00680A2F" w:rsidRPr="000152F6" w14:paraId="1CE14A12" w14:textId="77777777" w:rsidTr="00DA18B0">
        <w:trPr>
          <w:trHeight w:val="288"/>
        </w:trPr>
        <w:tc>
          <w:tcPr>
            <w:tcW w:w="2740" w:type="dxa"/>
            <w:tcBorders>
              <w:top w:val="single" w:sz="4" w:space="0" w:color="auto"/>
              <w:left w:val="single" w:sz="4" w:space="0" w:color="auto"/>
              <w:bottom w:val="single" w:sz="4" w:space="0" w:color="auto"/>
              <w:right w:val="single" w:sz="4" w:space="0" w:color="auto"/>
            </w:tcBorders>
            <w:noWrap/>
            <w:vAlign w:val="bottom"/>
            <w:hideMark/>
          </w:tcPr>
          <w:p w14:paraId="2F0EEBFB" w14:textId="0C35BFBB" w:rsidR="00680A2F" w:rsidRPr="0098551A" w:rsidRDefault="00680A2F" w:rsidP="00680A2F">
            <w:pPr>
              <w:spacing w:after="0" w:line="240" w:lineRule="auto"/>
              <w:rPr>
                <w:rFonts w:ascii="Calibri" w:eastAsia="Times New Roman" w:hAnsi="Calibri" w:cs="Calibri"/>
                <w:color w:val="000000"/>
                <w:kern w:val="0"/>
                <w:sz w:val="22"/>
                <w:szCs w:val="22"/>
                <w14:ligatures w14:val="none"/>
              </w:rPr>
            </w:pPr>
            <w:r>
              <w:rPr>
                <w:rFonts w:ascii="Calibri" w:hAnsi="Calibri" w:cs="Calibri"/>
                <w:color w:val="000000"/>
                <w:sz w:val="22"/>
                <w:szCs w:val="22"/>
              </w:rPr>
              <w:t>Demanda muy inelástica (ε↓)</w:t>
            </w:r>
          </w:p>
        </w:tc>
        <w:tc>
          <w:tcPr>
            <w:tcW w:w="980" w:type="dxa"/>
            <w:tcBorders>
              <w:top w:val="single" w:sz="4" w:space="0" w:color="auto"/>
              <w:left w:val="single" w:sz="4" w:space="0" w:color="auto"/>
              <w:bottom w:val="single" w:sz="4" w:space="0" w:color="auto"/>
              <w:right w:val="single" w:sz="4" w:space="0" w:color="auto"/>
            </w:tcBorders>
            <w:noWrap/>
            <w:vAlign w:val="bottom"/>
            <w:hideMark/>
          </w:tcPr>
          <w:p w14:paraId="6A7FDA84" w14:textId="43BD17AC" w:rsidR="00680A2F" w:rsidRPr="00680A2F" w:rsidRDefault="00680A2F" w:rsidP="00680A2F">
            <w:pPr>
              <w:spacing w:after="0" w:line="240" w:lineRule="auto"/>
              <w:jc w:val="center"/>
              <w:rPr>
                <w:rFonts w:ascii="Calibri" w:eastAsia="Times New Roman" w:hAnsi="Calibri" w:cs="Calibri"/>
                <w:color w:val="000000"/>
                <w:kern w:val="0"/>
                <w:sz w:val="22"/>
                <w:szCs w:val="22"/>
                <w:highlight w:val="yellow"/>
                <w14:ligatures w14:val="none"/>
              </w:rPr>
            </w:pPr>
            <w:r>
              <w:rPr>
                <w:rFonts w:ascii="Calibri" w:hAnsi="Calibri" w:cs="Calibri"/>
                <w:color w:val="000000"/>
                <w:sz w:val="22"/>
                <w:szCs w:val="22"/>
              </w:rPr>
              <w:t>1.3%</w:t>
            </w:r>
          </w:p>
        </w:tc>
        <w:tc>
          <w:tcPr>
            <w:tcW w:w="1040" w:type="dxa"/>
            <w:tcBorders>
              <w:top w:val="single" w:sz="4" w:space="0" w:color="auto"/>
              <w:left w:val="single" w:sz="4" w:space="0" w:color="auto"/>
              <w:bottom w:val="single" w:sz="4" w:space="0" w:color="auto"/>
              <w:right w:val="single" w:sz="4" w:space="0" w:color="auto"/>
            </w:tcBorders>
            <w:noWrap/>
            <w:vAlign w:val="bottom"/>
            <w:hideMark/>
          </w:tcPr>
          <w:p w14:paraId="45EEEE18" w14:textId="4841EE49" w:rsidR="00680A2F" w:rsidRPr="0098551A" w:rsidRDefault="00680A2F" w:rsidP="00680A2F">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95%</w:t>
            </w:r>
          </w:p>
        </w:tc>
        <w:tc>
          <w:tcPr>
            <w:tcW w:w="1280" w:type="dxa"/>
            <w:tcBorders>
              <w:top w:val="single" w:sz="4" w:space="0" w:color="auto"/>
              <w:left w:val="single" w:sz="4" w:space="0" w:color="auto"/>
              <w:bottom w:val="single" w:sz="4" w:space="0" w:color="auto"/>
              <w:right w:val="single" w:sz="4" w:space="0" w:color="auto"/>
            </w:tcBorders>
            <w:noWrap/>
            <w:vAlign w:val="bottom"/>
            <w:hideMark/>
          </w:tcPr>
          <w:p w14:paraId="3EB5E5E2" w14:textId="245F4754" w:rsidR="00680A2F" w:rsidRPr="0098551A" w:rsidRDefault="00680A2F" w:rsidP="00680A2F">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0.0561</w:t>
            </w:r>
          </w:p>
        </w:tc>
        <w:tc>
          <w:tcPr>
            <w:tcW w:w="620" w:type="dxa"/>
            <w:tcBorders>
              <w:top w:val="single" w:sz="4" w:space="0" w:color="auto"/>
              <w:left w:val="single" w:sz="4" w:space="0" w:color="auto"/>
              <w:bottom w:val="single" w:sz="4" w:space="0" w:color="auto"/>
              <w:right w:val="single" w:sz="4" w:space="0" w:color="auto"/>
            </w:tcBorders>
            <w:noWrap/>
            <w:vAlign w:val="bottom"/>
            <w:hideMark/>
          </w:tcPr>
          <w:p w14:paraId="6340EDBC" w14:textId="76402F10" w:rsidR="00680A2F" w:rsidRPr="0098551A" w:rsidRDefault="00680A2F" w:rsidP="00680A2F">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-0.2</w:t>
            </w:r>
          </w:p>
        </w:tc>
        <w:tc>
          <w:tcPr>
            <w:tcW w:w="792" w:type="dxa"/>
            <w:tcBorders>
              <w:top w:val="single" w:sz="4" w:space="0" w:color="auto"/>
              <w:left w:val="single" w:sz="4" w:space="0" w:color="auto"/>
              <w:bottom w:val="single" w:sz="4" w:space="0" w:color="auto"/>
              <w:right w:val="single" w:sz="4" w:space="0" w:color="auto"/>
            </w:tcBorders>
            <w:noWrap/>
            <w:vAlign w:val="bottom"/>
            <w:hideMark/>
          </w:tcPr>
          <w:p w14:paraId="4CED2EF2" w14:textId="175A78F1" w:rsidR="00680A2F" w:rsidRPr="0098551A" w:rsidRDefault="00680A2F" w:rsidP="00680A2F">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48.1%</w:t>
            </w:r>
          </w:p>
        </w:tc>
        <w:tc>
          <w:tcPr>
            <w:tcW w:w="820" w:type="dxa"/>
            <w:tcBorders>
              <w:top w:val="single" w:sz="4" w:space="0" w:color="auto"/>
              <w:left w:val="single" w:sz="4" w:space="0" w:color="auto"/>
              <w:bottom w:val="single" w:sz="4" w:space="0" w:color="auto"/>
              <w:right w:val="single" w:sz="4" w:space="0" w:color="auto"/>
            </w:tcBorders>
            <w:noWrap/>
            <w:vAlign w:val="bottom"/>
            <w:hideMark/>
          </w:tcPr>
          <w:p w14:paraId="422ED819" w14:textId="04DE8068" w:rsidR="00680A2F" w:rsidRPr="0098551A" w:rsidRDefault="00680A2F" w:rsidP="00680A2F">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71.6%</w:t>
            </w:r>
          </w:p>
        </w:tc>
        <w:tc>
          <w:tcPr>
            <w:tcW w:w="920" w:type="dxa"/>
            <w:tcBorders>
              <w:top w:val="single" w:sz="4" w:space="0" w:color="auto"/>
              <w:left w:val="single" w:sz="4" w:space="0" w:color="auto"/>
              <w:bottom w:val="single" w:sz="4" w:space="0" w:color="auto"/>
              <w:right w:val="single" w:sz="4" w:space="0" w:color="auto"/>
            </w:tcBorders>
            <w:noWrap/>
            <w:vAlign w:val="bottom"/>
            <w:hideMark/>
          </w:tcPr>
          <w:p w14:paraId="1A251D49" w14:textId="66F0DADD" w:rsidR="00680A2F" w:rsidRPr="0098551A" w:rsidRDefault="00680A2F" w:rsidP="00680A2F">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83.3%</w:t>
            </w:r>
          </w:p>
        </w:tc>
      </w:tr>
      <w:tr w:rsidR="00680A2F" w:rsidRPr="000152F6" w14:paraId="5CEFB2CF" w14:textId="77777777" w:rsidTr="00DA18B0">
        <w:trPr>
          <w:trHeight w:val="288"/>
        </w:trPr>
        <w:tc>
          <w:tcPr>
            <w:tcW w:w="2740" w:type="dxa"/>
            <w:tcBorders>
              <w:top w:val="single" w:sz="4" w:space="0" w:color="auto"/>
              <w:left w:val="single" w:sz="4" w:space="0" w:color="auto"/>
              <w:bottom w:val="single" w:sz="4" w:space="0" w:color="auto"/>
              <w:right w:val="single" w:sz="4" w:space="0" w:color="auto"/>
            </w:tcBorders>
            <w:noWrap/>
            <w:vAlign w:val="bottom"/>
            <w:hideMark/>
          </w:tcPr>
          <w:p w14:paraId="09E35222" w14:textId="66ED455C" w:rsidR="00680A2F" w:rsidRPr="0098551A" w:rsidRDefault="00680A2F" w:rsidP="00680A2F">
            <w:pPr>
              <w:spacing w:after="0" w:line="240" w:lineRule="auto"/>
              <w:rPr>
                <w:rFonts w:ascii="Calibri" w:eastAsia="Times New Roman" w:hAnsi="Calibri" w:cs="Calibri"/>
                <w:color w:val="000000"/>
                <w:kern w:val="0"/>
                <w:sz w:val="22"/>
                <w:szCs w:val="22"/>
                <w14:ligatures w14:val="none"/>
              </w:rPr>
            </w:pPr>
            <w:r>
              <w:rPr>
                <w:rFonts w:ascii="Calibri" w:hAnsi="Calibri" w:cs="Calibri"/>
                <w:color w:val="000000"/>
                <w:sz w:val="22"/>
                <w:szCs w:val="22"/>
              </w:rPr>
              <w:t>Demanda elástica (ε↑)</w:t>
            </w:r>
          </w:p>
        </w:tc>
        <w:tc>
          <w:tcPr>
            <w:tcW w:w="980" w:type="dxa"/>
            <w:tcBorders>
              <w:top w:val="single" w:sz="4" w:space="0" w:color="auto"/>
              <w:left w:val="single" w:sz="4" w:space="0" w:color="auto"/>
              <w:bottom w:val="single" w:sz="4" w:space="0" w:color="auto"/>
              <w:right w:val="single" w:sz="4" w:space="0" w:color="auto"/>
            </w:tcBorders>
            <w:noWrap/>
            <w:vAlign w:val="bottom"/>
            <w:hideMark/>
          </w:tcPr>
          <w:p w14:paraId="70D2A1AA" w14:textId="41093C42" w:rsidR="00680A2F" w:rsidRPr="00680A2F" w:rsidRDefault="00680A2F" w:rsidP="00680A2F">
            <w:pPr>
              <w:spacing w:after="0" w:line="240" w:lineRule="auto"/>
              <w:jc w:val="center"/>
              <w:rPr>
                <w:rFonts w:ascii="Calibri" w:eastAsia="Times New Roman" w:hAnsi="Calibri" w:cs="Calibri"/>
                <w:color w:val="000000"/>
                <w:kern w:val="0"/>
                <w:sz w:val="22"/>
                <w:szCs w:val="22"/>
                <w:highlight w:val="yellow"/>
                <w14:ligatures w14:val="none"/>
              </w:rPr>
            </w:pPr>
            <w:r>
              <w:rPr>
                <w:rFonts w:ascii="Calibri" w:hAnsi="Calibri" w:cs="Calibri"/>
                <w:color w:val="000000"/>
                <w:sz w:val="22"/>
                <w:szCs w:val="22"/>
              </w:rPr>
              <w:t>1.3%</w:t>
            </w:r>
          </w:p>
        </w:tc>
        <w:tc>
          <w:tcPr>
            <w:tcW w:w="1040" w:type="dxa"/>
            <w:tcBorders>
              <w:top w:val="single" w:sz="4" w:space="0" w:color="auto"/>
              <w:left w:val="single" w:sz="4" w:space="0" w:color="auto"/>
              <w:bottom w:val="single" w:sz="4" w:space="0" w:color="auto"/>
              <w:right w:val="single" w:sz="4" w:space="0" w:color="auto"/>
            </w:tcBorders>
            <w:noWrap/>
            <w:vAlign w:val="bottom"/>
            <w:hideMark/>
          </w:tcPr>
          <w:p w14:paraId="5B90E341" w14:textId="1A598001" w:rsidR="00680A2F" w:rsidRPr="0098551A" w:rsidRDefault="00680A2F" w:rsidP="00680A2F">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85%</w:t>
            </w:r>
          </w:p>
        </w:tc>
        <w:tc>
          <w:tcPr>
            <w:tcW w:w="1280" w:type="dxa"/>
            <w:tcBorders>
              <w:top w:val="single" w:sz="4" w:space="0" w:color="auto"/>
              <w:left w:val="single" w:sz="4" w:space="0" w:color="auto"/>
              <w:bottom w:val="single" w:sz="4" w:space="0" w:color="auto"/>
              <w:right w:val="single" w:sz="4" w:space="0" w:color="auto"/>
            </w:tcBorders>
            <w:noWrap/>
            <w:vAlign w:val="bottom"/>
            <w:hideMark/>
          </w:tcPr>
          <w:p w14:paraId="062D48C8" w14:textId="76905989" w:rsidR="00680A2F" w:rsidRPr="0098551A" w:rsidRDefault="00680A2F" w:rsidP="00680A2F">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0.0561</w:t>
            </w:r>
          </w:p>
        </w:tc>
        <w:tc>
          <w:tcPr>
            <w:tcW w:w="620" w:type="dxa"/>
            <w:tcBorders>
              <w:top w:val="single" w:sz="4" w:space="0" w:color="auto"/>
              <w:left w:val="single" w:sz="4" w:space="0" w:color="auto"/>
              <w:bottom w:val="single" w:sz="4" w:space="0" w:color="auto"/>
              <w:right w:val="single" w:sz="4" w:space="0" w:color="auto"/>
            </w:tcBorders>
            <w:noWrap/>
            <w:vAlign w:val="bottom"/>
            <w:hideMark/>
          </w:tcPr>
          <w:p w14:paraId="124DD915" w14:textId="1AC7DF4C" w:rsidR="00680A2F" w:rsidRPr="0098551A" w:rsidRDefault="00680A2F" w:rsidP="00680A2F">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-1</w:t>
            </w:r>
          </w:p>
        </w:tc>
        <w:tc>
          <w:tcPr>
            <w:tcW w:w="792" w:type="dxa"/>
            <w:tcBorders>
              <w:top w:val="single" w:sz="4" w:space="0" w:color="auto"/>
              <w:left w:val="single" w:sz="4" w:space="0" w:color="auto"/>
              <w:bottom w:val="single" w:sz="4" w:space="0" w:color="auto"/>
              <w:right w:val="single" w:sz="4" w:space="0" w:color="auto"/>
            </w:tcBorders>
            <w:noWrap/>
            <w:vAlign w:val="bottom"/>
            <w:hideMark/>
          </w:tcPr>
          <w:p w14:paraId="4F8DA57D" w14:textId="00CE2A46" w:rsidR="00680A2F" w:rsidRPr="0098551A" w:rsidRDefault="00680A2F" w:rsidP="00680A2F">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43.1%</w:t>
            </w:r>
          </w:p>
        </w:tc>
        <w:tc>
          <w:tcPr>
            <w:tcW w:w="820" w:type="dxa"/>
            <w:tcBorders>
              <w:top w:val="single" w:sz="4" w:space="0" w:color="auto"/>
              <w:left w:val="single" w:sz="4" w:space="0" w:color="auto"/>
              <w:bottom w:val="single" w:sz="4" w:space="0" w:color="auto"/>
              <w:right w:val="single" w:sz="4" w:space="0" w:color="auto"/>
            </w:tcBorders>
            <w:noWrap/>
            <w:vAlign w:val="bottom"/>
            <w:hideMark/>
          </w:tcPr>
          <w:p w14:paraId="0812825B" w14:textId="003873BC" w:rsidR="00680A2F" w:rsidRPr="0098551A" w:rsidRDefault="00680A2F" w:rsidP="00680A2F">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64.1%</w:t>
            </w:r>
          </w:p>
        </w:tc>
        <w:tc>
          <w:tcPr>
            <w:tcW w:w="920" w:type="dxa"/>
            <w:tcBorders>
              <w:top w:val="single" w:sz="4" w:space="0" w:color="auto"/>
              <w:left w:val="single" w:sz="4" w:space="0" w:color="auto"/>
              <w:bottom w:val="single" w:sz="4" w:space="0" w:color="auto"/>
              <w:right w:val="single" w:sz="4" w:space="0" w:color="auto"/>
            </w:tcBorders>
            <w:noWrap/>
            <w:vAlign w:val="bottom"/>
            <w:hideMark/>
          </w:tcPr>
          <w:p w14:paraId="491F9DA6" w14:textId="10BC9E89" w:rsidR="00680A2F" w:rsidRPr="0098551A" w:rsidRDefault="00680A2F" w:rsidP="00680A2F">
            <w:pPr>
              <w:spacing w:after="0" w:line="240" w:lineRule="auto"/>
              <w:jc w:val="center"/>
              <w:rPr>
                <w:rFonts w:ascii="Calibri" w:eastAsia="Times New Roman" w:hAnsi="Calibri" w:cs="Calibri"/>
                <w:color w:val="000000"/>
                <w:kern w:val="0"/>
                <w:sz w:val="22"/>
                <w:szCs w:val="22"/>
                <w14:ligatures w14:val="none"/>
              </w:rPr>
            </w:pPr>
            <w:r>
              <w:rPr>
                <w:rFonts w:ascii="Calibri" w:hAnsi="Calibri" w:cs="Calibri"/>
                <w:color w:val="000000"/>
                <w:sz w:val="22"/>
                <w:szCs w:val="22"/>
              </w:rPr>
              <w:t>74.5%</w:t>
            </w:r>
          </w:p>
        </w:tc>
      </w:tr>
    </w:tbl>
    <w:p w14:paraId="2ED49D55" w14:textId="77777777" w:rsidR="00035655" w:rsidRPr="00C76B0D" w:rsidRDefault="00035655" w:rsidP="00035655"/>
    <w:p w14:paraId="09700CDE" w14:textId="77777777" w:rsidR="00917827" w:rsidRPr="00917827" w:rsidRDefault="00917827" w:rsidP="00917827">
      <w:r w:rsidRPr="00917827">
        <w:t xml:space="preserve">En el </w:t>
      </w:r>
      <w:r w:rsidRPr="00917827">
        <w:rPr>
          <w:b/>
          <w:bCs/>
        </w:rPr>
        <w:t>escenario base</w:t>
      </w:r>
      <w:r w:rsidRPr="00917827">
        <w:t>, partiendo de una cuota inicial de apenas 1.3% en 2023, Turquía alcanzaría 45.6% en 12 meses, 67.8% en 24 meses y 78.9% en 36 meses. Esto confirma que, aun con una presencia mínima, la ventaja de precios y la alta sustituibilidad permiten una expansión rápida hacia el dominio del mercado en apenas tres años.</w:t>
      </w:r>
    </w:p>
    <w:p w14:paraId="2AAA50C1" w14:textId="77777777" w:rsidR="00917827" w:rsidRPr="00917827" w:rsidRDefault="00917827" w:rsidP="00917827">
      <w:r w:rsidRPr="00917827">
        <w:t xml:space="preserve">Con </w:t>
      </w:r>
      <w:r w:rsidRPr="00917827">
        <w:rPr>
          <w:b/>
          <w:bCs/>
        </w:rPr>
        <w:t>baja sustitución</w:t>
      </w:r>
      <w:r w:rsidRPr="00917827">
        <w:t xml:space="preserve"> (</w:t>
      </w:r>
      <w:r w:rsidRPr="00917827">
        <w:rPr>
          <w:lang w:val="en-US"/>
        </w:rPr>
        <w:t>σ</w:t>
      </w:r>
      <w:r w:rsidRPr="00917827">
        <w:t>=2), lo que refleja una preferencia más fuerte por la producción local, el avance es más gradual: Turquía pasaría a 26.4% en 12 meses, 44.0% en 24 y 56.3% en 36. Aunque el crecimiento es más limitado, sigue siendo suficiente para que en tres años las importaciones representen más de la mitad del mercado nacional.</w:t>
      </w:r>
    </w:p>
    <w:p w14:paraId="62E8C71D" w14:textId="4EBF75E5" w:rsidR="00917827" w:rsidRPr="00917827" w:rsidRDefault="00917827" w:rsidP="00917827">
      <w:r w:rsidRPr="00917827">
        <w:t xml:space="preserve">En el escenario de </w:t>
      </w:r>
      <w:r w:rsidRPr="00917827">
        <w:rPr>
          <w:b/>
          <w:bCs/>
        </w:rPr>
        <w:t>alta sustitución</w:t>
      </w:r>
      <w:r w:rsidRPr="00917827">
        <w:t xml:space="preserve"> (</w:t>
      </w:r>
      <w:r w:rsidRPr="00917827">
        <w:rPr>
          <w:lang w:val="en-US"/>
        </w:rPr>
        <w:t>σ</w:t>
      </w:r>
      <w:r w:rsidRPr="00917827">
        <w:t>=10), el resultado es extremo: Turquía subiría de 1.3% a 80.3% en solo un año, alcanzaría 96.1% en 24 meses y prácticamente el 100% en 36 meses. Esto muestra que, si el mercado percibe la varilla turca como perfectamente intercambiable, la absorción sería prácticamente completa.</w:t>
      </w:r>
    </w:p>
    <w:p w14:paraId="172B9CEC" w14:textId="30D5204F" w:rsidR="00917827" w:rsidRPr="00917827" w:rsidRDefault="00917827" w:rsidP="00917827">
      <w:r w:rsidRPr="00917827">
        <w:t xml:space="preserve">Finalmente, cuando se supone una </w:t>
      </w:r>
      <w:r w:rsidRPr="00917827">
        <w:rPr>
          <w:b/>
          <w:bCs/>
        </w:rPr>
        <w:t>demanda muy inelástica</w:t>
      </w:r>
      <w:r w:rsidRPr="00917827">
        <w:t xml:space="preserve"> (</w:t>
      </w:r>
      <w:r w:rsidRPr="00917827">
        <w:rPr>
          <w:lang w:val="en-US"/>
        </w:rPr>
        <w:t>ε</w:t>
      </w:r>
      <w:r w:rsidRPr="00917827">
        <w:t xml:space="preserve">=–0.2), el diferencial de precios se traduce principalmente en una transferencia de cuota: Turquía alcanzaría 48.1% en un año, 71.6% en dos y 83.3% en tres. En contraste, con una </w:t>
      </w:r>
      <w:r w:rsidRPr="00917827">
        <w:rPr>
          <w:b/>
          <w:bCs/>
        </w:rPr>
        <w:t>demanda más elástica</w:t>
      </w:r>
      <w:r w:rsidRPr="00917827">
        <w:t xml:space="preserve"> (</w:t>
      </w:r>
      <w:r w:rsidRPr="00917827">
        <w:rPr>
          <w:lang w:val="en-US"/>
        </w:rPr>
        <w:t>ε</w:t>
      </w:r>
      <w:r w:rsidRPr="00917827">
        <w:t>=–1), parte de la ventaja de precio se traduce en expansión del consumo total, de modo que la cuota crece a 43.1% en 12 meses, 64.1% en 24 y 74.5% en 36 meses. Aunque algo menor, sigue siendo un dominio claro.</w:t>
      </w:r>
    </w:p>
    <w:p w14:paraId="62EB79C3" w14:textId="1C2E049F" w:rsidR="00922441" w:rsidRPr="000152F6" w:rsidRDefault="00397134" w:rsidP="00F06415">
      <w:pPr>
        <w:pStyle w:val="Heading1"/>
      </w:pPr>
      <w:r w:rsidRPr="000152F6">
        <w:t>6</w:t>
      </w:r>
      <w:r w:rsidR="00922441" w:rsidRPr="000152F6">
        <w:t>. Capacidad de oferta turca vs demanda dominicana</w:t>
      </w:r>
    </w:p>
    <w:p w14:paraId="0346C4E5" w14:textId="221AC2E3" w:rsidR="00922441" w:rsidRPr="00922441" w:rsidRDefault="00922441" w:rsidP="00922441">
      <w:r w:rsidRPr="00922441">
        <w:t xml:space="preserve">Un aspecto importante es corroborar que Turquía puede sostener la oferta necesaria sin incurrir en limitaciones. Ya mencionamos que las exportaciones turcas de varilla son varios múltiplos la </w:t>
      </w:r>
      <w:r w:rsidRPr="00922441">
        <w:lastRenderedPageBreak/>
        <w:t>demanda dominicana. La industria siderúrgica turca es extensa</w:t>
      </w:r>
      <w:r w:rsidR="00917827">
        <w:t>, l</w:t>
      </w:r>
      <w:r w:rsidRPr="00922441">
        <w:t xml:space="preserve">a demanda de República Dominicana (≈0.6 millones ton/año) representaría apenas entre el 5% y 10% de las exportaciones turcas dependiendo del año tomado como referencia. </w:t>
      </w:r>
    </w:p>
    <w:p w14:paraId="0247D31C" w14:textId="5DF85083" w:rsidR="00922441" w:rsidRPr="00922441" w:rsidRDefault="00922441" w:rsidP="00922441">
      <w:r w:rsidRPr="00922441">
        <w:t>Además, diversificar hacia RD sería atractivo para Turquía: es un mercado nuevo y en crecimiento.</w:t>
      </w:r>
      <w:r w:rsidR="00B85E0D">
        <w:t xml:space="preserve"> Se encuentra en el centro de un mercado donde </w:t>
      </w:r>
      <w:r w:rsidR="00917827">
        <w:t>Turquía</w:t>
      </w:r>
      <w:r w:rsidR="00B85E0D">
        <w:t xml:space="preserve"> ha mantenido una importante presencia, la región de </w:t>
      </w:r>
      <w:r w:rsidR="00917827">
        <w:t>Centroamérica</w:t>
      </w:r>
      <w:r w:rsidR="00B85E0D">
        <w:t xml:space="preserve"> y el caribe.  Las facilitades logísticas que exhibe nuestro </w:t>
      </w:r>
      <w:r w:rsidR="00917827">
        <w:t>país</w:t>
      </w:r>
      <w:r w:rsidR="00B85E0D">
        <w:t xml:space="preserve">, permitirían a </w:t>
      </w:r>
      <w:r w:rsidR="00917827">
        <w:t>Turquía</w:t>
      </w:r>
      <w:r w:rsidR="00B85E0D">
        <w:t xml:space="preserve"> absorber el mercado doméstico y apalancar esta fortaleza para expandir a la región. </w:t>
      </w:r>
      <w:r w:rsidRPr="00922441">
        <w:t xml:space="preserve"> Mientras no surjan restricciones, los exportadores turcos probablemente estén dispuestos a aumentar su volumen hacia RD si hay demanda, incluso eventualmente compitiendo entre ellos y presionando aún más el precio a la baja.</w:t>
      </w:r>
    </w:p>
    <w:p w14:paraId="187A9903" w14:textId="15A89F35" w:rsidR="00177571" w:rsidRDefault="00922441" w:rsidP="00922441">
      <w:r w:rsidRPr="00922441">
        <w:t>Concluimos que la capacidad exportadora turca no es un factor limitante. Turquía puede absorber el mercado dominicano sin tensiones</w:t>
      </w:r>
      <w:r w:rsidR="00E2605B" w:rsidRPr="000152F6">
        <w:t>.</w:t>
      </w:r>
      <w:r w:rsidRPr="00922441">
        <w:t xml:space="preserve"> Esto refuerza la sostenibilidad de la absorción: no es un shock puntual, sino que Turquía puede ser un proveedor permanente confiable del volumen requerido, manteniendo precios competitivos a largo plazo.</w:t>
      </w:r>
      <w:r w:rsidR="00177571">
        <w:t xml:space="preserve"> </w:t>
      </w:r>
    </w:p>
    <w:p w14:paraId="45D6DC75" w14:textId="7BDE3DC6" w:rsidR="00922441" w:rsidRPr="000152F6" w:rsidRDefault="00397134" w:rsidP="00397134">
      <w:pPr>
        <w:pStyle w:val="Heading1"/>
      </w:pPr>
      <w:r w:rsidRPr="000152F6">
        <w:t>7</w:t>
      </w:r>
      <w:r w:rsidR="00F06415" w:rsidRPr="000152F6">
        <w:t xml:space="preserve">. </w:t>
      </w:r>
      <w:r w:rsidR="00922441" w:rsidRPr="000152F6">
        <w:t>Conclusiones</w:t>
      </w:r>
    </w:p>
    <w:p w14:paraId="5ED45E87" w14:textId="0DE70DF3" w:rsidR="00922441" w:rsidRPr="00922441" w:rsidRDefault="00922441" w:rsidP="00922441">
      <w:r w:rsidRPr="00922441">
        <w:t xml:space="preserve">Integrando todo lo anterior, concluimos que Turquía sí tiene la capacidad de absorber el mercado dominicano de varillas de acero corrugado por completo, en un horizonte relativamente corto (2 a 3 años), siempre que opere sin restricciones de </w:t>
      </w:r>
      <w:r w:rsidRPr="00922441">
        <w:rPr>
          <w:i/>
          <w:iCs/>
        </w:rPr>
        <w:t>dumping</w:t>
      </w:r>
      <w:r w:rsidRPr="00922441">
        <w:t>. La ventaja de precio de 1</w:t>
      </w:r>
      <w:r w:rsidR="00E2605B" w:rsidRPr="000152F6">
        <w:t>0</w:t>
      </w:r>
      <w:r w:rsidRPr="00922441">
        <w:t>–</w:t>
      </w:r>
      <w:r w:rsidR="00E2605B" w:rsidRPr="000152F6">
        <w:t>15</w:t>
      </w:r>
      <w:r w:rsidRPr="00922441">
        <w:t>% que Turquía ofrece, sumada a su vasta capacidad exportadora, hacen que en un mercado abierto y de producto homogéneo la consecuencia casi inevitable sea el desplazamiento de la producción local.</w:t>
      </w:r>
    </w:p>
    <w:p w14:paraId="143B52B6" w14:textId="04B24A22" w:rsidR="00922441" w:rsidRPr="00922441" w:rsidRDefault="00922441" w:rsidP="00922441">
      <w:r w:rsidRPr="00922441">
        <w:t xml:space="preserve">Este resultado está respaldado por la teoría económica (competencia en precios para bienes homogéneos) y por </w:t>
      </w:r>
      <w:r w:rsidR="00B85E0D">
        <w:t xml:space="preserve">estudios de </w:t>
      </w:r>
      <w:r w:rsidR="00917827">
        <w:t>elasticidades de</w:t>
      </w:r>
      <w:r w:rsidR="00B85E0D">
        <w:t xml:space="preserve"> dicho producto. </w:t>
      </w:r>
      <w:r w:rsidRPr="00922441">
        <w:t xml:space="preserve">Las elasticidades estimadas indican que los compradores dominicanos responden al incentivo de precio sustituyendo proveedor rápidamente y que el mercado total se expande moderadamente con precios más bajos. En la práctica, al cabo de unos años </w:t>
      </w:r>
      <w:r w:rsidR="00B85E0D">
        <w:t>sin una tasa antidumping</w:t>
      </w:r>
      <w:r w:rsidRPr="00922441">
        <w:t xml:space="preserve">, esperaríamos que la </w:t>
      </w:r>
      <w:r w:rsidR="00917827">
        <w:t xml:space="preserve">RPN </w:t>
      </w:r>
      <w:r w:rsidR="00917827" w:rsidRPr="00922441">
        <w:t>reduzca</w:t>
      </w:r>
      <w:r w:rsidRPr="00922441">
        <w:t xml:space="preserve"> o cese su producción de varillas para el mercado interno, a menos que reciba apoyo o imponga reducciones de costos extraordinarias.</w:t>
      </w:r>
    </w:p>
    <w:p w14:paraId="646FB23D" w14:textId="46D2A403" w:rsidR="003B3C15" w:rsidRPr="00E2605B" w:rsidRDefault="00922441" w:rsidP="003B3C15">
      <w:r w:rsidRPr="00922441">
        <w:t>En conclusión, Turquía puede absorber el mercado dominicano de varillas en ausencia de barreras</w:t>
      </w:r>
      <w:r w:rsidR="00E2605B" w:rsidRPr="000152F6">
        <w:t xml:space="preserve"> comerciales</w:t>
      </w:r>
      <w:r w:rsidRPr="00922441">
        <w:t xml:space="preserve">. El horizonte temporal para lograrlo es corto del orden de pocos años dado el carácter fungible del producto. Este hallazgo está sustentado en la teoría de la ventaja comparativa y corroborado por los </w:t>
      </w:r>
      <w:r w:rsidR="00B85E0D">
        <w:t xml:space="preserve">estudios de elasticidades y las estadísticas de exportaciones de </w:t>
      </w:r>
      <w:r w:rsidR="00917827">
        <w:t>Turquía</w:t>
      </w:r>
      <w:r w:rsidR="00B85E0D">
        <w:t xml:space="preserve">. </w:t>
      </w:r>
      <w:r w:rsidRPr="00922441">
        <w:t xml:space="preserve"> </w:t>
      </w:r>
    </w:p>
    <w:sectPr w:rsidR="003B3C15" w:rsidRPr="00E2605B">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92C30" w14:textId="77777777" w:rsidR="00EA12BC" w:rsidRPr="000152F6" w:rsidRDefault="00EA12BC" w:rsidP="00E2605B">
      <w:pPr>
        <w:spacing w:after="0" w:line="240" w:lineRule="auto"/>
      </w:pPr>
      <w:r w:rsidRPr="000152F6">
        <w:separator/>
      </w:r>
    </w:p>
  </w:endnote>
  <w:endnote w:type="continuationSeparator" w:id="0">
    <w:p w14:paraId="3E45049B" w14:textId="77777777" w:rsidR="00EA12BC" w:rsidRPr="000152F6" w:rsidRDefault="00EA12BC" w:rsidP="00E2605B">
      <w:pPr>
        <w:spacing w:after="0" w:line="240" w:lineRule="auto"/>
      </w:pPr>
      <w:r w:rsidRPr="000152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76FAF" w14:textId="77777777" w:rsidR="00EA12BC" w:rsidRPr="000152F6" w:rsidRDefault="00EA12BC" w:rsidP="00E2605B">
      <w:pPr>
        <w:spacing w:after="0" w:line="240" w:lineRule="auto"/>
      </w:pPr>
      <w:r w:rsidRPr="000152F6">
        <w:separator/>
      </w:r>
    </w:p>
  </w:footnote>
  <w:footnote w:type="continuationSeparator" w:id="0">
    <w:p w14:paraId="3BA2049F" w14:textId="77777777" w:rsidR="00EA12BC" w:rsidRPr="000152F6" w:rsidRDefault="00EA12BC" w:rsidP="00E2605B">
      <w:pPr>
        <w:spacing w:after="0" w:line="240" w:lineRule="auto"/>
      </w:pPr>
      <w:r w:rsidRPr="000152F6">
        <w:continuationSeparator/>
      </w:r>
    </w:p>
  </w:footnote>
  <w:footnote w:id="1">
    <w:p w14:paraId="57459DC4" w14:textId="6E41C0A2" w:rsidR="00DA18B0" w:rsidRPr="00AE4802" w:rsidRDefault="00DA18B0">
      <w:pPr>
        <w:pStyle w:val="FootnoteText"/>
        <w:rPr>
          <w:lang w:val="en-US"/>
        </w:rPr>
      </w:pPr>
      <w:r w:rsidRPr="000152F6">
        <w:rPr>
          <w:rStyle w:val="FootnoteReference"/>
        </w:rPr>
        <w:footnoteRef/>
      </w:r>
      <w:r w:rsidRPr="00AE4802">
        <w:rPr>
          <w:lang w:val="en-US"/>
        </w:rPr>
        <w:t xml:space="preserve"> </w:t>
      </w:r>
      <w:hyperlink r:id="rId1" w:anchor=":~:text=elasticity%20of%20substitution%20between%20the,However" w:tgtFrame="_blank" w:history="1">
        <w:r w:rsidRPr="00AE4802">
          <w:rPr>
            <w:rStyle w:val="Hyperlink"/>
            <w:lang w:val="en-US"/>
          </w:rPr>
          <w:t>usitc.gov</w:t>
        </w:r>
      </w:hyperlink>
      <w:r w:rsidRPr="00AE4802">
        <w:rPr>
          <w:lang w:val="en-US"/>
        </w:rPr>
        <w:t xml:space="preserve"> </w:t>
      </w:r>
    </w:p>
  </w:footnote>
  <w:footnote w:id="2">
    <w:p w14:paraId="3F84621C" w14:textId="6ED924DD" w:rsidR="00DA18B0" w:rsidRPr="00AE4802" w:rsidRDefault="00DA18B0">
      <w:pPr>
        <w:pStyle w:val="FootnoteText"/>
        <w:rPr>
          <w:lang w:val="en-US"/>
        </w:rPr>
      </w:pPr>
      <w:r w:rsidRPr="000152F6">
        <w:rPr>
          <w:rStyle w:val="FootnoteReference"/>
        </w:rPr>
        <w:footnoteRef/>
      </w:r>
      <w:r w:rsidRPr="00AE4802">
        <w:rPr>
          <w:lang w:val="en-US"/>
        </w:rPr>
        <w:t xml:space="preserve"> </w:t>
      </w:r>
      <w:hyperlink r:id="rId2" w:anchor=":~:text=Elasticity%20of%20demand%3A%20%3D,of%20unit%20demand" w:tgtFrame="_blank" w:history="1">
        <w:r w:rsidRPr="00AE4802">
          <w:rPr>
            <w:rStyle w:val="Hyperlink"/>
            <w:lang w:val="en-US"/>
          </w:rPr>
          <w:t>researchgate.net</w:t>
        </w:r>
      </w:hyperlink>
      <w:r w:rsidRPr="00AE4802">
        <w:rPr>
          <w:lang w:val="en-US"/>
        </w:rPr>
        <w:t>, página 13</w:t>
      </w:r>
    </w:p>
  </w:footnote>
  <w:footnote w:id="3">
    <w:p w14:paraId="68136418" w14:textId="627B4ECF" w:rsidR="00DA18B0" w:rsidRPr="00AE4802" w:rsidRDefault="00DA18B0" w:rsidP="00DA18B0">
      <w:pPr>
        <w:rPr>
          <w:lang w:val="pt-BR"/>
        </w:rPr>
      </w:pPr>
      <w:r w:rsidRPr="000152F6">
        <w:rPr>
          <w:rStyle w:val="FootnoteReference"/>
          <w:sz w:val="20"/>
          <w:szCs w:val="20"/>
        </w:rPr>
        <w:footnoteRef/>
      </w:r>
      <w:r w:rsidRPr="00AE4802">
        <w:rPr>
          <w:sz w:val="20"/>
          <w:szCs w:val="20"/>
          <w:lang w:val="pt-BR"/>
        </w:rPr>
        <w:t xml:space="preserve">  </w:t>
      </w:r>
      <w:hyperlink r:id="rId3" w:anchor=":~:text=,2.0" w:tgtFrame="_blank" w:history="1">
        <w:r w:rsidRPr="00AE4802">
          <w:rPr>
            <w:rStyle w:val="Hyperlink"/>
            <w:sz w:val="20"/>
            <w:szCs w:val="20"/>
            <w:lang w:val="pt-BR"/>
          </w:rPr>
          <w:t>usitc.gov</w:t>
        </w:r>
      </w:hyperlink>
      <w:r w:rsidRPr="00AE4802">
        <w:rPr>
          <w:sz w:val="20"/>
          <w:szCs w:val="20"/>
          <w:lang w:val="pt-BR"/>
        </w:rPr>
        <w:t>, página 112</w:t>
      </w:r>
    </w:p>
  </w:footnote>
  <w:footnote w:id="4">
    <w:p w14:paraId="13E201BF" w14:textId="082087FD" w:rsidR="00DA18B0" w:rsidRPr="00AE4802" w:rsidRDefault="00DA18B0">
      <w:pPr>
        <w:pStyle w:val="FootnoteText"/>
        <w:rPr>
          <w:lang w:val="pt-BR"/>
        </w:rPr>
      </w:pPr>
      <w:r w:rsidRPr="000152F6">
        <w:rPr>
          <w:rStyle w:val="FootnoteReference"/>
        </w:rPr>
        <w:footnoteRef/>
      </w:r>
      <w:r w:rsidRPr="00AE4802">
        <w:rPr>
          <w:lang w:val="pt-BR"/>
        </w:rPr>
        <w:t xml:space="preserve"> </w:t>
      </w:r>
      <w:hyperlink r:id="rId4" w:anchor=":~:text=Domestic%20producers%2C%20on%20the%20other,the%20market%20or%20decrease%20production" w:tgtFrame="_blank" w:history="1">
        <w:r w:rsidRPr="00AE4802">
          <w:rPr>
            <w:rStyle w:val="Hyperlink"/>
            <w:lang w:val="pt-BR"/>
          </w:rPr>
          <w:t>pressbooks.bccampus.ca</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C6070"/>
    <w:multiLevelType w:val="multilevel"/>
    <w:tmpl w:val="060EC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8D2639"/>
    <w:multiLevelType w:val="hybridMultilevel"/>
    <w:tmpl w:val="B3FC7984"/>
    <w:lvl w:ilvl="0" w:tplc="5352D298">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F23E6B"/>
    <w:multiLevelType w:val="multilevel"/>
    <w:tmpl w:val="A5E4C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B60081"/>
    <w:multiLevelType w:val="hybridMultilevel"/>
    <w:tmpl w:val="3F8E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76642E"/>
    <w:multiLevelType w:val="hybridMultilevel"/>
    <w:tmpl w:val="2AEE52F4"/>
    <w:lvl w:ilvl="0" w:tplc="E40A11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487388"/>
    <w:multiLevelType w:val="multilevel"/>
    <w:tmpl w:val="DB62F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FC2F19"/>
    <w:multiLevelType w:val="multilevel"/>
    <w:tmpl w:val="2AE61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E0030E"/>
    <w:multiLevelType w:val="multilevel"/>
    <w:tmpl w:val="A320B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3246BD"/>
    <w:multiLevelType w:val="hybridMultilevel"/>
    <w:tmpl w:val="EB9C4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4363292">
    <w:abstractNumId w:val="7"/>
  </w:num>
  <w:num w:numId="2" w16cid:durableId="1363507445">
    <w:abstractNumId w:val="2"/>
  </w:num>
  <w:num w:numId="3" w16cid:durableId="750926889">
    <w:abstractNumId w:val="3"/>
  </w:num>
  <w:num w:numId="4" w16cid:durableId="204410019">
    <w:abstractNumId w:val="5"/>
  </w:num>
  <w:num w:numId="5" w16cid:durableId="463274431">
    <w:abstractNumId w:val="0"/>
  </w:num>
  <w:num w:numId="6" w16cid:durableId="1828128601">
    <w:abstractNumId w:val="6"/>
  </w:num>
  <w:num w:numId="7" w16cid:durableId="1257522036">
    <w:abstractNumId w:val="4"/>
  </w:num>
  <w:num w:numId="8" w16cid:durableId="519591037">
    <w:abstractNumId w:val="8"/>
  </w:num>
  <w:num w:numId="9" w16cid:durableId="1600491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C15"/>
    <w:rsid w:val="000152F6"/>
    <w:rsid w:val="00035655"/>
    <w:rsid w:val="000C7813"/>
    <w:rsid w:val="001132FC"/>
    <w:rsid w:val="00177571"/>
    <w:rsid w:val="00275264"/>
    <w:rsid w:val="002F724C"/>
    <w:rsid w:val="00363FF7"/>
    <w:rsid w:val="00397134"/>
    <w:rsid w:val="003B3C15"/>
    <w:rsid w:val="003C7485"/>
    <w:rsid w:val="00450116"/>
    <w:rsid w:val="004F162F"/>
    <w:rsid w:val="00535CD9"/>
    <w:rsid w:val="00553F56"/>
    <w:rsid w:val="00680A2F"/>
    <w:rsid w:val="00746CFC"/>
    <w:rsid w:val="00770A0B"/>
    <w:rsid w:val="00791E56"/>
    <w:rsid w:val="007B6666"/>
    <w:rsid w:val="0089151C"/>
    <w:rsid w:val="008C4DD1"/>
    <w:rsid w:val="00917827"/>
    <w:rsid w:val="00922441"/>
    <w:rsid w:val="00952A75"/>
    <w:rsid w:val="0096082F"/>
    <w:rsid w:val="0097392A"/>
    <w:rsid w:val="0098551A"/>
    <w:rsid w:val="009D1184"/>
    <w:rsid w:val="00A271BB"/>
    <w:rsid w:val="00A331AD"/>
    <w:rsid w:val="00A60169"/>
    <w:rsid w:val="00A71830"/>
    <w:rsid w:val="00AE4802"/>
    <w:rsid w:val="00B1662C"/>
    <w:rsid w:val="00B8475A"/>
    <w:rsid w:val="00B85E0D"/>
    <w:rsid w:val="00C30E5E"/>
    <w:rsid w:val="00C35EC0"/>
    <w:rsid w:val="00C7306D"/>
    <w:rsid w:val="00C76B0D"/>
    <w:rsid w:val="00C867A2"/>
    <w:rsid w:val="00CE6274"/>
    <w:rsid w:val="00D41C95"/>
    <w:rsid w:val="00D742B0"/>
    <w:rsid w:val="00DA15ED"/>
    <w:rsid w:val="00DA18B0"/>
    <w:rsid w:val="00DA4803"/>
    <w:rsid w:val="00DC6A63"/>
    <w:rsid w:val="00E13D24"/>
    <w:rsid w:val="00E143AF"/>
    <w:rsid w:val="00E2605B"/>
    <w:rsid w:val="00E52EF7"/>
    <w:rsid w:val="00E55CB7"/>
    <w:rsid w:val="00EA12BC"/>
    <w:rsid w:val="00F06415"/>
    <w:rsid w:val="00F3494B"/>
    <w:rsid w:val="00FE5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E4DB1"/>
  <w15:chartTrackingRefBased/>
  <w15:docId w15:val="{28661AEE-BA24-4B02-B070-B4907FDDC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DO"/>
    </w:rPr>
  </w:style>
  <w:style w:type="paragraph" w:styleId="Heading1">
    <w:name w:val="heading 1"/>
    <w:basedOn w:val="Normal"/>
    <w:next w:val="Normal"/>
    <w:link w:val="Heading1Char"/>
    <w:uiPriority w:val="9"/>
    <w:qFormat/>
    <w:rsid w:val="003B3C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B3C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B3C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B3C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B3C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B3C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3C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3C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3C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C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B3C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3C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3C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3C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3C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3C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3C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3C15"/>
    <w:rPr>
      <w:rFonts w:eastAsiaTheme="majorEastAsia" w:cstheme="majorBidi"/>
      <w:color w:val="272727" w:themeColor="text1" w:themeTint="D8"/>
    </w:rPr>
  </w:style>
  <w:style w:type="paragraph" w:styleId="Title">
    <w:name w:val="Title"/>
    <w:basedOn w:val="Normal"/>
    <w:next w:val="Normal"/>
    <w:link w:val="TitleChar"/>
    <w:uiPriority w:val="10"/>
    <w:qFormat/>
    <w:rsid w:val="003B3C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3C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3C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3C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3C15"/>
    <w:pPr>
      <w:spacing w:before="160"/>
      <w:jc w:val="center"/>
    </w:pPr>
    <w:rPr>
      <w:i/>
      <w:iCs/>
      <w:color w:val="404040" w:themeColor="text1" w:themeTint="BF"/>
    </w:rPr>
  </w:style>
  <w:style w:type="character" w:customStyle="1" w:styleId="QuoteChar">
    <w:name w:val="Quote Char"/>
    <w:basedOn w:val="DefaultParagraphFont"/>
    <w:link w:val="Quote"/>
    <w:uiPriority w:val="29"/>
    <w:rsid w:val="003B3C15"/>
    <w:rPr>
      <w:i/>
      <w:iCs/>
      <w:color w:val="404040" w:themeColor="text1" w:themeTint="BF"/>
    </w:rPr>
  </w:style>
  <w:style w:type="paragraph" w:styleId="ListParagraph">
    <w:name w:val="List Paragraph"/>
    <w:basedOn w:val="Normal"/>
    <w:uiPriority w:val="34"/>
    <w:qFormat/>
    <w:rsid w:val="003B3C15"/>
    <w:pPr>
      <w:ind w:left="720"/>
      <w:contextualSpacing/>
    </w:pPr>
  </w:style>
  <w:style w:type="character" w:styleId="IntenseEmphasis">
    <w:name w:val="Intense Emphasis"/>
    <w:basedOn w:val="DefaultParagraphFont"/>
    <w:uiPriority w:val="21"/>
    <w:qFormat/>
    <w:rsid w:val="003B3C15"/>
    <w:rPr>
      <w:i/>
      <w:iCs/>
      <w:color w:val="2F5496" w:themeColor="accent1" w:themeShade="BF"/>
    </w:rPr>
  </w:style>
  <w:style w:type="paragraph" w:styleId="IntenseQuote">
    <w:name w:val="Intense Quote"/>
    <w:basedOn w:val="Normal"/>
    <w:next w:val="Normal"/>
    <w:link w:val="IntenseQuoteChar"/>
    <w:uiPriority w:val="30"/>
    <w:qFormat/>
    <w:rsid w:val="003B3C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3C15"/>
    <w:rPr>
      <w:i/>
      <w:iCs/>
      <w:color w:val="2F5496" w:themeColor="accent1" w:themeShade="BF"/>
    </w:rPr>
  </w:style>
  <w:style w:type="character" w:styleId="IntenseReference">
    <w:name w:val="Intense Reference"/>
    <w:basedOn w:val="DefaultParagraphFont"/>
    <w:uiPriority w:val="32"/>
    <w:qFormat/>
    <w:rsid w:val="003B3C15"/>
    <w:rPr>
      <w:b/>
      <w:bCs/>
      <w:smallCaps/>
      <w:color w:val="2F5496" w:themeColor="accent1" w:themeShade="BF"/>
      <w:spacing w:val="5"/>
    </w:rPr>
  </w:style>
  <w:style w:type="character" w:styleId="Hyperlink">
    <w:name w:val="Hyperlink"/>
    <w:basedOn w:val="DefaultParagraphFont"/>
    <w:uiPriority w:val="99"/>
    <w:unhideWhenUsed/>
    <w:rsid w:val="003B3C15"/>
    <w:rPr>
      <w:color w:val="0563C1" w:themeColor="hyperlink"/>
      <w:u w:val="single"/>
    </w:rPr>
  </w:style>
  <w:style w:type="character" w:styleId="UnresolvedMention">
    <w:name w:val="Unresolved Mention"/>
    <w:basedOn w:val="DefaultParagraphFont"/>
    <w:uiPriority w:val="99"/>
    <w:semiHidden/>
    <w:unhideWhenUsed/>
    <w:rsid w:val="003B3C15"/>
    <w:rPr>
      <w:color w:val="605E5C"/>
      <w:shd w:val="clear" w:color="auto" w:fill="E1DFDD"/>
    </w:rPr>
  </w:style>
  <w:style w:type="character" w:styleId="FollowedHyperlink">
    <w:name w:val="FollowedHyperlink"/>
    <w:basedOn w:val="DefaultParagraphFont"/>
    <w:uiPriority w:val="99"/>
    <w:semiHidden/>
    <w:unhideWhenUsed/>
    <w:rsid w:val="00C7306D"/>
    <w:rPr>
      <w:color w:val="954F72" w:themeColor="followedHyperlink"/>
      <w:u w:val="single"/>
    </w:rPr>
  </w:style>
  <w:style w:type="paragraph" w:styleId="NormalWeb">
    <w:name w:val="Normal (Web)"/>
    <w:basedOn w:val="Normal"/>
    <w:uiPriority w:val="99"/>
    <w:semiHidden/>
    <w:unhideWhenUsed/>
    <w:rsid w:val="00035655"/>
    <w:rPr>
      <w:rFonts w:ascii="Times New Roman" w:hAnsi="Times New Roman" w:cs="Times New Roman"/>
    </w:rPr>
  </w:style>
  <w:style w:type="paragraph" w:styleId="FootnoteText">
    <w:name w:val="footnote text"/>
    <w:basedOn w:val="Normal"/>
    <w:link w:val="FootnoteTextChar"/>
    <w:uiPriority w:val="99"/>
    <w:semiHidden/>
    <w:unhideWhenUsed/>
    <w:rsid w:val="00E260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605B"/>
    <w:rPr>
      <w:sz w:val="20"/>
      <w:szCs w:val="20"/>
    </w:rPr>
  </w:style>
  <w:style w:type="character" w:styleId="FootnoteReference">
    <w:name w:val="footnote reference"/>
    <w:basedOn w:val="DefaultParagraphFont"/>
    <w:uiPriority w:val="99"/>
    <w:semiHidden/>
    <w:unhideWhenUsed/>
    <w:rsid w:val="00E2605B"/>
    <w:rPr>
      <w:vertAlign w:val="superscript"/>
    </w:rPr>
  </w:style>
  <w:style w:type="paragraph" w:styleId="Revision">
    <w:name w:val="Revision"/>
    <w:hidden/>
    <w:uiPriority w:val="99"/>
    <w:semiHidden/>
    <w:rsid w:val="002F724C"/>
    <w:pPr>
      <w:spacing w:after="0" w:line="240" w:lineRule="auto"/>
    </w:pPr>
    <w:rPr>
      <w:lang w:val="es-DO"/>
    </w:rPr>
  </w:style>
  <w:style w:type="character" w:styleId="CommentReference">
    <w:name w:val="annotation reference"/>
    <w:basedOn w:val="DefaultParagraphFont"/>
    <w:uiPriority w:val="99"/>
    <w:semiHidden/>
    <w:unhideWhenUsed/>
    <w:rsid w:val="002F724C"/>
    <w:rPr>
      <w:sz w:val="16"/>
      <w:szCs w:val="16"/>
    </w:rPr>
  </w:style>
  <w:style w:type="paragraph" w:styleId="CommentText">
    <w:name w:val="annotation text"/>
    <w:basedOn w:val="Normal"/>
    <w:link w:val="CommentTextChar"/>
    <w:uiPriority w:val="99"/>
    <w:unhideWhenUsed/>
    <w:rsid w:val="002F724C"/>
    <w:pPr>
      <w:spacing w:line="240" w:lineRule="auto"/>
    </w:pPr>
    <w:rPr>
      <w:sz w:val="20"/>
      <w:szCs w:val="20"/>
    </w:rPr>
  </w:style>
  <w:style w:type="character" w:customStyle="1" w:styleId="CommentTextChar">
    <w:name w:val="Comment Text Char"/>
    <w:basedOn w:val="DefaultParagraphFont"/>
    <w:link w:val="CommentText"/>
    <w:uiPriority w:val="99"/>
    <w:rsid w:val="002F724C"/>
    <w:rPr>
      <w:sz w:val="20"/>
      <w:szCs w:val="20"/>
      <w:lang w:val="es-DO"/>
    </w:rPr>
  </w:style>
  <w:style w:type="paragraph" w:styleId="CommentSubject">
    <w:name w:val="annotation subject"/>
    <w:basedOn w:val="CommentText"/>
    <w:next w:val="CommentText"/>
    <w:link w:val="CommentSubjectChar"/>
    <w:uiPriority w:val="99"/>
    <w:semiHidden/>
    <w:unhideWhenUsed/>
    <w:rsid w:val="002F724C"/>
    <w:rPr>
      <w:b/>
      <w:bCs/>
    </w:rPr>
  </w:style>
  <w:style w:type="character" w:customStyle="1" w:styleId="CommentSubjectChar">
    <w:name w:val="Comment Subject Char"/>
    <w:basedOn w:val="CommentTextChar"/>
    <w:link w:val="CommentSubject"/>
    <w:uiPriority w:val="99"/>
    <w:semiHidden/>
    <w:rsid w:val="002F724C"/>
    <w:rPr>
      <w:b/>
      <w:bCs/>
      <w:sz w:val="20"/>
      <w:szCs w:val="20"/>
      <w:lang w:val="es-D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usitc.gov/publications/332/pub2165.pdf" TargetMode="External"/><Relationship Id="rId2" Type="http://schemas.openxmlformats.org/officeDocument/2006/relationships/hyperlink" Target="https://www.researchgate.net/publication/377866166_GAINING_INSIGHTS_INTO_REBAR_STEEL_MARKET_FORCES_CASE_STUDY_OF_EZZ_REBAR_STEEL_INDUSTRY" TargetMode="External"/><Relationship Id="rId1" Type="http://schemas.openxmlformats.org/officeDocument/2006/relationships/hyperlink" Target="https://www.usitc.gov/publications/701_731/pub4705.pdf" TargetMode="External"/><Relationship Id="rId4" Type="http://schemas.openxmlformats.org/officeDocument/2006/relationships/hyperlink" Target="https://pressbooks.bccampus.ca/uvicecon103/chapter/4-7-tariff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648BA8-670F-43D0-B311-489FF1129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3242</Words>
  <Characters>18481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Despradel</dc:creator>
  <cp:keywords/>
  <dc:description/>
  <cp:lastModifiedBy>Lynette Batista</cp:lastModifiedBy>
  <cp:revision>3</cp:revision>
  <dcterms:created xsi:type="dcterms:W3CDTF">2025-09-15T03:42:00Z</dcterms:created>
  <dcterms:modified xsi:type="dcterms:W3CDTF">2025-09-15T12:40:00Z</dcterms:modified>
</cp:coreProperties>
</file>