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C7EEB" w14:textId="2AF5DDBF" w:rsidR="005B3BA0" w:rsidRPr="00CD28B8" w:rsidRDefault="00CD28B8">
      <w:pPr>
        <w:rPr>
          <w:b/>
          <w:bCs/>
        </w:rPr>
      </w:pPr>
      <w:r w:rsidRPr="00CD28B8">
        <w:rPr>
          <w:b/>
          <w:bCs/>
        </w:rPr>
        <w:t>Comportamiento de las Importaciones de Turquía al Mercado Nacional 2021 – junio 2025</w:t>
      </w:r>
    </w:p>
    <w:p w14:paraId="36266594" w14:textId="1B9DA07C" w:rsidR="00CD28B8" w:rsidRDefault="00CD28B8" w:rsidP="00C95901">
      <w:pPr>
        <w:jc w:val="both"/>
      </w:pPr>
      <w:r>
        <w:t xml:space="preserve">Entre el enero del 2021 y junio del 2025 se aprecia un comportamiento inconsistente de las importaciones de varillas turcas al mercado nacional, influenciada por importaciones con beneficios fiscales amparadas en leyes de fideicomiso público, las cuales se encuentran exoneradas de todo tipo de gravámenes, incluyendo el ITBIS.  </w:t>
      </w:r>
    </w:p>
    <w:p w14:paraId="4B7C144F" w14:textId="71BAA9EF" w:rsidR="00570878" w:rsidRDefault="00570878" w:rsidP="00C95901">
      <w:pPr>
        <w:jc w:val="both"/>
      </w:pPr>
      <w:r>
        <w:t xml:space="preserve">Los datos obtenidos de la Direccion General de Aduanas no reflejan importaciones de varillas turcas durante el 2021 y el 2022 al mercado nacional. Sin embargo, durante el </w:t>
      </w:r>
      <w:proofErr w:type="gramStart"/>
      <w:r>
        <w:t>2023  y</w:t>
      </w:r>
      <w:proofErr w:type="gramEnd"/>
      <w:r>
        <w:t xml:space="preserve"> el 2024 se reflejan importaciones, así también en el periodo enero – junio 2025.  </w:t>
      </w:r>
    </w:p>
    <w:p w14:paraId="5CCBBAF8" w14:textId="77777777" w:rsidR="00C95901" w:rsidRDefault="00570878" w:rsidP="00C95901">
      <w:pPr>
        <w:jc w:val="both"/>
      </w:pPr>
      <w:r>
        <w:t xml:space="preserve">Al analizar estas importaciones se presenten inconsistencias en los valores </w:t>
      </w:r>
      <w:r w:rsidR="00C95901">
        <w:t xml:space="preserve">registrados en la data de la </w:t>
      </w:r>
      <w:r>
        <w:t xml:space="preserve">DGA, así también </w:t>
      </w:r>
      <w:r w:rsidR="00C95901">
        <w:t xml:space="preserve">el </w:t>
      </w:r>
      <w:r>
        <w:t>tratamiento fiscal</w:t>
      </w:r>
      <w:r w:rsidR="00C95901">
        <w:t xml:space="preserve"> a dichas importaciones. </w:t>
      </w:r>
      <w:r>
        <w:t xml:space="preserve"> En una serie de importaciones se aprecian </w:t>
      </w:r>
      <w:r w:rsidR="00C95901">
        <w:t xml:space="preserve">que </w:t>
      </w:r>
      <w:r>
        <w:t xml:space="preserve">fueron exoneradas, tanto de los gravámenes arancelarios como del pago del ITBIS, mientras que otras importaciones fueron sujetas a los pagos correspondientes.  </w:t>
      </w:r>
    </w:p>
    <w:p w14:paraId="44EEDCF9" w14:textId="77777777" w:rsidR="00C95901" w:rsidRDefault="00570878" w:rsidP="00C95901">
      <w:pPr>
        <w:jc w:val="both"/>
      </w:pPr>
      <w:r>
        <w:t xml:space="preserve">Sin embargo, las que fueron sujetas a los pagos de gravamen reflejan tasas muy superiores a lo establecido, </w:t>
      </w:r>
      <w:r w:rsidR="00C95901">
        <w:t xml:space="preserve">generando dudas sobre si estos pagos de impuestos son correctos.  </w:t>
      </w:r>
    </w:p>
    <w:p w14:paraId="665D2C2A" w14:textId="2AD5F5F9" w:rsidR="00C95901" w:rsidRDefault="00C95901" w:rsidP="00C95901">
      <w:pPr>
        <w:jc w:val="both"/>
      </w:pPr>
      <w:r>
        <w:t xml:space="preserve"> A manera de ejemplo, importaciones originarias de Turquía presentan tasas de gravamen arancelario del 63% e ITBIS del 29%, mientas que otros presentan tasas de 0% tanto en gravamen como ITBIS.  En adición, en los corresponde a valor FOB, aprecian fluctuaciones importantes en los precios unitarios por TM, fluctuando entre </w:t>
      </w:r>
      <w:r w:rsidR="00570878">
        <w:t xml:space="preserve">US 2,129 </w:t>
      </w:r>
      <w:r>
        <w:t>la TM a US$166 la TM</w:t>
      </w:r>
      <w:r w:rsidR="00E325EF">
        <w:t>.</w:t>
      </w:r>
    </w:p>
    <w:p w14:paraId="25D7E63D" w14:textId="3F1101FE" w:rsidR="00C95901" w:rsidRDefault="00C95901" w:rsidP="00C95901">
      <w:pPr>
        <w:jc w:val="both"/>
      </w:pPr>
      <w:r>
        <w:t xml:space="preserve">Esto arroja una serie de dudas en las informaciones de las importaciones de las varillas originarias de Turquía </w:t>
      </w:r>
      <w:r w:rsidR="007822B6">
        <w:t>de enero</w:t>
      </w:r>
      <w:r>
        <w:t xml:space="preserve"> del 2023 y junio del 2025</w:t>
      </w:r>
      <w:r w:rsidR="007822B6">
        <w:t xml:space="preserve">, por lo que encomendamos que la CDC puede verificar estas cifras en sus contactos directos con la DGA para fines de poder esclarecer estos registros de importación. </w:t>
      </w:r>
    </w:p>
    <w:p w14:paraId="27084D31" w14:textId="77777777" w:rsidR="007822B6" w:rsidRDefault="007822B6" w:rsidP="00C95901">
      <w:pPr>
        <w:jc w:val="both"/>
      </w:pPr>
      <w:r>
        <w:t xml:space="preserve">Es importante destacar que en el 2022 el Congreso Nacional ratificó tres contratos de Fideicomisos públicos, exonerando a estos de los pagos de impuestos de importación e ITBIS.  Tenemos constancias de que una parte importante de estas importaciones fueron realizados por estos fideicomisos públicos, por lo que recibieron el tratamiento preferencial impositivo. </w:t>
      </w:r>
    </w:p>
    <w:p w14:paraId="492B9F74" w14:textId="47B22675" w:rsidR="00C95901" w:rsidRDefault="007822B6" w:rsidP="00C95901">
      <w:pPr>
        <w:jc w:val="both"/>
      </w:pPr>
      <w:r>
        <w:t xml:space="preserve">Esto significa que dichas importaciones no fueron realizadas sujetas a </w:t>
      </w:r>
      <w:r w:rsidR="002F6556">
        <w:t>las reglas normales impositivas</w:t>
      </w:r>
      <w:r>
        <w:t xml:space="preserve"> en su proceso de nacionalización, por lo </w:t>
      </w:r>
      <w:r w:rsidR="002F6556">
        <w:t>que no</w:t>
      </w:r>
      <w:r>
        <w:t xml:space="preserve"> </w:t>
      </w:r>
      <w:r w:rsidR="002F6556">
        <w:t>reflejan precios de</w:t>
      </w:r>
      <w:r>
        <w:t xml:space="preserve"> un curso normal de negocios</w:t>
      </w:r>
      <w:r w:rsidR="002F6556">
        <w:t xml:space="preserve">. </w:t>
      </w:r>
      <w:r>
        <w:t xml:space="preserve"> </w:t>
      </w:r>
    </w:p>
    <w:p w14:paraId="0E50BCA0" w14:textId="0B55B304" w:rsidR="002F6556" w:rsidRDefault="002F6556" w:rsidP="00C95901">
      <w:pPr>
        <w:jc w:val="both"/>
      </w:pPr>
      <w:r>
        <w:t xml:space="preserve">A continuación, describimos los tres fideicomisos: </w:t>
      </w:r>
    </w:p>
    <w:p w14:paraId="3F304392" w14:textId="71C148D6" w:rsidR="00CD28B8" w:rsidRPr="002F6556" w:rsidRDefault="00C95901" w:rsidP="002F6556">
      <w:pPr>
        <w:jc w:val="both"/>
        <w:rPr>
          <w:rFonts w:cstheme="minorHAnsi"/>
        </w:rPr>
      </w:pPr>
      <w:r w:rsidRPr="002F6556">
        <w:t xml:space="preserve"> </w:t>
      </w:r>
      <w:r w:rsidR="00CD28B8" w:rsidRPr="002F6556">
        <w:rPr>
          <w:rFonts w:cstheme="minorHAnsi"/>
          <w:b/>
          <w:bCs/>
        </w:rPr>
        <w:t xml:space="preserve">1. </w:t>
      </w:r>
      <w:bookmarkStart w:id="0" w:name="_Hlk118887572"/>
      <w:r w:rsidR="00CD28B8" w:rsidRPr="002F6556">
        <w:rPr>
          <w:rFonts w:cstheme="minorHAnsi"/>
          <w:b/>
          <w:bCs/>
        </w:rPr>
        <w:t>Fideicomiso Pro-Pedernales</w:t>
      </w:r>
      <w:bookmarkEnd w:id="0"/>
    </w:p>
    <w:p w14:paraId="399D1F84" w14:textId="77777777" w:rsidR="00CD28B8" w:rsidRPr="002F6556" w:rsidRDefault="00CD28B8" w:rsidP="00CD28B8">
      <w:pPr>
        <w:autoSpaceDE w:val="0"/>
        <w:autoSpaceDN w:val="0"/>
        <w:adjustRightInd w:val="0"/>
        <w:spacing w:after="0" w:line="240" w:lineRule="auto"/>
        <w:ind w:left="708"/>
        <w:rPr>
          <w:rFonts w:cstheme="minorHAnsi"/>
          <w:b/>
          <w:bCs/>
        </w:rPr>
      </w:pPr>
      <w:r w:rsidRPr="002F6556">
        <w:rPr>
          <w:rFonts w:cstheme="minorHAnsi"/>
          <w:b/>
          <w:bCs/>
        </w:rPr>
        <w:t>Res. núm. 5-22 que aprueba el Contrato de Fideicomiso para el Desarrollo Turístico de</w:t>
      </w:r>
    </w:p>
    <w:p w14:paraId="5BCEDEDF" w14:textId="77777777" w:rsidR="00CD28B8" w:rsidRPr="002F6556" w:rsidRDefault="00CD28B8" w:rsidP="00CD28B8">
      <w:pPr>
        <w:autoSpaceDE w:val="0"/>
        <w:autoSpaceDN w:val="0"/>
        <w:adjustRightInd w:val="0"/>
        <w:spacing w:after="0" w:line="240" w:lineRule="auto"/>
        <w:ind w:left="708"/>
        <w:rPr>
          <w:rFonts w:cstheme="minorHAnsi"/>
          <w:b/>
          <w:bCs/>
        </w:rPr>
      </w:pPr>
      <w:r w:rsidRPr="002F6556">
        <w:rPr>
          <w:rFonts w:cstheme="minorHAnsi"/>
          <w:b/>
          <w:bCs/>
        </w:rPr>
        <w:t>la provincia Pedernales (Fideicomiso Pro-Pedernales), suscrito entre el Estado</w:t>
      </w:r>
    </w:p>
    <w:p w14:paraId="2A48FBA3" w14:textId="77777777" w:rsidR="00CD28B8" w:rsidRPr="002F6556" w:rsidRDefault="00CD28B8" w:rsidP="00CD28B8">
      <w:pPr>
        <w:autoSpaceDE w:val="0"/>
        <w:autoSpaceDN w:val="0"/>
        <w:adjustRightInd w:val="0"/>
        <w:spacing w:after="0" w:line="240" w:lineRule="auto"/>
        <w:ind w:left="708"/>
        <w:rPr>
          <w:rFonts w:cstheme="minorHAnsi"/>
          <w:b/>
          <w:bCs/>
        </w:rPr>
      </w:pPr>
      <w:r w:rsidRPr="002F6556">
        <w:rPr>
          <w:rFonts w:cstheme="minorHAnsi"/>
          <w:b/>
          <w:bCs/>
        </w:rPr>
        <w:t xml:space="preserve">dominicano y Fiduciaria </w:t>
      </w:r>
      <w:proofErr w:type="spellStart"/>
      <w:r w:rsidRPr="002F6556">
        <w:rPr>
          <w:rFonts w:cstheme="minorHAnsi"/>
          <w:b/>
          <w:bCs/>
        </w:rPr>
        <w:t>Banreservas</w:t>
      </w:r>
      <w:proofErr w:type="spellEnd"/>
      <w:r w:rsidRPr="002F6556">
        <w:rPr>
          <w:rFonts w:cstheme="minorHAnsi"/>
          <w:b/>
          <w:bCs/>
        </w:rPr>
        <w:t>, S. A. y su Adenda No.1 suscrita el 8 de</w:t>
      </w:r>
    </w:p>
    <w:p w14:paraId="4CEA61E6" w14:textId="77777777" w:rsidR="00CD28B8" w:rsidRPr="002F6556" w:rsidRDefault="00CD28B8" w:rsidP="00CD28B8">
      <w:pPr>
        <w:autoSpaceDE w:val="0"/>
        <w:autoSpaceDN w:val="0"/>
        <w:adjustRightInd w:val="0"/>
        <w:spacing w:after="0" w:line="240" w:lineRule="auto"/>
        <w:ind w:left="708"/>
        <w:rPr>
          <w:rFonts w:cstheme="minorHAnsi"/>
          <w:b/>
          <w:bCs/>
        </w:rPr>
      </w:pPr>
      <w:r w:rsidRPr="002F6556">
        <w:rPr>
          <w:rFonts w:cstheme="minorHAnsi"/>
          <w:b/>
          <w:bCs/>
        </w:rPr>
        <w:t>noviembre de 2021. Crea e integra el Comité Administrativo presidido por el ministro</w:t>
      </w:r>
    </w:p>
    <w:p w14:paraId="56BA8B8C" w14:textId="77777777" w:rsidR="00CD28B8" w:rsidRPr="002F6556" w:rsidRDefault="00CD28B8" w:rsidP="00CD28B8">
      <w:pPr>
        <w:autoSpaceDE w:val="0"/>
        <w:autoSpaceDN w:val="0"/>
        <w:adjustRightInd w:val="0"/>
        <w:spacing w:after="0" w:line="240" w:lineRule="auto"/>
        <w:ind w:left="708"/>
        <w:rPr>
          <w:rFonts w:cstheme="minorHAnsi"/>
          <w:b/>
          <w:bCs/>
        </w:rPr>
      </w:pPr>
      <w:r w:rsidRPr="002F6556">
        <w:rPr>
          <w:rFonts w:cstheme="minorHAnsi"/>
          <w:b/>
          <w:bCs/>
        </w:rPr>
        <w:t>de la Presidencia y del cual forma parte el Consultor Jurídico del Poder Ejecutivo. G.O.</w:t>
      </w:r>
    </w:p>
    <w:p w14:paraId="4D884F47" w14:textId="77777777" w:rsidR="00CD28B8" w:rsidRPr="002F6556" w:rsidRDefault="00CD28B8" w:rsidP="00CD28B8">
      <w:pPr>
        <w:ind w:left="708"/>
        <w:rPr>
          <w:rFonts w:cstheme="minorHAnsi"/>
        </w:rPr>
      </w:pPr>
      <w:r w:rsidRPr="002F6556">
        <w:rPr>
          <w:rFonts w:cstheme="minorHAnsi"/>
          <w:b/>
          <w:bCs/>
        </w:rPr>
        <w:t>No. 11063 del 8 de abril de 2022.</w:t>
      </w:r>
    </w:p>
    <w:p w14:paraId="01563355" w14:textId="77777777" w:rsidR="00CD28B8" w:rsidRPr="002F6556" w:rsidRDefault="00CD28B8" w:rsidP="00CD28B8">
      <w:pPr>
        <w:autoSpaceDE w:val="0"/>
        <w:autoSpaceDN w:val="0"/>
        <w:adjustRightInd w:val="0"/>
        <w:spacing w:after="0" w:line="240" w:lineRule="auto"/>
        <w:ind w:left="708"/>
        <w:rPr>
          <w:rFonts w:cstheme="minorHAnsi"/>
          <w:i/>
          <w:iCs/>
        </w:rPr>
      </w:pPr>
      <w:r w:rsidRPr="002F6556">
        <w:rPr>
          <w:rFonts w:cstheme="minorHAnsi"/>
          <w:b/>
          <w:bCs/>
          <w:i/>
          <w:iCs/>
        </w:rPr>
        <w:t>42.6- ARANCELES E IMPUESTOS DE IMPORTACIÓN</w:t>
      </w:r>
      <w:r w:rsidRPr="002F6556">
        <w:rPr>
          <w:rFonts w:cstheme="minorHAnsi"/>
          <w:i/>
          <w:iCs/>
        </w:rPr>
        <w:t>. El FIDEICOMISO</w:t>
      </w:r>
    </w:p>
    <w:p w14:paraId="62FC03DE" w14:textId="77777777" w:rsidR="00CD28B8" w:rsidRPr="002F6556" w:rsidRDefault="00CD28B8" w:rsidP="00CD28B8">
      <w:pPr>
        <w:autoSpaceDE w:val="0"/>
        <w:autoSpaceDN w:val="0"/>
        <w:adjustRightInd w:val="0"/>
        <w:spacing w:after="0" w:line="240" w:lineRule="auto"/>
        <w:ind w:left="708"/>
        <w:rPr>
          <w:rFonts w:cstheme="minorHAnsi"/>
          <w:i/>
          <w:iCs/>
        </w:rPr>
      </w:pPr>
      <w:r w:rsidRPr="002F6556">
        <w:rPr>
          <w:rFonts w:cstheme="minorHAnsi"/>
          <w:i/>
          <w:iCs/>
        </w:rPr>
        <w:lastRenderedPageBreak/>
        <w:t>estará exonerado del pago de aranceles y cualquier impuesto en la importación,</w:t>
      </w:r>
    </w:p>
    <w:p w14:paraId="792D3A22" w14:textId="77777777" w:rsidR="00CD28B8" w:rsidRPr="002F6556" w:rsidRDefault="00CD28B8" w:rsidP="00CD28B8">
      <w:pPr>
        <w:autoSpaceDE w:val="0"/>
        <w:autoSpaceDN w:val="0"/>
        <w:adjustRightInd w:val="0"/>
        <w:spacing w:after="0" w:line="240" w:lineRule="auto"/>
        <w:ind w:left="708"/>
        <w:rPr>
          <w:rFonts w:cstheme="minorHAnsi"/>
          <w:i/>
          <w:iCs/>
        </w:rPr>
      </w:pPr>
      <w:r w:rsidRPr="002F6556">
        <w:rPr>
          <w:rFonts w:cstheme="minorHAnsi"/>
          <w:i/>
          <w:iCs/>
        </w:rPr>
        <w:t>incluyendo el Impuesto a la Transferencia de Bienes Industrializados y Servicios</w:t>
      </w:r>
    </w:p>
    <w:p w14:paraId="571C1187" w14:textId="77777777" w:rsidR="00CD28B8" w:rsidRPr="002F6556" w:rsidRDefault="00CD28B8" w:rsidP="00CD28B8">
      <w:pPr>
        <w:autoSpaceDE w:val="0"/>
        <w:autoSpaceDN w:val="0"/>
        <w:adjustRightInd w:val="0"/>
        <w:spacing w:after="0" w:line="240" w:lineRule="auto"/>
        <w:ind w:left="708"/>
        <w:rPr>
          <w:rFonts w:cstheme="minorHAnsi"/>
          <w:i/>
          <w:iCs/>
        </w:rPr>
      </w:pPr>
      <w:r w:rsidRPr="002F6556">
        <w:rPr>
          <w:rFonts w:cstheme="minorHAnsi"/>
          <w:i/>
          <w:iCs/>
        </w:rPr>
        <w:t>(ITBIS), que incidan o recaigan sobre la introducción en el país de las maquinarias</w:t>
      </w:r>
    </w:p>
    <w:p w14:paraId="6AD94686" w14:textId="77777777" w:rsidR="00CD28B8" w:rsidRPr="002F6556" w:rsidRDefault="00CD28B8" w:rsidP="00CD28B8">
      <w:pPr>
        <w:autoSpaceDE w:val="0"/>
        <w:autoSpaceDN w:val="0"/>
        <w:adjustRightInd w:val="0"/>
        <w:spacing w:after="0" w:line="240" w:lineRule="auto"/>
        <w:ind w:left="708"/>
        <w:rPr>
          <w:rFonts w:cstheme="minorHAnsi"/>
          <w:i/>
          <w:iCs/>
        </w:rPr>
      </w:pPr>
      <w:r w:rsidRPr="002F6556">
        <w:rPr>
          <w:rFonts w:cstheme="minorHAnsi"/>
          <w:i/>
          <w:iCs/>
        </w:rPr>
        <w:t>y equipos, los repuestos de dichas maquinarias y equipos, materiales y otros bienes</w:t>
      </w:r>
    </w:p>
    <w:p w14:paraId="2C7384C2" w14:textId="77777777" w:rsidR="00CD28B8" w:rsidRPr="002F6556" w:rsidRDefault="00CD28B8" w:rsidP="00CD28B8">
      <w:pPr>
        <w:autoSpaceDE w:val="0"/>
        <w:autoSpaceDN w:val="0"/>
        <w:adjustRightInd w:val="0"/>
        <w:spacing w:after="0" w:line="240" w:lineRule="auto"/>
        <w:ind w:left="708"/>
        <w:rPr>
          <w:rFonts w:cstheme="minorHAnsi"/>
          <w:i/>
          <w:iCs/>
        </w:rPr>
      </w:pPr>
      <w:r w:rsidRPr="002F6556">
        <w:rPr>
          <w:rFonts w:cstheme="minorHAnsi"/>
          <w:i/>
          <w:iCs/>
        </w:rPr>
        <w:t>de cualquier naturaleza que pudieres ser requeridos para la ejecución de las obras</w:t>
      </w:r>
    </w:p>
    <w:p w14:paraId="66B8C68A" w14:textId="77777777" w:rsidR="00CD28B8" w:rsidRPr="002F6556" w:rsidRDefault="00CD28B8" w:rsidP="00CD28B8">
      <w:pPr>
        <w:autoSpaceDE w:val="0"/>
        <w:autoSpaceDN w:val="0"/>
        <w:adjustRightInd w:val="0"/>
        <w:spacing w:after="0" w:line="240" w:lineRule="auto"/>
        <w:ind w:left="708"/>
        <w:rPr>
          <w:rFonts w:cstheme="minorHAnsi"/>
          <w:i/>
          <w:iCs/>
        </w:rPr>
      </w:pPr>
      <w:r w:rsidRPr="002F6556">
        <w:rPr>
          <w:rFonts w:cstheme="minorHAnsi"/>
          <w:i/>
          <w:iCs/>
        </w:rPr>
        <w:t>de infraestructura de los servicios complementarias de los proyectos a ser</w:t>
      </w:r>
    </w:p>
    <w:p w14:paraId="59A58196" w14:textId="77777777" w:rsidR="00CD28B8" w:rsidRPr="002F6556" w:rsidRDefault="00CD28B8" w:rsidP="00CD28B8">
      <w:pPr>
        <w:ind w:left="708"/>
        <w:rPr>
          <w:rFonts w:cstheme="minorHAnsi"/>
        </w:rPr>
      </w:pPr>
      <w:r w:rsidRPr="002F6556">
        <w:rPr>
          <w:rFonts w:cstheme="minorHAnsi"/>
          <w:i/>
          <w:iCs/>
        </w:rPr>
        <w:t>desarrollados relacionados al objeto del FIDEICOMISO.</w:t>
      </w:r>
    </w:p>
    <w:p w14:paraId="3D692F15" w14:textId="77777777" w:rsidR="00CD28B8" w:rsidRPr="002F6556" w:rsidRDefault="00CD28B8" w:rsidP="00CD28B8">
      <w:pPr>
        <w:autoSpaceDE w:val="0"/>
        <w:autoSpaceDN w:val="0"/>
        <w:adjustRightInd w:val="0"/>
        <w:spacing w:after="0" w:line="240" w:lineRule="auto"/>
        <w:ind w:left="708"/>
        <w:rPr>
          <w:rFonts w:cstheme="minorHAnsi"/>
          <w:i/>
          <w:iCs/>
        </w:rPr>
      </w:pPr>
      <w:r w:rsidRPr="002F6556">
        <w:rPr>
          <w:rFonts w:cstheme="minorHAnsi"/>
          <w:b/>
          <w:bCs/>
          <w:i/>
          <w:iCs/>
        </w:rPr>
        <w:t xml:space="preserve">42.6.1.- </w:t>
      </w:r>
      <w:r w:rsidRPr="002F6556">
        <w:rPr>
          <w:rFonts w:cstheme="minorHAnsi"/>
          <w:i/>
          <w:iCs/>
        </w:rPr>
        <w:t>La exención establecida en el numeral 42.6 para el FIDEICOMISO, será</w:t>
      </w:r>
    </w:p>
    <w:p w14:paraId="07401F6F" w14:textId="77777777" w:rsidR="00CD28B8" w:rsidRPr="002F6556" w:rsidRDefault="00CD28B8" w:rsidP="00CD28B8">
      <w:pPr>
        <w:autoSpaceDE w:val="0"/>
        <w:autoSpaceDN w:val="0"/>
        <w:adjustRightInd w:val="0"/>
        <w:spacing w:after="0" w:line="240" w:lineRule="auto"/>
        <w:ind w:left="708"/>
        <w:rPr>
          <w:rFonts w:cstheme="minorHAnsi"/>
          <w:i/>
          <w:iCs/>
        </w:rPr>
      </w:pPr>
      <w:r w:rsidRPr="002F6556">
        <w:rPr>
          <w:rFonts w:cstheme="minorHAnsi"/>
          <w:i/>
          <w:iCs/>
        </w:rPr>
        <w:t>extensiva a la importación de bienes realizadas por las instituciones estatales</w:t>
      </w:r>
    </w:p>
    <w:p w14:paraId="4202A0E4" w14:textId="77777777" w:rsidR="00CD28B8" w:rsidRPr="002F6556" w:rsidRDefault="00CD28B8" w:rsidP="00CD28B8">
      <w:pPr>
        <w:autoSpaceDE w:val="0"/>
        <w:autoSpaceDN w:val="0"/>
        <w:adjustRightInd w:val="0"/>
        <w:spacing w:after="0" w:line="240" w:lineRule="auto"/>
        <w:ind w:left="708"/>
        <w:rPr>
          <w:rFonts w:cstheme="minorHAnsi"/>
          <w:i/>
          <w:iCs/>
        </w:rPr>
      </w:pPr>
      <w:r w:rsidRPr="002F6556">
        <w:rPr>
          <w:rFonts w:cstheme="minorHAnsi"/>
          <w:i/>
          <w:iCs/>
        </w:rPr>
        <w:t>contratadas directamente por el FIDEICOMISO, a cargo de la ejecución y</w:t>
      </w:r>
    </w:p>
    <w:p w14:paraId="79E3342D" w14:textId="77777777" w:rsidR="00CD28B8" w:rsidRPr="002F6556" w:rsidRDefault="00CD28B8" w:rsidP="00CD28B8">
      <w:pPr>
        <w:autoSpaceDE w:val="0"/>
        <w:autoSpaceDN w:val="0"/>
        <w:adjustRightInd w:val="0"/>
        <w:spacing w:after="0" w:line="240" w:lineRule="auto"/>
        <w:ind w:left="708"/>
        <w:rPr>
          <w:rFonts w:cstheme="minorHAnsi"/>
          <w:i/>
          <w:iCs/>
        </w:rPr>
      </w:pPr>
      <w:r w:rsidRPr="002F6556">
        <w:rPr>
          <w:rFonts w:cstheme="minorHAnsi"/>
          <w:i/>
          <w:iCs/>
        </w:rPr>
        <w:t>supervisión de las obras, dentro de los proyectos desarrollados para el cumplimiento</w:t>
      </w:r>
    </w:p>
    <w:p w14:paraId="1C558B06" w14:textId="77777777" w:rsidR="00CD28B8" w:rsidRPr="002F6556" w:rsidRDefault="00CD28B8" w:rsidP="00CD28B8">
      <w:pPr>
        <w:ind w:left="708"/>
        <w:rPr>
          <w:rFonts w:cstheme="minorHAnsi"/>
        </w:rPr>
      </w:pPr>
      <w:r w:rsidRPr="002F6556">
        <w:rPr>
          <w:rFonts w:cstheme="minorHAnsi"/>
          <w:i/>
          <w:iCs/>
        </w:rPr>
        <w:t>del objeto del FIDEICOMISO PRO-PEDERNALES.</w:t>
      </w:r>
    </w:p>
    <w:p w14:paraId="18C33595" w14:textId="77777777" w:rsidR="00CD28B8" w:rsidRPr="002F6556" w:rsidRDefault="00CD28B8" w:rsidP="00CD28B8">
      <w:pPr>
        <w:rPr>
          <w:rFonts w:cstheme="minorHAnsi"/>
          <w:b/>
          <w:bCs/>
        </w:rPr>
      </w:pPr>
    </w:p>
    <w:p w14:paraId="13EB44C9" w14:textId="77777777" w:rsidR="00CD28B8" w:rsidRPr="002F6556" w:rsidRDefault="00CD28B8" w:rsidP="00CD28B8">
      <w:pPr>
        <w:rPr>
          <w:rFonts w:cstheme="minorHAnsi"/>
        </w:rPr>
      </w:pPr>
      <w:r w:rsidRPr="002F6556">
        <w:rPr>
          <w:rFonts w:cstheme="minorHAnsi"/>
          <w:b/>
          <w:bCs/>
        </w:rPr>
        <w:t xml:space="preserve">Fideicomiso </w:t>
      </w:r>
      <w:proofErr w:type="spellStart"/>
      <w:r w:rsidRPr="002F6556">
        <w:rPr>
          <w:rFonts w:cstheme="minorHAnsi"/>
          <w:b/>
          <w:bCs/>
        </w:rPr>
        <w:t>Mivivienda</w:t>
      </w:r>
      <w:proofErr w:type="spellEnd"/>
    </w:p>
    <w:p w14:paraId="43BA9A93" w14:textId="77777777" w:rsidR="00CD28B8" w:rsidRPr="002F6556" w:rsidRDefault="00CD28B8" w:rsidP="00CD28B8">
      <w:pPr>
        <w:autoSpaceDE w:val="0"/>
        <w:autoSpaceDN w:val="0"/>
        <w:adjustRightInd w:val="0"/>
        <w:spacing w:after="0" w:line="240" w:lineRule="auto"/>
        <w:ind w:left="708"/>
        <w:rPr>
          <w:rFonts w:cstheme="minorHAnsi"/>
          <w:b/>
          <w:bCs/>
        </w:rPr>
      </w:pPr>
      <w:r w:rsidRPr="002F6556">
        <w:rPr>
          <w:rFonts w:cstheme="minorHAnsi"/>
          <w:b/>
          <w:bCs/>
        </w:rPr>
        <w:t>Res. No. 339-21 que aprueba el Contrato de Fideicomiso Público de Administración</w:t>
      </w:r>
    </w:p>
    <w:p w14:paraId="68C8E526" w14:textId="77777777" w:rsidR="00CD28B8" w:rsidRPr="002F6556" w:rsidRDefault="00CD28B8" w:rsidP="00CD28B8">
      <w:pPr>
        <w:autoSpaceDE w:val="0"/>
        <w:autoSpaceDN w:val="0"/>
        <w:adjustRightInd w:val="0"/>
        <w:spacing w:after="0" w:line="240" w:lineRule="auto"/>
        <w:ind w:left="708"/>
        <w:rPr>
          <w:rFonts w:cstheme="minorHAnsi"/>
          <w:b/>
          <w:bCs/>
        </w:rPr>
      </w:pPr>
      <w:r w:rsidRPr="002F6556">
        <w:rPr>
          <w:rFonts w:cstheme="minorHAnsi"/>
          <w:b/>
          <w:bCs/>
        </w:rPr>
        <w:t>“</w:t>
      </w:r>
      <w:proofErr w:type="spellStart"/>
      <w:r w:rsidRPr="002F6556">
        <w:rPr>
          <w:rFonts w:cstheme="minorHAnsi"/>
          <w:b/>
          <w:bCs/>
        </w:rPr>
        <w:t>Mivivienda</w:t>
      </w:r>
      <w:proofErr w:type="spellEnd"/>
      <w:r w:rsidRPr="002F6556">
        <w:rPr>
          <w:rFonts w:cstheme="minorHAnsi"/>
          <w:b/>
          <w:bCs/>
        </w:rPr>
        <w:t xml:space="preserve">” (Fideicomiso </w:t>
      </w:r>
      <w:proofErr w:type="spellStart"/>
      <w:r w:rsidRPr="002F6556">
        <w:rPr>
          <w:rFonts w:cstheme="minorHAnsi"/>
          <w:b/>
          <w:bCs/>
        </w:rPr>
        <w:t>Mivivienda</w:t>
      </w:r>
      <w:proofErr w:type="spellEnd"/>
      <w:r w:rsidRPr="002F6556">
        <w:rPr>
          <w:rFonts w:cstheme="minorHAnsi"/>
          <w:b/>
          <w:bCs/>
        </w:rPr>
        <w:t>), suscrito el 13 de abril de 2021, entre el</w:t>
      </w:r>
    </w:p>
    <w:p w14:paraId="7E0BC448" w14:textId="77777777" w:rsidR="00CD28B8" w:rsidRPr="002F6556" w:rsidRDefault="00CD28B8" w:rsidP="00CD28B8">
      <w:pPr>
        <w:autoSpaceDE w:val="0"/>
        <w:autoSpaceDN w:val="0"/>
        <w:adjustRightInd w:val="0"/>
        <w:spacing w:after="0" w:line="240" w:lineRule="auto"/>
        <w:ind w:left="708"/>
        <w:rPr>
          <w:rFonts w:cstheme="minorHAnsi"/>
          <w:b/>
          <w:bCs/>
        </w:rPr>
      </w:pPr>
      <w:r w:rsidRPr="002F6556">
        <w:rPr>
          <w:rFonts w:cstheme="minorHAnsi"/>
          <w:b/>
          <w:bCs/>
        </w:rPr>
        <w:t>Instituto Nacional de la Vivienda (INVI) y la Fiduciaria Reservas, S.A. G. O. No. 11044</w:t>
      </w:r>
    </w:p>
    <w:p w14:paraId="24760A6D" w14:textId="77777777" w:rsidR="00CD28B8" w:rsidRPr="002F6556" w:rsidRDefault="00CD28B8" w:rsidP="00CD28B8">
      <w:pPr>
        <w:ind w:left="708"/>
        <w:rPr>
          <w:rFonts w:cstheme="minorHAnsi"/>
        </w:rPr>
      </w:pPr>
      <w:r w:rsidRPr="002F6556">
        <w:rPr>
          <w:rFonts w:cstheme="minorHAnsi"/>
          <w:b/>
          <w:bCs/>
        </w:rPr>
        <w:t>del 18 de noviembre de 2021.</w:t>
      </w:r>
    </w:p>
    <w:p w14:paraId="5F7AAC45" w14:textId="77777777" w:rsidR="00CD28B8" w:rsidRPr="002F6556" w:rsidRDefault="00CD28B8" w:rsidP="00CD28B8">
      <w:pPr>
        <w:autoSpaceDE w:val="0"/>
        <w:autoSpaceDN w:val="0"/>
        <w:adjustRightInd w:val="0"/>
        <w:spacing w:after="0" w:line="240" w:lineRule="auto"/>
        <w:ind w:left="708"/>
        <w:rPr>
          <w:rFonts w:cstheme="minorHAnsi"/>
          <w:i/>
          <w:iCs/>
        </w:rPr>
      </w:pPr>
      <w:r w:rsidRPr="002F6556">
        <w:rPr>
          <w:rFonts w:cstheme="minorHAnsi"/>
          <w:b/>
          <w:bCs/>
          <w:i/>
          <w:iCs/>
        </w:rPr>
        <w:t xml:space="preserve">41.9.- ARANCELES E IMPUESTOS DE IMPORTACIÓN. </w:t>
      </w:r>
      <w:r w:rsidRPr="002F6556">
        <w:rPr>
          <w:rFonts w:cstheme="minorHAnsi"/>
          <w:i/>
          <w:iCs/>
        </w:rPr>
        <w:t>El Fideicomiso estará</w:t>
      </w:r>
    </w:p>
    <w:p w14:paraId="002FC782" w14:textId="77777777" w:rsidR="00CD28B8" w:rsidRPr="002F6556" w:rsidRDefault="00CD28B8" w:rsidP="00CD28B8">
      <w:pPr>
        <w:autoSpaceDE w:val="0"/>
        <w:autoSpaceDN w:val="0"/>
        <w:adjustRightInd w:val="0"/>
        <w:spacing w:after="0" w:line="240" w:lineRule="auto"/>
        <w:ind w:left="708"/>
        <w:rPr>
          <w:rFonts w:cstheme="minorHAnsi"/>
          <w:i/>
          <w:iCs/>
        </w:rPr>
      </w:pPr>
      <w:r w:rsidRPr="002F6556">
        <w:rPr>
          <w:rFonts w:cstheme="minorHAnsi"/>
          <w:i/>
          <w:iCs/>
        </w:rPr>
        <w:t>exonerado del pago de aranceles y cualquier impuesto en la importación, incluyendo el</w:t>
      </w:r>
    </w:p>
    <w:p w14:paraId="4405840B" w14:textId="77777777" w:rsidR="00CD28B8" w:rsidRPr="002F6556" w:rsidRDefault="00CD28B8" w:rsidP="00CD28B8">
      <w:pPr>
        <w:ind w:left="708"/>
        <w:rPr>
          <w:rFonts w:cstheme="minorHAnsi"/>
          <w:i/>
          <w:iCs/>
        </w:rPr>
      </w:pPr>
      <w:r w:rsidRPr="002F6556">
        <w:rPr>
          <w:rFonts w:cstheme="minorHAnsi"/>
          <w:i/>
          <w:iCs/>
        </w:rPr>
        <w:t>Impuesto a la Transferencia de Bienes Industrializados y Servicios (ITBIS), que incidan o recaigan sobre la introducción en el país de las maquinarias y equipos, los repuestos de dichas</w:t>
      </w:r>
    </w:p>
    <w:p w14:paraId="22A76E38" w14:textId="77777777" w:rsidR="00CD28B8" w:rsidRPr="002F6556" w:rsidRDefault="00CD28B8" w:rsidP="00CD28B8">
      <w:pPr>
        <w:autoSpaceDE w:val="0"/>
        <w:autoSpaceDN w:val="0"/>
        <w:adjustRightInd w:val="0"/>
        <w:spacing w:after="0" w:line="240" w:lineRule="auto"/>
        <w:ind w:left="708"/>
        <w:rPr>
          <w:rFonts w:cstheme="minorHAnsi"/>
          <w:i/>
          <w:iCs/>
        </w:rPr>
      </w:pPr>
      <w:r w:rsidRPr="002F6556">
        <w:rPr>
          <w:rFonts w:cstheme="minorHAnsi"/>
          <w:i/>
          <w:iCs/>
        </w:rPr>
        <w:t>maquinarias y equipos, materiales y otros bienes de cualquier naturaleza que se requieran para la ejecución de las obras relacionadas al objeto del Fideicomiso.</w:t>
      </w:r>
    </w:p>
    <w:p w14:paraId="0C3C2281" w14:textId="77777777" w:rsidR="00CD28B8" w:rsidRPr="002F6556" w:rsidRDefault="00CD28B8" w:rsidP="00CD28B8">
      <w:pPr>
        <w:autoSpaceDE w:val="0"/>
        <w:autoSpaceDN w:val="0"/>
        <w:adjustRightInd w:val="0"/>
        <w:spacing w:after="0" w:line="240" w:lineRule="auto"/>
        <w:ind w:left="708"/>
        <w:rPr>
          <w:rFonts w:cstheme="minorHAnsi"/>
          <w:b/>
          <w:bCs/>
          <w:i/>
          <w:iCs/>
        </w:rPr>
      </w:pPr>
    </w:p>
    <w:p w14:paraId="7A045F44" w14:textId="77777777" w:rsidR="00CD28B8" w:rsidRPr="002F6556" w:rsidRDefault="00CD28B8" w:rsidP="00CD28B8">
      <w:pPr>
        <w:autoSpaceDE w:val="0"/>
        <w:autoSpaceDN w:val="0"/>
        <w:adjustRightInd w:val="0"/>
        <w:spacing w:after="0" w:line="240" w:lineRule="auto"/>
        <w:ind w:left="708"/>
        <w:rPr>
          <w:rFonts w:cstheme="minorHAnsi"/>
          <w:i/>
          <w:iCs/>
        </w:rPr>
      </w:pPr>
      <w:r w:rsidRPr="002F6556">
        <w:rPr>
          <w:rFonts w:cstheme="minorHAnsi"/>
          <w:b/>
          <w:bCs/>
          <w:i/>
          <w:iCs/>
        </w:rPr>
        <w:t xml:space="preserve">PÁRRAFO I.- </w:t>
      </w:r>
      <w:r w:rsidRPr="002F6556">
        <w:rPr>
          <w:rFonts w:cstheme="minorHAnsi"/>
          <w:i/>
          <w:iCs/>
        </w:rPr>
        <w:t xml:space="preserve">Las exenciones establecidas en esta cláusula están sujetas a las disposiciones del artículo 45 de la Ley No. 253-12, sobre Fortalecimiento de la Capacidad Recaudatoria del Estado para la Sostenibilidad Fiscal y el Desarrollo Sostenible, de fecha nueve (9) del mes de noviembre del año dos mil doce (2012) y del Decreto No. 162-11, de fecha quince (15) del mes de marzo del año dos mil once (2011). Para el otorgamiento de </w:t>
      </w:r>
      <w:proofErr w:type="gramStart"/>
      <w:r w:rsidRPr="002F6556">
        <w:rPr>
          <w:rFonts w:cstheme="minorHAnsi"/>
          <w:i/>
          <w:iCs/>
        </w:rPr>
        <w:t>las mismas</w:t>
      </w:r>
      <w:proofErr w:type="gramEnd"/>
      <w:r w:rsidRPr="002F6556">
        <w:rPr>
          <w:rFonts w:cstheme="minorHAnsi"/>
          <w:i/>
          <w:iCs/>
        </w:rPr>
        <w:t xml:space="preserve"> se deberá cumplir con el procedimiento establecido por el Ministerio de Hacienda de la República Dominicana para esos fines.</w:t>
      </w:r>
    </w:p>
    <w:p w14:paraId="14C79A95" w14:textId="77777777" w:rsidR="00CD28B8" w:rsidRPr="002F6556" w:rsidRDefault="00CD28B8" w:rsidP="00CD28B8">
      <w:pPr>
        <w:autoSpaceDE w:val="0"/>
        <w:autoSpaceDN w:val="0"/>
        <w:adjustRightInd w:val="0"/>
        <w:spacing w:after="0" w:line="240" w:lineRule="auto"/>
        <w:rPr>
          <w:rFonts w:cstheme="minorHAnsi"/>
        </w:rPr>
      </w:pPr>
    </w:p>
    <w:p w14:paraId="488208BD" w14:textId="77777777" w:rsidR="00CD28B8" w:rsidRPr="002F6556" w:rsidRDefault="00CD28B8" w:rsidP="00CD28B8">
      <w:pPr>
        <w:autoSpaceDE w:val="0"/>
        <w:autoSpaceDN w:val="0"/>
        <w:adjustRightInd w:val="0"/>
        <w:spacing w:after="0" w:line="240" w:lineRule="auto"/>
        <w:rPr>
          <w:rFonts w:cstheme="minorHAnsi"/>
        </w:rPr>
      </w:pPr>
    </w:p>
    <w:p w14:paraId="3F9626DB" w14:textId="77777777" w:rsidR="00CD28B8" w:rsidRPr="002F6556" w:rsidRDefault="00CD28B8" w:rsidP="00CD28B8">
      <w:pPr>
        <w:autoSpaceDE w:val="0"/>
        <w:autoSpaceDN w:val="0"/>
        <w:adjustRightInd w:val="0"/>
        <w:spacing w:after="0" w:line="240" w:lineRule="auto"/>
        <w:rPr>
          <w:rFonts w:cstheme="minorHAnsi"/>
          <w:b/>
          <w:bCs/>
        </w:rPr>
      </w:pPr>
      <w:r w:rsidRPr="002F6556">
        <w:rPr>
          <w:rFonts w:cstheme="minorHAnsi"/>
          <w:b/>
          <w:bCs/>
        </w:rPr>
        <w:t>Fideicomiso FITRAM</w:t>
      </w:r>
    </w:p>
    <w:p w14:paraId="7E5D847C" w14:textId="77777777" w:rsidR="00CD28B8" w:rsidRPr="002F6556" w:rsidRDefault="00CD28B8" w:rsidP="00CD28B8">
      <w:pPr>
        <w:autoSpaceDE w:val="0"/>
        <w:autoSpaceDN w:val="0"/>
        <w:adjustRightInd w:val="0"/>
        <w:spacing w:after="0" w:line="240" w:lineRule="auto"/>
        <w:rPr>
          <w:rFonts w:cstheme="minorHAnsi"/>
        </w:rPr>
      </w:pPr>
    </w:p>
    <w:p w14:paraId="64B07C96" w14:textId="77777777" w:rsidR="00CD28B8" w:rsidRPr="002F6556" w:rsidRDefault="00CD28B8" w:rsidP="00CD28B8">
      <w:pPr>
        <w:ind w:left="708"/>
        <w:rPr>
          <w:rFonts w:cstheme="minorHAnsi"/>
        </w:rPr>
      </w:pPr>
      <w:r w:rsidRPr="002F6556">
        <w:rPr>
          <w:rFonts w:cstheme="minorHAnsi"/>
        </w:rPr>
        <w:t>Res. No. 346-21 que aprueba el Contrato de Fideicomiso para el Desarrollo del Sistema del Transporte Masivo de la República Dominicana (FITRAM). Integra su Comité Técnico presidido por el ministro de la Presidencia. G. O. 11048 del 20 de diciembre de 2021</w:t>
      </w:r>
    </w:p>
    <w:p w14:paraId="61A863ED" w14:textId="77777777" w:rsidR="00CD28B8" w:rsidRPr="002F6556" w:rsidRDefault="00CD28B8" w:rsidP="00CD28B8">
      <w:pPr>
        <w:autoSpaceDE w:val="0"/>
        <w:autoSpaceDN w:val="0"/>
        <w:adjustRightInd w:val="0"/>
        <w:spacing w:after="0" w:line="240" w:lineRule="auto"/>
        <w:ind w:left="708"/>
        <w:rPr>
          <w:rFonts w:cstheme="minorHAnsi"/>
          <w:i/>
          <w:iCs/>
        </w:rPr>
      </w:pPr>
      <w:r w:rsidRPr="002F6556">
        <w:rPr>
          <w:rFonts w:cstheme="minorHAnsi"/>
          <w:b/>
          <w:bCs/>
          <w:i/>
          <w:iCs/>
        </w:rPr>
        <w:t xml:space="preserve">41.6.- ARANCELES E IMPUESTOS DE IMPORTACIÓN. </w:t>
      </w:r>
      <w:r w:rsidRPr="002F6556">
        <w:rPr>
          <w:rFonts w:cstheme="minorHAnsi"/>
          <w:i/>
          <w:iCs/>
        </w:rPr>
        <w:t>El FIDEICOMISO estará</w:t>
      </w:r>
    </w:p>
    <w:p w14:paraId="140E6859" w14:textId="77777777" w:rsidR="00CD28B8" w:rsidRPr="002F6556" w:rsidRDefault="00CD28B8" w:rsidP="00CD28B8">
      <w:pPr>
        <w:autoSpaceDE w:val="0"/>
        <w:autoSpaceDN w:val="0"/>
        <w:adjustRightInd w:val="0"/>
        <w:spacing w:after="0" w:line="240" w:lineRule="auto"/>
        <w:ind w:left="708"/>
        <w:rPr>
          <w:rFonts w:cstheme="minorHAnsi"/>
          <w:i/>
          <w:iCs/>
        </w:rPr>
      </w:pPr>
      <w:r w:rsidRPr="002F6556">
        <w:rPr>
          <w:rFonts w:cstheme="minorHAnsi"/>
          <w:i/>
          <w:iCs/>
        </w:rPr>
        <w:t>exonerado del pago de aranceles y cualquier impuesto en la importación, incluyendo el</w:t>
      </w:r>
    </w:p>
    <w:p w14:paraId="07C5CB5E" w14:textId="77777777" w:rsidR="00CD28B8" w:rsidRPr="002F6556" w:rsidRDefault="00CD28B8" w:rsidP="00CD28B8">
      <w:pPr>
        <w:autoSpaceDE w:val="0"/>
        <w:autoSpaceDN w:val="0"/>
        <w:adjustRightInd w:val="0"/>
        <w:spacing w:after="0" w:line="240" w:lineRule="auto"/>
        <w:ind w:left="708"/>
        <w:rPr>
          <w:rFonts w:cstheme="minorHAnsi"/>
          <w:i/>
          <w:iCs/>
        </w:rPr>
      </w:pPr>
      <w:r w:rsidRPr="002F6556">
        <w:rPr>
          <w:rFonts w:cstheme="minorHAnsi"/>
          <w:i/>
          <w:iCs/>
        </w:rPr>
        <w:t>Impuesto a la Transferencia de Bienes Industrializados y Servicios (ITBIS), que incidan o</w:t>
      </w:r>
    </w:p>
    <w:p w14:paraId="4A178EFE" w14:textId="77777777" w:rsidR="00CD28B8" w:rsidRPr="002F6556" w:rsidRDefault="00CD28B8" w:rsidP="00CD28B8">
      <w:pPr>
        <w:autoSpaceDE w:val="0"/>
        <w:autoSpaceDN w:val="0"/>
        <w:adjustRightInd w:val="0"/>
        <w:spacing w:after="0" w:line="240" w:lineRule="auto"/>
        <w:ind w:left="708"/>
        <w:rPr>
          <w:rFonts w:cstheme="minorHAnsi"/>
          <w:i/>
          <w:iCs/>
        </w:rPr>
      </w:pPr>
      <w:r w:rsidRPr="002F6556">
        <w:rPr>
          <w:rFonts w:cstheme="minorHAnsi"/>
          <w:i/>
          <w:iCs/>
        </w:rPr>
        <w:lastRenderedPageBreak/>
        <w:t>recaigan sobre la introducción en el país de las maquinarias y equipos, los repuestos de dichas maquinarias y equipos, materiales y otros bienes de cualquier naturaleza que se requieran para la ejecución de las obras relacionadas al objeto del FIDEICOMISO.</w:t>
      </w:r>
    </w:p>
    <w:p w14:paraId="04D588CF" w14:textId="77777777" w:rsidR="00CD28B8" w:rsidRDefault="00CD28B8" w:rsidP="00CD28B8">
      <w:pPr>
        <w:rPr>
          <w:rFonts w:cstheme="minorHAnsi"/>
          <w:sz w:val="24"/>
          <w:szCs w:val="24"/>
        </w:rPr>
      </w:pPr>
    </w:p>
    <w:p w14:paraId="4DA17D0B" w14:textId="33DEE06C" w:rsidR="002F6556" w:rsidRDefault="002F6556" w:rsidP="002F6556">
      <w:pPr>
        <w:jc w:val="both"/>
      </w:pPr>
      <w:r>
        <w:t>Por tales razones, para fines de la conformación del Anexo 1, incluimos únicamente las importaciones de Turquía que registraron pago de impuestos.  Bajo este criterio presentamos a continuación el resumen del anexo 1, como se puede apreciar Turquía paso de representar 0% de las importaciones en el 2021 y 2022 a importar 7,655 TM en el 2023 y US$6,905 TM en el 2024, representando el 7.7% y 7.5% del total importado.  Llama la atención que los precios del 2023 se aprecian muy distantes del precio promedio del total importado, lo que refleja las inconsistencias de los datos de importación particularmente de origen turcos.  Para el periodo enero – junio 2025 las importaciones totalizaron 3,136 TM equivalentes a un 4.8%</w:t>
      </w:r>
    </w:p>
    <w:p w14:paraId="47BE9518" w14:textId="77777777" w:rsidR="00CD28B8" w:rsidRDefault="00CD28B8" w:rsidP="00CD28B8">
      <w:pPr>
        <w:spacing w:after="0"/>
      </w:pPr>
    </w:p>
    <w:tbl>
      <w:tblPr>
        <w:tblW w:w="9625" w:type="dxa"/>
        <w:tblCellMar>
          <w:left w:w="70" w:type="dxa"/>
          <w:right w:w="70" w:type="dxa"/>
        </w:tblCellMar>
        <w:tblLook w:val="04A0" w:firstRow="1" w:lastRow="0" w:firstColumn="1" w:lastColumn="0" w:noHBand="0" w:noVBand="1"/>
      </w:tblPr>
      <w:tblGrid>
        <w:gridCol w:w="3055"/>
        <w:gridCol w:w="1260"/>
        <w:gridCol w:w="1260"/>
        <w:gridCol w:w="1440"/>
        <w:gridCol w:w="1260"/>
        <w:gridCol w:w="1350"/>
      </w:tblGrid>
      <w:tr w:rsidR="00CD28B8" w:rsidRPr="00CD28B8" w14:paraId="73F260BA" w14:textId="77777777" w:rsidTr="002F6556">
        <w:trPr>
          <w:trHeight w:val="530"/>
        </w:trPr>
        <w:tc>
          <w:tcPr>
            <w:tcW w:w="3055" w:type="dxa"/>
            <w:vMerge w:val="restart"/>
            <w:tcBorders>
              <w:top w:val="single" w:sz="4" w:space="0" w:color="auto"/>
              <w:left w:val="single" w:sz="4" w:space="0" w:color="auto"/>
              <w:bottom w:val="single" w:sz="4" w:space="0" w:color="000000"/>
              <w:right w:val="single" w:sz="4" w:space="0" w:color="000000"/>
            </w:tcBorders>
            <w:shd w:val="clear" w:color="CCCCFF" w:fill="C0C0C0"/>
            <w:vAlign w:val="center"/>
            <w:hideMark/>
          </w:tcPr>
          <w:p w14:paraId="327ABDEF" w14:textId="77777777" w:rsidR="00CD28B8" w:rsidRPr="00CD28B8" w:rsidRDefault="00CD28B8" w:rsidP="00CD28B8">
            <w:pPr>
              <w:spacing w:after="0" w:line="240" w:lineRule="auto"/>
              <w:jc w:val="center"/>
              <w:rPr>
                <w:rFonts w:ascii="Calibri" w:eastAsia="Times New Roman" w:hAnsi="Calibri" w:cs="Calibri"/>
                <w:b/>
                <w:bCs/>
                <w:kern w:val="0"/>
                <w:lang w:eastAsia="es-DO"/>
                <w14:ligatures w14:val="none"/>
              </w:rPr>
            </w:pPr>
            <w:r w:rsidRPr="00CD28B8">
              <w:rPr>
                <w:rFonts w:ascii="Calibri" w:eastAsia="Times New Roman" w:hAnsi="Calibri" w:cs="Calibri"/>
                <w:b/>
                <w:bCs/>
                <w:kern w:val="0"/>
                <w:lang w:eastAsia="es-DO"/>
                <w14:ligatures w14:val="none"/>
              </w:rPr>
              <w:t>País</w:t>
            </w:r>
          </w:p>
        </w:tc>
        <w:tc>
          <w:tcPr>
            <w:tcW w:w="6570" w:type="dxa"/>
            <w:gridSpan w:val="5"/>
            <w:tcBorders>
              <w:top w:val="single" w:sz="4" w:space="0" w:color="auto"/>
              <w:left w:val="nil"/>
              <w:bottom w:val="single" w:sz="4" w:space="0" w:color="000000"/>
              <w:right w:val="single" w:sz="4" w:space="0" w:color="auto"/>
            </w:tcBorders>
            <w:shd w:val="clear" w:color="CCCCFF" w:fill="C0C0C0"/>
            <w:vAlign w:val="center"/>
            <w:hideMark/>
          </w:tcPr>
          <w:p w14:paraId="29D538D7" w14:textId="77777777" w:rsidR="00CD28B8" w:rsidRPr="00CD28B8" w:rsidRDefault="00CD28B8" w:rsidP="00CD28B8">
            <w:pPr>
              <w:spacing w:after="0" w:line="240" w:lineRule="auto"/>
              <w:jc w:val="center"/>
              <w:rPr>
                <w:rFonts w:ascii="Calibri" w:eastAsia="Times New Roman" w:hAnsi="Calibri" w:cs="Calibri"/>
                <w:b/>
                <w:bCs/>
                <w:kern w:val="0"/>
                <w:lang w:eastAsia="es-DO"/>
                <w14:ligatures w14:val="none"/>
              </w:rPr>
            </w:pPr>
            <w:r w:rsidRPr="00CD28B8">
              <w:rPr>
                <w:rFonts w:ascii="Calibri" w:eastAsia="Times New Roman" w:hAnsi="Calibri" w:cs="Calibri"/>
                <w:b/>
                <w:bCs/>
                <w:kern w:val="0"/>
                <w:lang w:eastAsia="es-DO"/>
                <w14:ligatures w14:val="none"/>
              </w:rPr>
              <w:t>Volumen (TM)</w:t>
            </w:r>
          </w:p>
        </w:tc>
      </w:tr>
      <w:tr w:rsidR="00CD28B8" w:rsidRPr="00CD28B8" w14:paraId="4C77ECA4" w14:textId="77777777" w:rsidTr="002F6556">
        <w:trPr>
          <w:trHeight w:val="620"/>
        </w:trPr>
        <w:tc>
          <w:tcPr>
            <w:tcW w:w="3055" w:type="dxa"/>
            <w:vMerge/>
            <w:tcBorders>
              <w:top w:val="single" w:sz="4" w:space="0" w:color="000000"/>
              <w:left w:val="single" w:sz="4" w:space="0" w:color="auto"/>
              <w:bottom w:val="single" w:sz="4" w:space="0" w:color="000000"/>
              <w:right w:val="single" w:sz="4" w:space="0" w:color="000000"/>
            </w:tcBorders>
            <w:vAlign w:val="center"/>
            <w:hideMark/>
          </w:tcPr>
          <w:p w14:paraId="211A8568" w14:textId="77777777" w:rsidR="00CD28B8" w:rsidRPr="00CD28B8" w:rsidRDefault="00CD28B8" w:rsidP="00CD28B8">
            <w:pPr>
              <w:spacing w:after="0" w:line="240" w:lineRule="auto"/>
              <w:rPr>
                <w:rFonts w:ascii="Calibri" w:eastAsia="Times New Roman" w:hAnsi="Calibri" w:cs="Calibri"/>
                <w:b/>
                <w:bCs/>
                <w:kern w:val="0"/>
                <w:lang w:eastAsia="es-DO"/>
                <w14:ligatures w14:val="none"/>
              </w:rPr>
            </w:pPr>
          </w:p>
        </w:tc>
        <w:tc>
          <w:tcPr>
            <w:tcW w:w="1260" w:type="dxa"/>
            <w:tcBorders>
              <w:top w:val="nil"/>
              <w:left w:val="nil"/>
              <w:bottom w:val="single" w:sz="4" w:space="0" w:color="000000"/>
              <w:right w:val="single" w:sz="4" w:space="0" w:color="000000"/>
            </w:tcBorders>
            <w:shd w:val="clear" w:color="99CCFF" w:fill="C0C0C0"/>
            <w:vAlign w:val="center"/>
            <w:hideMark/>
          </w:tcPr>
          <w:p w14:paraId="117CB443" w14:textId="77777777" w:rsidR="00CD28B8" w:rsidRPr="00CD28B8" w:rsidRDefault="00CD28B8" w:rsidP="00CD28B8">
            <w:pPr>
              <w:spacing w:after="0" w:line="240" w:lineRule="auto"/>
              <w:jc w:val="center"/>
              <w:rPr>
                <w:rFonts w:ascii="Calibri" w:eastAsia="Times New Roman" w:hAnsi="Calibri" w:cs="Calibri"/>
                <w:b/>
                <w:bCs/>
                <w:kern w:val="0"/>
                <w:lang w:eastAsia="es-DO"/>
                <w14:ligatures w14:val="none"/>
              </w:rPr>
            </w:pPr>
            <w:r w:rsidRPr="00CD28B8">
              <w:rPr>
                <w:rFonts w:ascii="Calibri" w:eastAsia="Times New Roman" w:hAnsi="Calibri" w:cs="Calibri"/>
                <w:b/>
                <w:bCs/>
                <w:kern w:val="0"/>
                <w:lang w:eastAsia="es-DO"/>
                <w14:ligatures w14:val="none"/>
              </w:rPr>
              <w:t>2022</w:t>
            </w:r>
          </w:p>
        </w:tc>
        <w:tc>
          <w:tcPr>
            <w:tcW w:w="1260" w:type="dxa"/>
            <w:tcBorders>
              <w:top w:val="nil"/>
              <w:left w:val="nil"/>
              <w:bottom w:val="single" w:sz="4" w:space="0" w:color="000000"/>
              <w:right w:val="single" w:sz="4" w:space="0" w:color="000000"/>
            </w:tcBorders>
            <w:shd w:val="clear" w:color="99CCFF" w:fill="C0C0C0"/>
            <w:vAlign w:val="center"/>
            <w:hideMark/>
          </w:tcPr>
          <w:p w14:paraId="781C1AC5" w14:textId="77777777" w:rsidR="00CD28B8" w:rsidRPr="00CD28B8" w:rsidRDefault="00CD28B8" w:rsidP="00CD28B8">
            <w:pPr>
              <w:spacing w:after="0" w:line="240" w:lineRule="auto"/>
              <w:jc w:val="center"/>
              <w:rPr>
                <w:rFonts w:ascii="Calibri" w:eastAsia="Times New Roman" w:hAnsi="Calibri" w:cs="Calibri"/>
                <w:b/>
                <w:bCs/>
                <w:kern w:val="0"/>
                <w:lang w:eastAsia="es-DO"/>
                <w14:ligatures w14:val="none"/>
              </w:rPr>
            </w:pPr>
            <w:r w:rsidRPr="00CD28B8">
              <w:rPr>
                <w:rFonts w:ascii="Calibri" w:eastAsia="Times New Roman" w:hAnsi="Calibri" w:cs="Calibri"/>
                <w:b/>
                <w:bCs/>
                <w:kern w:val="0"/>
                <w:lang w:eastAsia="es-DO"/>
                <w14:ligatures w14:val="none"/>
              </w:rPr>
              <w:t>2023</w:t>
            </w:r>
          </w:p>
        </w:tc>
        <w:tc>
          <w:tcPr>
            <w:tcW w:w="1440" w:type="dxa"/>
            <w:tcBorders>
              <w:top w:val="nil"/>
              <w:left w:val="nil"/>
              <w:bottom w:val="single" w:sz="4" w:space="0" w:color="000000"/>
              <w:right w:val="single" w:sz="4" w:space="0" w:color="000000"/>
            </w:tcBorders>
            <w:shd w:val="clear" w:color="99CCFF" w:fill="C0C0C0"/>
            <w:vAlign w:val="center"/>
            <w:hideMark/>
          </w:tcPr>
          <w:p w14:paraId="693BECC1" w14:textId="77777777" w:rsidR="00CD28B8" w:rsidRPr="00CD28B8" w:rsidRDefault="00CD28B8" w:rsidP="00CD28B8">
            <w:pPr>
              <w:spacing w:after="0" w:line="240" w:lineRule="auto"/>
              <w:jc w:val="center"/>
              <w:rPr>
                <w:rFonts w:ascii="Calibri" w:eastAsia="Times New Roman" w:hAnsi="Calibri" w:cs="Calibri"/>
                <w:b/>
                <w:bCs/>
                <w:kern w:val="0"/>
                <w:lang w:eastAsia="es-DO"/>
                <w14:ligatures w14:val="none"/>
              </w:rPr>
            </w:pPr>
            <w:r w:rsidRPr="00CD28B8">
              <w:rPr>
                <w:rFonts w:ascii="Calibri" w:eastAsia="Times New Roman" w:hAnsi="Calibri" w:cs="Calibri"/>
                <w:b/>
                <w:bCs/>
                <w:kern w:val="0"/>
                <w:lang w:eastAsia="es-DO"/>
                <w14:ligatures w14:val="none"/>
              </w:rPr>
              <w:t>2024</w:t>
            </w:r>
          </w:p>
        </w:tc>
        <w:tc>
          <w:tcPr>
            <w:tcW w:w="1260" w:type="dxa"/>
            <w:tcBorders>
              <w:top w:val="nil"/>
              <w:left w:val="nil"/>
              <w:bottom w:val="single" w:sz="4" w:space="0" w:color="000000"/>
              <w:right w:val="single" w:sz="4" w:space="0" w:color="000000"/>
            </w:tcBorders>
            <w:shd w:val="clear" w:color="99CCFF" w:fill="C0C0C0"/>
            <w:vAlign w:val="center"/>
            <w:hideMark/>
          </w:tcPr>
          <w:p w14:paraId="3AF68540" w14:textId="77777777" w:rsidR="00CD28B8" w:rsidRPr="00CD28B8" w:rsidRDefault="00CD28B8" w:rsidP="00CD28B8">
            <w:pPr>
              <w:spacing w:after="0" w:line="240" w:lineRule="auto"/>
              <w:jc w:val="center"/>
              <w:rPr>
                <w:rFonts w:ascii="Calibri" w:eastAsia="Times New Roman" w:hAnsi="Calibri" w:cs="Calibri"/>
                <w:b/>
                <w:bCs/>
                <w:kern w:val="0"/>
                <w:lang w:eastAsia="es-DO"/>
                <w14:ligatures w14:val="none"/>
              </w:rPr>
            </w:pPr>
            <w:r w:rsidRPr="00CD28B8">
              <w:rPr>
                <w:rFonts w:ascii="Calibri" w:eastAsia="Times New Roman" w:hAnsi="Calibri" w:cs="Calibri"/>
                <w:b/>
                <w:bCs/>
                <w:kern w:val="0"/>
                <w:lang w:eastAsia="es-DO"/>
                <w14:ligatures w14:val="none"/>
              </w:rPr>
              <w:t>ene - jun 2024</w:t>
            </w:r>
          </w:p>
        </w:tc>
        <w:tc>
          <w:tcPr>
            <w:tcW w:w="1350" w:type="dxa"/>
            <w:tcBorders>
              <w:top w:val="nil"/>
              <w:left w:val="nil"/>
              <w:bottom w:val="single" w:sz="4" w:space="0" w:color="000000"/>
              <w:right w:val="single" w:sz="4" w:space="0" w:color="auto"/>
            </w:tcBorders>
            <w:shd w:val="clear" w:color="99CCFF" w:fill="C0C0C0"/>
            <w:vAlign w:val="center"/>
            <w:hideMark/>
          </w:tcPr>
          <w:p w14:paraId="1E62B9A0" w14:textId="77777777" w:rsidR="00CD28B8" w:rsidRPr="00CD28B8" w:rsidRDefault="00CD28B8" w:rsidP="00CD28B8">
            <w:pPr>
              <w:spacing w:after="0" w:line="240" w:lineRule="auto"/>
              <w:jc w:val="center"/>
              <w:rPr>
                <w:rFonts w:ascii="Calibri" w:eastAsia="Times New Roman" w:hAnsi="Calibri" w:cs="Calibri"/>
                <w:b/>
                <w:bCs/>
                <w:kern w:val="0"/>
                <w:lang w:eastAsia="es-DO"/>
                <w14:ligatures w14:val="none"/>
              </w:rPr>
            </w:pPr>
            <w:r w:rsidRPr="00CD28B8">
              <w:rPr>
                <w:rFonts w:ascii="Calibri" w:eastAsia="Times New Roman" w:hAnsi="Calibri" w:cs="Calibri"/>
                <w:b/>
                <w:bCs/>
                <w:kern w:val="0"/>
                <w:lang w:eastAsia="es-DO"/>
                <w14:ligatures w14:val="none"/>
              </w:rPr>
              <w:t>ene - jun 2025</w:t>
            </w:r>
          </w:p>
        </w:tc>
      </w:tr>
      <w:tr w:rsidR="00CD28B8" w:rsidRPr="00CD28B8" w14:paraId="5ACC802F" w14:textId="77777777" w:rsidTr="002F6556">
        <w:trPr>
          <w:trHeight w:val="405"/>
        </w:trPr>
        <w:tc>
          <w:tcPr>
            <w:tcW w:w="3055" w:type="dxa"/>
            <w:tcBorders>
              <w:top w:val="nil"/>
              <w:left w:val="single" w:sz="4" w:space="0" w:color="auto"/>
              <w:bottom w:val="single" w:sz="4" w:space="0" w:color="000000"/>
              <w:right w:val="single" w:sz="4" w:space="0" w:color="000000"/>
            </w:tcBorders>
            <w:vAlign w:val="center"/>
            <w:hideMark/>
          </w:tcPr>
          <w:p w14:paraId="2E029723" w14:textId="77777777" w:rsidR="00CD28B8" w:rsidRPr="00CD28B8" w:rsidRDefault="00CD28B8" w:rsidP="00CD28B8">
            <w:pPr>
              <w:spacing w:after="0" w:line="240" w:lineRule="auto"/>
              <w:jc w:val="center"/>
              <w:rPr>
                <w:rFonts w:ascii="Calibri" w:eastAsia="Times New Roman" w:hAnsi="Calibri" w:cs="Calibri"/>
                <w:b/>
                <w:bCs/>
                <w:kern w:val="0"/>
                <w:lang w:eastAsia="es-DO"/>
                <w14:ligatures w14:val="none"/>
              </w:rPr>
            </w:pPr>
            <w:r w:rsidRPr="00CD28B8">
              <w:rPr>
                <w:rFonts w:ascii="Calibri" w:eastAsia="Times New Roman" w:hAnsi="Calibri" w:cs="Calibri"/>
                <w:b/>
                <w:bCs/>
                <w:kern w:val="0"/>
                <w:lang w:eastAsia="es-DO"/>
                <w14:ligatures w14:val="none"/>
              </w:rPr>
              <w:t>Mundo</w:t>
            </w:r>
          </w:p>
        </w:tc>
        <w:tc>
          <w:tcPr>
            <w:tcW w:w="1260" w:type="dxa"/>
            <w:tcBorders>
              <w:top w:val="nil"/>
              <w:left w:val="nil"/>
              <w:bottom w:val="single" w:sz="4" w:space="0" w:color="000000"/>
              <w:right w:val="single" w:sz="4" w:space="0" w:color="000000"/>
            </w:tcBorders>
            <w:vAlign w:val="center"/>
            <w:hideMark/>
          </w:tcPr>
          <w:p w14:paraId="346CF3C8" w14:textId="77777777" w:rsidR="00CD28B8" w:rsidRPr="00CD28B8" w:rsidRDefault="00CD28B8" w:rsidP="00CD28B8">
            <w:pPr>
              <w:spacing w:after="0" w:line="240" w:lineRule="auto"/>
              <w:jc w:val="right"/>
              <w:rPr>
                <w:rFonts w:ascii="Calibri" w:eastAsia="Times New Roman" w:hAnsi="Calibri" w:cs="Calibri"/>
                <w:b/>
                <w:bCs/>
                <w:kern w:val="0"/>
                <w:lang w:eastAsia="es-DO"/>
                <w14:ligatures w14:val="none"/>
              </w:rPr>
            </w:pPr>
            <w:r w:rsidRPr="00CD28B8">
              <w:rPr>
                <w:rFonts w:ascii="Calibri" w:eastAsia="Times New Roman" w:hAnsi="Calibri" w:cs="Calibri"/>
                <w:b/>
                <w:bCs/>
                <w:kern w:val="0"/>
                <w:lang w:eastAsia="es-DO"/>
                <w14:ligatures w14:val="none"/>
              </w:rPr>
              <w:t xml:space="preserve">97,907 </w:t>
            </w:r>
          </w:p>
        </w:tc>
        <w:tc>
          <w:tcPr>
            <w:tcW w:w="1260" w:type="dxa"/>
            <w:tcBorders>
              <w:top w:val="nil"/>
              <w:left w:val="nil"/>
              <w:bottom w:val="single" w:sz="4" w:space="0" w:color="000000"/>
              <w:right w:val="single" w:sz="4" w:space="0" w:color="000000"/>
            </w:tcBorders>
            <w:vAlign w:val="center"/>
            <w:hideMark/>
          </w:tcPr>
          <w:p w14:paraId="52D0FFDE" w14:textId="77777777" w:rsidR="00CD28B8" w:rsidRPr="00CD28B8" w:rsidRDefault="00CD28B8" w:rsidP="00CD28B8">
            <w:pPr>
              <w:spacing w:after="0" w:line="240" w:lineRule="auto"/>
              <w:jc w:val="right"/>
              <w:rPr>
                <w:rFonts w:ascii="Calibri" w:eastAsia="Times New Roman" w:hAnsi="Calibri" w:cs="Calibri"/>
                <w:b/>
                <w:bCs/>
                <w:kern w:val="0"/>
                <w:lang w:eastAsia="es-DO"/>
                <w14:ligatures w14:val="none"/>
              </w:rPr>
            </w:pPr>
            <w:r w:rsidRPr="00CD28B8">
              <w:rPr>
                <w:rFonts w:ascii="Calibri" w:eastAsia="Times New Roman" w:hAnsi="Calibri" w:cs="Calibri"/>
                <w:b/>
                <w:bCs/>
                <w:kern w:val="0"/>
                <w:lang w:eastAsia="es-DO"/>
                <w14:ligatures w14:val="none"/>
              </w:rPr>
              <w:t xml:space="preserve">99,576 </w:t>
            </w:r>
          </w:p>
        </w:tc>
        <w:tc>
          <w:tcPr>
            <w:tcW w:w="1440" w:type="dxa"/>
            <w:tcBorders>
              <w:top w:val="nil"/>
              <w:left w:val="nil"/>
              <w:bottom w:val="single" w:sz="4" w:space="0" w:color="000000"/>
              <w:right w:val="single" w:sz="4" w:space="0" w:color="000000"/>
            </w:tcBorders>
            <w:vAlign w:val="center"/>
            <w:hideMark/>
          </w:tcPr>
          <w:p w14:paraId="36F4DB0A" w14:textId="77777777" w:rsidR="00CD28B8" w:rsidRPr="00CD28B8" w:rsidRDefault="00CD28B8" w:rsidP="00CD28B8">
            <w:pPr>
              <w:spacing w:after="0" w:line="240" w:lineRule="auto"/>
              <w:jc w:val="right"/>
              <w:rPr>
                <w:rFonts w:ascii="Calibri" w:eastAsia="Times New Roman" w:hAnsi="Calibri" w:cs="Calibri"/>
                <w:b/>
                <w:bCs/>
                <w:kern w:val="0"/>
                <w:lang w:eastAsia="es-DO"/>
                <w14:ligatures w14:val="none"/>
              </w:rPr>
            </w:pPr>
            <w:r w:rsidRPr="00CD28B8">
              <w:rPr>
                <w:rFonts w:ascii="Calibri" w:eastAsia="Times New Roman" w:hAnsi="Calibri" w:cs="Calibri"/>
                <w:b/>
                <w:bCs/>
                <w:kern w:val="0"/>
                <w:lang w:eastAsia="es-DO"/>
                <w14:ligatures w14:val="none"/>
              </w:rPr>
              <w:t xml:space="preserve">91,857 </w:t>
            </w:r>
          </w:p>
        </w:tc>
        <w:tc>
          <w:tcPr>
            <w:tcW w:w="1260" w:type="dxa"/>
            <w:tcBorders>
              <w:top w:val="nil"/>
              <w:left w:val="nil"/>
              <w:bottom w:val="single" w:sz="4" w:space="0" w:color="000000"/>
              <w:right w:val="single" w:sz="4" w:space="0" w:color="000000"/>
            </w:tcBorders>
            <w:vAlign w:val="center"/>
            <w:hideMark/>
          </w:tcPr>
          <w:p w14:paraId="6A83DDFB" w14:textId="77777777" w:rsidR="00CD28B8" w:rsidRPr="00CD28B8" w:rsidRDefault="00CD28B8" w:rsidP="00CD28B8">
            <w:pPr>
              <w:spacing w:after="0" w:line="240" w:lineRule="auto"/>
              <w:jc w:val="right"/>
              <w:rPr>
                <w:rFonts w:ascii="Calibri" w:eastAsia="Times New Roman" w:hAnsi="Calibri" w:cs="Calibri"/>
                <w:b/>
                <w:bCs/>
                <w:kern w:val="0"/>
                <w:lang w:eastAsia="es-DO"/>
                <w14:ligatures w14:val="none"/>
              </w:rPr>
            </w:pPr>
            <w:r w:rsidRPr="00CD28B8">
              <w:rPr>
                <w:rFonts w:ascii="Calibri" w:eastAsia="Times New Roman" w:hAnsi="Calibri" w:cs="Calibri"/>
                <w:b/>
                <w:bCs/>
                <w:kern w:val="0"/>
                <w:lang w:eastAsia="es-DO"/>
                <w14:ligatures w14:val="none"/>
              </w:rPr>
              <w:t xml:space="preserve">48,543 </w:t>
            </w:r>
          </w:p>
        </w:tc>
        <w:tc>
          <w:tcPr>
            <w:tcW w:w="1350" w:type="dxa"/>
            <w:tcBorders>
              <w:top w:val="nil"/>
              <w:left w:val="nil"/>
              <w:bottom w:val="single" w:sz="4" w:space="0" w:color="000000"/>
              <w:right w:val="single" w:sz="4" w:space="0" w:color="auto"/>
            </w:tcBorders>
            <w:vAlign w:val="center"/>
            <w:hideMark/>
          </w:tcPr>
          <w:p w14:paraId="5FE7CDBC" w14:textId="77777777" w:rsidR="00CD28B8" w:rsidRPr="00CD28B8" w:rsidRDefault="00CD28B8" w:rsidP="00CD28B8">
            <w:pPr>
              <w:spacing w:after="0" w:line="240" w:lineRule="auto"/>
              <w:jc w:val="right"/>
              <w:rPr>
                <w:rFonts w:ascii="Calibri" w:eastAsia="Times New Roman" w:hAnsi="Calibri" w:cs="Calibri"/>
                <w:b/>
                <w:bCs/>
                <w:kern w:val="0"/>
                <w:lang w:eastAsia="es-DO"/>
                <w14:ligatures w14:val="none"/>
              </w:rPr>
            </w:pPr>
            <w:r w:rsidRPr="00CD28B8">
              <w:rPr>
                <w:rFonts w:ascii="Calibri" w:eastAsia="Times New Roman" w:hAnsi="Calibri" w:cs="Calibri"/>
                <w:b/>
                <w:bCs/>
                <w:kern w:val="0"/>
                <w:lang w:eastAsia="es-DO"/>
                <w14:ligatures w14:val="none"/>
              </w:rPr>
              <w:t xml:space="preserve">65,343 </w:t>
            </w:r>
          </w:p>
        </w:tc>
      </w:tr>
      <w:tr w:rsidR="00CD28B8" w:rsidRPr="00CD28B8" w14:paraId="282AB5EB" w14:textId="77777777" w:rsidTr="002F6556">
        <w:trPr>
          <w:trHeight w:val="405"/>
        </w:trPr>
        <w:tc>
          <w:tcPr>
            <w:tcW w:w="3055" w:type="dxa"/>
            <w:tcBorders>
              <w:top w:val="nil"/>
              <w:left w:val="single" w:sz="4" w:space="0" w:color="auto"/>
              <w:bottom w:val="single" w:sz="4" w:space="0" w:color="000000"/>
              <w:right w:val="single" w:sz="4" w:space="0" w:color="000000"/>
            </w:tcBorders>
            <w:vAlign w:val="center"/>
            <w:hideMark/>
          </w:tcPr>
          <w:p w14:paraId="2C3800D3" w14:textId="77777777" w:rsidR="00CD28B8" w:rsidRPr="00CD28B8" w:rsidRDefault="00CD28B8" w:rsidP="00CD28B8">
            <w:pPr>
              <w:spacing w:after="0" w:line="240" w:lineRule="auto"/>
              <w:rPr>
                <w:rFonts w:ascii="Calibri" w:eastAsia="Times New Roman" w:hAnsi="Calibri" w:cs="Calibri"/>
                <w:kern w:val="0"/>
                <w:lang w:eastAsia="es-DO"/>
                <w14:ligatures w14:val="none"/>
              </w:rPr>
            </w:pPr>
            <w:r w:rsidRPr="00CD28B8">
              <w:rPr>
                <w:rFonts w:ascii="Calibri" w:eastAsia="Times New Roman" w:hAnsi="Calibri" w:cs="Calibri"/>
                <w:kern w:val="0"/>
                <w:lang w:eastAsia="es-DO"/>
                <w14:ligatures w14:val="none"/>
              </w:rPr>
              <w:t>TURQUIA</w:t>
            </w:r>
          </w:p>
        </w:tc>
        <w:tc>
          <w:tcPr>
            <w:tcW w:w="1260" w:type="dxa"/>
            <w:tcBorders>
              <w:top w:val="nil"/>
              <w:left w:val="single" w:sz="4" w:space="0" w:color="000000"/>
              <w:bottom w:val="single" w:sz="4" w:space="0" w:color="000000"/>
              <w:right w:val="single" w:sz="4" w:space="0" w:color="000000"/>
            </w:tcBorders>
            <w:shd w:val="clear" w:color="FFFFCC" w:fill="FFFFFF"/>
            <w:vAlign w:val="center"/>
            <w:hideMark/>
          </w:tcPr>
          <w:p w14:paraId="7B847232" w14:textId="77777777" w:rsidR="00CD28B8" w:rsidRPr="00CD28B8" w:rsidRDefault="00CD28B8" w:rsidP="00CD28B8">
            <w:pPr>
              <w:spacing w:after="0" w:line="240" w:lineRule="auto"/>
              <w:jc w:val="right"/>
              <w:rPr>
                <w:rFonts w:ascii="Calibri" w:eastAsia="Times New Roman" w:hAnsi="Calibri" w:cs="Calibri"/>
                <w:kern w:val="0"/>
                <w:lang w:eastAsia="es-DO"/>
                <w14:ligatures w14:val="none"/>
              </w:rPr>
            </w:pPr>
            <w:r w:rsidRPr="00CD28B8">
              <w:rPr>
                <w:rFonts w:ascii="Calibri" w:eastAsia="Times New Roman" w:hAnsi="Calibri" w:cs="Calibri"/>
                <w:kern w:val="0"/>
                <w:lang w:eastAsia="es-DO"/>
                <w14:ligatures w14:val="none"/>
              </w:rPr>
              <w:t> </w:t>
            </w:r>
          </w:p>
        </w:tc>
        <w:tc>
          <w:tcPr>
            <w:tcW w:w="1260" w:type="dxa"/>
            <w:tcBorders>
              <w:top w:val="nil"/>
              <w:left w:val="nil"/>
              <w:bottom w:val="single" w:sz="4" w:space="0" w:color="000000"/>
              <w:right w:val="single" w:sz="4" w:space="0" w:color="000000"/>
            </w:tcBorders>
            <w:shd w:val="clear" w:color="FFFFCC" w:fill="FFFFFF"/>
            <w:vAlign w:val="center"/>
            <w:hideMark/>
          </w:tcPr>
          <w:p w14:paraId="231DD650" w14:textId="77777777" w:rsidR="00CD28B8" w:rsidRPr="00CD28B8" w:rsidRDefault="00CD28B8" w:rsidP="00CD28B8">
            <w:pPr>
              <w:spacing w:after="0" w:line="240" w:lineRule="auto"/>
              <w:jc w:val="right"/>
              <w:rPr>
                <w:rFonts w:ascii="Calibri" w:eastAsia="Times New Roman" w:hAnsi="Calibri" w:cs="Calibri"/>
                <w:kern w:val="0"/>
                <w:lang w:eastAsia="es-DO"/>
                <w14:ligatures w14:val="none"/>
              </w:rPr>
            </w:pPr>
            <w:r w:rsidRPr="00CD28B8">
              <w:rPr>
                <w:rFonts w:ascii="Calibri" w:eastAsia="Times New Roman" w:hAnsi="Calibri" w:cs="Calibri"/>
                <w:kern w:val="0"/>
                <w:lang w:eastAsia="es-DO"/>
                <w14:ligatures w14:val="none"/>
              </w:rPr>
              <w:t xml:space="preserve">7,655 </w:t>
            </w:r>
          </w:p>
        </w:tc>
        <w:tc>
          <w:tcPr>
            <w:tcW w:w="1440" w:type="dxa"/>
            <w:tcBorders>
              <w:top w:val="nil"/>
              <w:left w:val="nil"/>
              <w:bottom w:val="single" w:sz="4" w:space="0" w:color="000000"/>
              <w:right w:val="single" w:sz="4" w:space="0" w:color="000000"/>
            </w:tcBorders>
            <w:shd w:val="clear" w:color="FFFFCC" w:fill="FFFFFF"/>
            <w:vAlign w:val="center"/>
            <w:hideMark/>
          </w:tcPr>
          <w:p w14:paraId="4AB36F23" w14:textId="77777777" w:rsidR="00CD28B8" w:rsidRPr="00CD28B8" w:rsidRDefault="00CD28B8" w:rsidP="00CD28B8">
            <w:pPr>
              <w:spacing w:after="0" w:line="240" w:lineRule="auto"/>
              <w:jc w:val="right"/>
              <w:rPr>
                <w:rFonts w:ascii="Calibri" w:eastAsia="Times New Roman" w:hAnsi="Calibri" w:cs="Calibri"/>
                <w:kern w:val="0"/>
                <w:lang w:eastAsia="es-DO"/>
                <w14:ligatures w14:val="none"/>
              </w:rPr>
            </w:pPr>
            <w:r w:rsidRPr="00CD28B8">
              <w:rPr>
                <w:rFonts w:ascii="Calibri" w:eastAsia="Times New Roman" w:hAnsi="Calibri" w:cs="Calibri"/>
                <w:kern w:val="0"/>
                <w:lang w:eastAsia="es-DO"/>
                <w14:ligatures w14:val="none"/>
              </w:rPr>
              <w:t xml:space="preserve">6,905 </w:t>
            </w:r>
          </w:p>
        </w:tc>
        <w:tc>
          <w:tcPr>
            <w:tcW w:w="1260" w:type="dxa"/>
            <w:tcBorders>
              <w:top w:val="nil"/>
              <w:left w:val="nil"/>
              <w:bottom w:val="single" w:sz="4" w:space="0" w:color="000000"/>
              <w:right w:val="single" w:sz="4" w:space="0" w:color="000000"/>
            </w:tcBorders>
            <w:shd w:val="clear" w:color="FFFFCC" w:fill="FFFFFF"/>
            <w:vAlign w:val="center"/>
            <w:hideMark/>
          </w:tcPr>
          <w:p w14:paraId="60BB74C5" w14:textId="77777777" w:rsidR="00CD28B8" w:rsidRPr="00CD28B8" w:rsidRDefault="00CD28B8" w:rsidP="00CD28B8">
            <w:pPr>
              <w:spacing w:after="0" w:line="240" w:lineRule="auto"/>
              <w:jc w:val="right"/>
              <w:rPr>
                <w:rFonts w:ascii="Calibri" w:eastAsia="Times New Roman" w:hAnsi="Calibri" w:cs="Calibri"/>
                <w:kern w:val="0"/>
                <w:lang w:eastAsia="es-DO"/>
                <w14:ligatures w14:val="none"/>
              </w:rPr>
            </w:pPr>
            <w:r w:rsidRPr="00CD28B8">
              <w:rPr>
                <w:rFonts w:ascii="Calibri" w:eastAsia="Times New Roman" w:hAnsi="Calibri" w:cs="Calibri"/>
                <w:kern w:val="0"/>
                <w:lang w:eastAsia="es-DO"/>
                <w14:ligatures w14:val="none"/>
              </w:rPr>
              <w:t xml:space="preserve">2,529 </w:t>
            </w:r>
          </w:p>
        </w:tc>
        <w:tc>
          <w:tcPr>
            <w:tcW w:w="1350" w:type="dxa"/>
            <w:tcBorders>
              <w:top w:val="nil"/>
              <w:left w:val="nil"/>
              <w:bottom w:val="single" w:sz="4" w:space="0" w:color="000000"/>
              <w:right w:val="single" w:sz="4" w:space="0" w:color="auto"/>
            </w:tcBorders>
            <w:shd w:val="clear" w:color="FFFFCC" w:fill="FFFFFF"/>
            <w:vAlign w:val="center"/>
            <w:hideMark/>
          </w:tcPr>
          <w:p w14:paraId="127B885B" w14:textId="77777777" w:rsidR="00CD28B8" w:rsidRPr="00CD28B8" w:rsidRDefault="00CD28B8" w:rsidP="00CD28B8">
            <w:pPr>
              <w:spacing w:after="0" w:line="240" w:lineRule="auto"/>
              <w:jc w:val="right"/>
              <w:rPr>
                <w:rFonts w:ascii="Calibri" w:eastAsia="Times New Roman" w:hAnsi="Calibri" w:cs="Calibri"/>
                <w:kern w:val="0"/>
                <w:lang w:eastAsia="es-DO"/>
                <w14:ligatures w14:val="none"/>
              </w:rPr>
            </w:pPr>
            <w:r w:rsidRPr="00CD28B8">
              <w:rPr>
                <w:rFonts w:ascii="Calibri" w:eastAsia="Times New Roman" w:hAnsi="Calibri" w:cs="Calibri"/>
                <w:kern w:val="0"/>
                <w:lang w:eastAsia="es-DO"/>
                <w14:ligatures w14:val="none"/>
              </w:rPr>
              <w:t xml:space="preserve">3,136 </w:t>
            </w:r>
          </w:p>
        </w:tc>
      </w:tr>
      <w:tr w:rsidR="00CD28B8" w:rsidRPr="00CD28B8" w14:paraId="2495F5D6" w14:textId="77777777" w:rsidTr="002F6556">
        <w:trPr>
          <w:trHeight w:val="405"/>
        </w:trPr>
        <w:tc>
          <w:tcPr>
            <w:tcW w:w="3055" w:type="dxa"/>
            <w:tcBorders>
              <w:top w:val="nil"/>
              <w:left w:val="single" w:sz="4" w:space="0" w:color="auto"/>
              <w:bottom w:val="single" w:sz="4" w:space="0" w:color="auto"/>
              <w:right w:val="single" w:sz="4" w:space="0" w:color="auto"/>
            </w:tcBorders>
            <w:vAlign w:val="center"/>
            <w:hideMark/>
          </w:tcPr>
          <w:p w14:paraId="39A4BA04" w14:textId="77777777" w:rsidR="00CD28B8" w:rsidRPr="00CD28B8" w:rsidRDefault="00CD28B8" w:rsidP="00CD28B8">
            <w:pPr>
              <w:spacing w:after="0" w:line="240" w:lineRule="auto"/>
              <w:rPr>
                <w:rFonts w:ascii="Calibri" w:eastAsia="Times New Roman" w:hAnsi="Calibri" w:cs="Calibri"/>
                <w:kern w:val="0"/>
                <w:lang w:eastAsia="es-DO"/>
                <w14:ligatures w14:val="none"/>
              </w:rPr>
            </w:pPr>
            <w:r w:rsidRPr="00CD28B8">
              <w:rPr>
                <w:rFonts w:ascii="Calibri" w:eastAsia="Times New Roman" w:hAnsi="Calibri" w:cs="Calibri"/>
                <w:kern w:val="0"/>
                <w:lang w:eastAsia="es-DO"/>
                <w14:ligatures w14:val="none"/>
              </w:rPr>
              <w:t xml:space="preserve">% del Total </w:t>
            </w:r>
          </w:p>
        </w:tc>
        <w:tc>
          <w:tcPr>
            <w:tcW w:w="1260" w:type="dxa"/>
            <w:tcBorders>
              <w:top w:val="nil"/>
              <w:left w:val="nil"/>
              <w:bottom w:val="single" w:sz="4" w:space="0" w:color="auto"/>
              <w:right w:val="single" w:sz="4" w:space="0" w:color="auto"/>
            </w:tcBorders>
            <w:vAlign w:val="center"/>
            <w:hideMark/>
          </w:tcPr>
          <w:p w14:paraId="7F80F4F4" w14:textId="77777777" w:rsidR="00CD28B8" w:rsidRPr="00CD28B8" w:rsidRDefault="00CD28B8" w:rsidP="00CD28B8">
            <w:pPr>
              <w:spacing w:after="0" w:line="240" w:lineRule="auto"/>
              <w:jc w:val="right"/>
              <w:rPr>
                <w:rFonts w:ascii="Calibri" w:eastAsia="Times New Roman" w:hAnsi="Calibri" w:cs="Calibri"/>
                <w:kern w:val="0"/>
                <w:lang w:eastAsia="es-DO"/>
                <w14:ligatures w14:val="none"/>
              </w:rPr>
            </w:pPr>
            <w:r w:rsidRPr="00CD28B8">
              <w:rPr>
                <w:rFonts w:ascii="Calibri" w:eastAsia="Times New Roman" w:hAnsi="Calibri" w:cs="Calibri"/>
                <w:kern w:val="0"/>
                <w:lang w:eastAsia="es-DO"/>
                <w14:ligatures w14:val="none"/>
              </w:rPr>
              <w:t>0.0%</w:t>
            </w:r>
          </w:p>
        </w:tc>
        <w:tc>
          <w:tcPr>
            <w:tcW w:w="1260" w:type="dxa"/>
            <w:tcBorders>
              <w:top w:val="nil"/>
              <w:left w:val="nil"/>
              <w:bottom w:val="single" w:sz="4" w:space="0" w:color="auto"/>
              <w:right w:val="single" w:sz="4" w:space="0" w:color="auto"/>
            </w:tcBorders>
            <w:vAlign w:val="center"/>
            <w:hideMark/>
          </w:tcPr>
          <w:p w14:paraId="11423C1D" w14:textId="77777777" w:rsidR="00CD28B8" w:rsidRPr="00CD28B8" w:rsidRDefault="00CD28B8" w:rsidP="00CD28B8">
            <w:pPr>
              <w:spacing w:after="0" w:line="240" w:lineRule="auto"/>
              <w:jc w:val="right"/>
              <w:rPr>
                <w:rFonts w:ascii="Calibri" w:eastAsia="Times New Roman" w:hAnsi="Calibri" w:cs="Calibri"/>
                <w:kern w:val="0"/>
                <w:lang w:eastAsia="es-DO"/>
                <w14:ligatures w14:val="none"/>
              </w:rPr>
            </w:pPr>
            <w:r w:rsidRPr="00CD28B8">
              <w:rPr>
                <w:rFonts w:ascii="Calibri" w:eastAsia="Times New Roman" w:hAnsi="Calibri" w:cs="Calibri"/>
                <w:kern w:val="0"/>
                <w:lang w:eastAsia="es-DO"/>
                <w14:ligatures w14:val="none"/>
              </w:rPr>
              <w:t>7.7%</w:t>
            </w:r>
          </w:p>
        </w:tc>
        <w:tc>
          <w:tcPr>
            <w:tcW w:w="1440" w:type="dxa"/>
            <w:tcBorders>
              <w:top w:val="nil"/>
              <w:left w:val="nil"/>
              <w:bottom w:val="single" w:sz="4" w:space="0" w:color="auto"/>
              <w:right w:val="single" w:sz="4" w:space="0" w:color="auto"/>
            </w:tcBorders>
            <w:vAlign w:val="center"/>
            <w:hideMark/>
          </w:tcPr>
          <w:p w14:paraId="3508E799" w14:textId="77777777" w:rsidR="00CD28B8" w:rsidRPr="00CD28B8" w:rsidRDefault="00CD28B8" w:rsidP="00CD28B8">
            <w:pPr>
              <w:spacing w:after="0" w:line="240" w:lineRule="auto"/>
              <w:jc w:val="right"/>
              <w:rPr>
                <w:rFonts w:ascii="Calibri" w:eastAsia="Times New Roman" w:hAnsi="Calibri" w:cs="Calibri"/>
                <w:kern w:val="0"/>
                <w:lang w:eastAsia="es-DO"/>
                <w14:ligatures w14:val="none"/>
              </w:rPr>
            </w:pPr>
            <w:r w:rsidRPr="00CD28B8">
              <w:rPr>
                <w:rFonts w:ascii="Calibri" w:eastAsia="Times New Roman" w:hAnsi="Calibri" w:cs="Calibri"/>
                <w:kern w:val="0"/>
                <w:lang w:eastAsia="es-DO"/>
                <w14:ligatures w14:val="none"/>
              </w:rPr>
              <w:t>7.5%</w:t>
            </w:r>
          </w:p>
        </w:tc>
        <w:tc>
          <w:tcPr>
            <w:tcW w:w="1260" w:type="dxa"/>
            <w:tcBorders>
              <w:top w:val="nil"/>
              <w:left w:val="nil"/>
              <w:bottom w:val="single" w:sz="4" w:space="0" w:color="auto"/>
              <w:right w:val="single" w:sz="4" w:space="0" w:color="auto"/>
            </w:tcBorders>
            <w:vAlign w:val="center"/>
            <w:hideMark/>
          </w:tcPr>
          <w:p w14:paraId="31A9A1DD" w14:textId="77777777" w:rsidR="00CD28B8" w:rsidRPr="00CD28B8" w:rsidRDefault="00CD28B8" w:rsidP="00CD28B8">
            <w:pPr>
              <w:spacing w:after="0" w:line="240" w:lineRule="auto"/>
              <w:jc w:val="right"/>
              <w:rPr>
                <w:rFonts w:ascii="Calibri" w:eastAsia="Times New Roman" w:hAnsi="Calibri" w:cs="Calibri"/>
                <w:kern w:val="0"/>
                <w:lang w:eastAsia="es-DO"/>
                <w14:ligatures w14:val="none"/>
              </w:rPr>
            </w:pPr>
            <w:r w:rsidRPr="00CD28B8">
              <w:rPr>
                <w:rFonts w:ascii="Calibri" w:eastAsia="Times New Roman" w:hAnsi="Calibri" w:cs="Calibri"/>
                <w:kern w:val="0"/>
                <w:lang w:eastAsia="es-DO"/>
                <w14:ligatures w14:val="none"/>
              </w:rPr>
              <w:t>5.2%</w:t>
            </w:r>
          </w:p>
        </w:tc>
        <w:tc>
          <w:tcPr>
            <w:tcW w:w="1350" w:type="dxa"/>
            <w:tcBorders>
              <w:top w:val="nil"/>
              <w:left w:val="nil"/>
              <w:bottom w:val="single" w:sz="4" w:space="0" w:color="auto"/>
              <w:right w:val="single" w:sz="4" w:space="0" w:color="auto"/>
            </w:tcBorders>
            <w:vAlign w:val="center"/>
            <w:hideMark/>
          </w:tcPr>
          <w:p w14:paraId="53B3677D" w14:textId="77777777" w:rsidR="00CD28B8" w:rsidRPr="00CD28B8" w:rsidRDefault="00CD28B8" w:rsidP="00CD28B8">
            <w:pPr>
              <w:spacing w:after="0" w:line="240" w:lineRule="auto"/>
              <w:jc w:val="right"/>
              <w:rPr>
                <w:rFonts w:ascii="Calibri" w:eastAsia="Times New Roman" w:hAnsi="Calibri" w:cs="Calibri"/>
                <w:kern w:val="0"/>
                <w:lang w:eastAsia="es-DO"/>
                <w14:ligatures w14:val="none"/>
              </w:rPr>
            </w:pPr>
            <w:r w:rsidRPr="00CD28B8">
              <w:rPr>
                <w:rFonts w:ascii="Calibri" w:eastAsia="Times New Roman" w:hAnsi="Calibri" w:cs="Calibri"/>
                <w:kern w:val="0"/>
                <w:lang w:eastAsia="es-DO"/>
                <w14:ligatures w14:val="none"/>
              </w:rPr>
              <w:t>4.8%</w:t>
            </w:r>
          </w:p>
        </w:tc>
      </w:tr>
      <w:tr w:rsidR="00CD28B8" w:rsidRPr="00CD28B8" w14:paraId="1C66353D" w14:textId="77777777" w:rsidTr="002F6556">
        <w:trPr>
          <w:trHeight w:val="310"/>
        </w:trPr>
        <w:tc>
          <w:tcPr>
            <w:tcW w:w="3055" w:type="dxa"/>
            <w:tcBorders>
              <w:top w:val="nil"/>
              <w:left w:val="single" w:sz="4" w:space="0" w:color="auto"/>
              <w:bottom w:val="single" w:sz="4" w:space="0" w:color="auto"/>
              <w:right w:val="single" w:sz="4" w:space="0" w:color="auto"/>
            </w:tcBorders>
            <w:vAlign w:val="center"/>
            <w:hideMark/>
          </w:tcPr>
          <w:p w14:paraId="5D4E8052" w14:textId="77777777" w:rsidR="00CD28B8" w:rsidRPr="00CD28B8" w:rsidRDefault="00CD28B8" w:rsidP="00CD28B8">
            <w:pPr>
              <w:spacing w:after="0" w:line="240" w:lineRule="auto"/>
              <w:rPr>
                <w:rFonts w:ascii="Calibri" w:eastAsia="Times New Roman" w:hAnsi="Calibri" w:cs="Calibri"/>
                <w:b/>
                <w:bCs/>
                <w:kern w:val="0"/>
                <w:lang w:eastAsia="es-DO"/>
                <w14:ligatures w14:val="none"/>
              </w:rPr>
            </w:pPr>
            <w:r w:rsidRPr="00CD28B8">
              <w:rPr>
                <w:rFonts w:ascii="Calibri" w:eastAsia="Times New Roman" w:hAnsi="Calibri" w:cs="Calibri"/>
                <w:b/>
                <w:bCs/>
                <w:kern w:val="0"/>
                <w:lang w:eastAsia="es-DO"/>
                <w14:ligatures w14:val="none"/>
              </w:rPr>
              <w:t xml:space="preserve">Precio Promedio - </w:t>
            </w:r>
            <w:proofErr w:type="spellStart"/>
            <w:r w:rsidRPr="00CD28B8">
              <w:rPr>
                <w:rFonts w:ascii="Calibri" w:eastAsia="Times New Roman" w:hAnsi="Calibri" w:cs="Calibri"/>
                <w:b/>
                <w:bCs/>
                <w:kern w:val="0"/>
                <w:lang w:eastAsia="es-DO"/>
                <w14:ligatures w14:val="none"/>
              </w:rPr>
              <w:t>Turquia</w:t>
            </w:r>
            <w:proofErr w:type="spellEnd"/>
          </w:p>
        </w:tc>
        <w:tc>
          <w:tcPr>
            <w:tcW w:w="1260" w:type="dxa"/>
            <w:tcBorders>
              <w:top w:val="nil"/>
              <w:left w:val="nil"/>
              <w:bottom w:val="single" w:sz="4" w:space="0" w:color="auto"/>
              <w:right w:val="single" w:sz="4" w:space="0" w:color="auto"/>
            </w:tcBorders>
            <w:vAlign w:val="center"/>
            <w:hideMark/>
          </w:tcPr>
          <w:p w14:paraId="279DB0AB" w14:textId="77777777" w:rsidR="00CD28B8" w:rsidRPr="00CD28B8" w:rsidRDefault="00CD28B8" w:rsidP="00CD28B8">
            <w:pPr>
              <w:spacing w:after="0" w:line="240" w:lineRule="auto"/>
              <w:jc w:val="right"/>
              <w:rPr>
                <w:rFonts w:ascii="Calibri" w:eastAsia="Times New Roman" w:hAnsi="Calibri" w:cs="Calibri"/>
                <w:kern w:val="0"/>
                <w:lang w:eastAsia="es-DO"/>
                <w14:ligatures w14:val="none"/>
              </w:rPr>
            </w:pPr>
            <w:r w:rsidRPr="00CD28B8">
              <w:rPr>
                <w:rFonts w:ascii="Calibri" w:eastAsia="Times New Roman" w:hAnsi="Calibri" w:cs="Calibri"/>
                <w:kern w:val="0"/>
                <w:lang w:eastAsia="es-DO"/>
                <w14:ligatures w14:val="none"/>
              </w:rPr>
              <w:t> </w:t>
            </w:r>
          </w:p>
        </w:tc>
        <w:tc>
          <w:tcPr>
            <w:tcW w:w="1260" w:type="dxa"/>
            <w:tcBorders>
              <w:top w:val="nil"/>
              <w:left w:val="nil"/>
              <w:bottom w:val="single" w:sz="4" w:space="0" w:color="auto"/>
              <w:right w:val="single" w:sz="4" w:space="0" w:color="auto"/>
            </w:tcBorders>
            <w:vAlign w:val="center"/>
            <w:hideMark/>
          </w:tcPr>
          <w:p w14:paraId="678F52A8" w14:textId="77777777" w:rsidR="00CD28B8" w:rsidRPr="00CD28B8" w:rsidRDefault="00CD28B8" w:rsidP="00CD28B8">
            <w:pPr>
              <w:spacing w:after="0" w:line="240" w:lineRule="auto"/>
              <w:jc w:val="right"/>
              <w:rPr>
                <w:rFonts w:ascii="Calibri" w:eastAsia="Times New Roman" w:hAnsi="Calibri" w:cs="Calibri"/>
                <w:kern w:val="0"/>
                <w:lang w:eastAsia="es-DO"/>
                <w14:ligatures w14:val="none"/>
              </w:rPr>
            </w:pPr>
            <w:r w:rsidRPr="00CD28B8">
              <w:rPr>
                <w:rFonts w:ascii="Calibri" w:eastAsia="Times New Roman" w:hAnsi="Calibri" w:cs="Calibri"/>
                <w:kern w:val="0"/>
                <w:lang w:eastAsia="es-DO"/>
                <w14:ligatures w14:val="none"/>
              </w:rPr>
              <w:t xml:space="preserve">999.75 </w:t>
            </w:r>
          </w:p>
        </w:tc>
        <w:tc>
          <w:tcPr>
            <w:tcW w:w="1440" w:type="dxa"/>
            <w:tcBorders>
              <w:top w:val="nil"/>
              <w:left w:val="nil"/>
              <w:bottom w:val="single" w:sz="4" w:space="0" w:color="auto"/>
              <w:right w:val="single" w:sz="4" w:space="0" w:color="auto"/>
            </w:tcBorders>
            <w:vAlign w:val="center"/>
            <w:hideMark/>
          </w:tcPr>
          <w:p w14:paraId="0062DC43" w14:textId="77777777" w:rsidR="00CD28B8" w:rsidRPr="00CD28B8" w:rsidRDefault="00CD28B8" w:rsidP="00CD28B8">
            <w:pPr>
              <w:spacing w:after="0" w:line="240" w:lineRule="auto"/>
              <w:jc w:val="right"/>
              <w:rPr>
                <w:rFonts w:ascii="Calibri" w:eastAsia="Times New Roman" w:hAnsi="Calibri" w:cs="Calibri"/>
                <w:kern w:val="0"/>
                <w:lang w:eastAsia="es-DO"/>
                <w14:ligatures w14:val="none"/>
              </w:rPr>
            </w:pPr>
            <w:r w:rsidRPr="00CD28B8">
              <w:rPr>
                <w:rFonts w:ascii="Calibri" w:eastAsia="Times New Roman" w:hAnsi="Calibri" w:cs="Calibri"/>
                <w:kern w:val="0"/>
                <w:lang w:eastAsia="es-DO"/>
                <w14:ligatures w14:val="none"/>
              </w:rPr>
              <w:t xml:space="preserve">647.24 </w:t>
            </w:r>
          </w:p>
        </w:tc>
        <w:tc>
          <w:tcPr>
            <w:tcW w:w="1260" w:type="dxa"/>
            <w:tcBorders>
              <w:top w:val="nil"/>
              <w:left w:val="nil"/>
              <w:bottom w:val="single" w:sz="4" w:space="0" w:color="auto"/>
              <w:right w:val="single" w:sz="4" w:space="0" w:color="auto"/>
            </w:tcBorders>
            <w:vAlign w:val="center"/>
            <w:hideMark/>
          </w:tcPr>
          <w:p w14:paraId="6BA8B906" w14:textId="77777777" w:rsidR="00CD28B8" w:rsidRPr="00CD28B8" w:rsidRDefault="00CD28B8" w:rsidP="00CD28B8">
            <w:pPr>
              <w:spacing w:after="0" w:line="240" w:lineRule="auto"/>
              <w:jc w:val="right"/>
              <w:rPr>
                <w:rFonts w:ascii="Calibri" w:eastAsia="Times New Roman" w:hAnsi="Calibri" w:cs="Calibri"/>
                <w:kern w:val="0"/>
                <w:lang w:eastAsia="es-DO"/>
                <w14:ligatures w14:val="none"/>
              </w:rPr>
            </w:pPr>
            <w:r w:rsidRPr="00CD28B8">
              <w:rPr>
                <w:rFonts w:ascii="Calibri" w:eastAsia="Times New Roman" w:hAnsi="Calibri" w:cs="Calibri"/>
                <w:kern w:val="0"/>
                <w:lang w:eastAsia="es-DO"/>
                <w14:ligatures w14:val="none"/>
              </w:rPr>
              <w:t xml:space="preserve">634.06 </w:t>
            </w:r>
          </w:p>
        </w:tc>
        <w:tc>
          <w:tcPr>
            <w:tcW w:w="1350" w:type="dxa"/>
            <w:tcBorders>
              <w:top w:val="nil"/>
              <w:left w:val="nil"/>
              <w:bottom w:val="single" w:sz="4" w:space="0" w:color="auto"/>
              <w:right w:val="single" w:sz="4" w:space="0" w:color="auto"/>
            </w:tcBorders>
            <w:vAlign w:val="center"/>
            <w:hideMark/>
          </w:tcPr>
          <w:p w14:paraId="42CF0E59" w14:textId="77777777" w:rsidR="00CD28B8" w:rsidRPr="00CD28B8" w:rsidRDefault="00CD28B8" w:rsidP="00CD28B8">
            <w:pPr>
              <w:spacing w:after="0" w:line="240" w:lineRule="auto"/>
              <w:jc w:val="right"/>
              <w:rPr>
                <w:rFonts w:ascii="Calibri" w:eastAsia="Times New Roman" w:hAnsi="Calibri" w:cs="Calibri"/>
                <w:kern w:val="0"/>
                <w:lang w:eastAsia="es-DO"/>
                <w14:ligatures w14:val="none"/>
              </w:rPr>
            </w:pPr>
            <w:r w:rsidRPr="00CD28B8">
              <w:rPr>
                <w:rFonts w:ascii="Calibri" w:eastAsia="Times New Roman" w:hAnsi="Calibri" w:cs="Calibri"/>
                <w:kern w:val="0"/>
                <w:lang w:eastAsia="es-DO"/>
                <w14:ligatures w14:val="none"/>
              </w:rPr>
              <w:t xml:space="preserve">659.00 </w:t>
            </w:r>
          </w:p>
        </w:tc>
      </w:tr>
      <w:tr w:rsidR="00CD28B8" w:rsidRPr="00CD28B8" w14:paraId="457716CF" w14:textId="77777777" w:rsidTr="002F6556">
        <w:trPr>
          <w:trHeight w:val="310"/>
        </w:trPr>
        <w:tc>
          <w:tcPr>
            <w:tcW w:w="3055" w:type="dxa"/>
            <w:tcBorders>
              <w:top w:val="nil"/>
              <w:left w:val="single" w:sz="4" w:space="0" w:color="auto"/>
              <w:bottom w:val="single" w:sz="4" w:space="0" w:color="auto"/>
              <w:right w:val="single" w:sz="4" w:space="0" w:color="auto"/>
            </w:tcBorders>
            <w:vAlign w:val="center"/>
            <w:hideMark/>
          </w:tcPr>
          <w:p w14:paraId="009AA623" w14:textId="77777777" w:rsidR="00CD28B8" w:rsidRPr="00CD28B8" w:rsidRDefault="00CD28B8" w:rsidP="00CD28B8">
            <w:pPr>
              <w:spacing w:after="0" w:line="240" w:lineRule="auto"/>
              <w:rPr>
                <w:rFonts w:ascii="Calibri" w:eastAsia="Times New Roman" w:hAnsi="Calibri" w:cs="Calibri"/>
                <w:b/>
                <w:bCs/>
                <w:kern w:val="0"/>
                <w:lang w:eastAsia="es-DO"/>
                <w14:ligatures w14:val="none"/>
              </w:rPr>
            </w:pPr>
            <w:proofErr w:type="gramStart"/>
            <w:r w:rsidRPr="00CD28B8">
              <w:rPr>
                <w:rFonts w:ascii="Calibri" w:eastAsia="Times New Roman" w:hAnsi="Calibri" w:cs="Calibri"/>
                <w:b/>
                <w:bCs/>
                <w:kern w:val="0"/>
                <w:lang w:eastAsia="es-DO"/>
                <w14:ligatures w14:val="none"/>
              </w:rPr>
              <w:t xml:space="preserve">Precio  </w:t>
            </w:r>
            <w:proofErr w:type="spellStart"/>
            <w:r w:rsidRPr="00CD28B8">
              <w:rPr>
                <w:rFonts w:ascii="Calibri" w:eastAsia="Times New Roman" w:hAnsi="Calibri" w:cs="Calibri"/>
                <w:b/>
                <w:bCs/>
                <w:kern w:val="0"/>
                <w:lang w:eastAsia="es-DO"/>
                <w14:ligatures w14:val="none"/>
              </w:rPr>
              <w:t>Promedo</w:t>
            </w:r>
            <w:proofErr w:type="spellEnd"/>
            <w:proofErr w:type="gramEnd"/>
            <w:r w:rsidRPr="00CD28B8">
              <w:rPr>
                <w:rFonts w:ascii="Calibri" w:eastAsia="Times New Roman" w:hAnsi="Calibri" w:cs="Calibri"/>
                <w:b/>
                <w:bCs/>
                <w:kern w:val="0"/>
                <w:lang w:eastAsia="es-DO"/>
                <w14:ligatures w14:val="none"/>
              </w:rPr>
              <w:t xml:space="preserve"> Total Imp</w:t>
            </w:r>
          </w:p>
        </w:tc>
        <w:tc>
          <w:tcPr>
            <w:tcW w:w="1260" w:type="dxa"/>
            <w:tcBorders>
              <w:top w:val="nil"/>
              <w:left w:val="nil"/>
              <w:bottom w:val="single" w:sz="4" w:space="0" w:color="auto"/>
              <w:right w:val="single" w:sz="4" w:space="0" w:color="auto"/>
            </w:tcBorders>
            <w:vAlign w:val="center"/>
            <w:hideMark/>
          </w:tcPr>
          <w:p w14:paraId="47E42CA2" w14:textId="77777777" w:rsidR="00CD28B8" w:rsidRPr="00CD28B8" w:rsidRDefault="00CD28B8" w:rsidP="00CD28B8">
            <w:pPr>
              <w:spacing w:after="0" w:line="240" w:lineRule="auto"/>
              <w:jc w:val="right"/>
              <w:rPr>
                <w:rFonts w:ascii="Calibri" w:eastAsia="Times New Roman" w:hAnsi="Calibri" w:cs="Calibri"/>
                <w:kern w:val="0"/>
                <w:lang w:eastAsia="es-DO"/>
                <w14:ligatures w14:val="none"/>
              </w:rPr>
            </w:pPr>
            <w:r w:rsidRPr="00CD28B8">
              <w:rPr>
                <w:rFonts w:ascii="Calibri" w:eastAsia="Times New Roman" w:hAnsi="Calibri" w:cs="Calibri"/>
                <w:kern w:val="0"/>
                <w:lang w:eastAsia="es-DO"/>
                <w14:ligatures w14:val="none"/>
              </w:rPr>
              <w:t xml:space="preserve">893.91 </w:t>
            </w:r>
          </w:p>
        </w:tc>
        <w:tc>
          <w:tcPr>
            <w:tcW w:w="1260" w:type="dxa"/>
            <w:tcBorders>
              <w:top w:val="nil"/>
              <w:left w:val="nil"/>
              <w:bottom w:val="single" w:sz="4" w:space="0" w:color="auto"/>
              <w:right w:val="single" w:sz="4" w:space="0" w:color="auto"/>
            </w:tcBorders>
            <w:vAlign w:val="center"/>
            <w:hideMark/>
          </w:tcPr>
          <w:p w14:paraId="17912B3B" w14:textId="77777777" w:rsidR="00CD28B8" w:rsidRPr="00CD28B8" w:rsidRDefault="00CD28B8" w:rsidP="00CD28B8">
            <w:pPr>
              <w:spacing w:after="0" w:line="240" w:lineRule="auto"/>
              <w:jc w:val="right"/>
              <w:rPr>
                <w:rFonts w:ascii="Calibri" w:eastAsia="Times New Roman" w:hAnsi="Calibri" w:cs="Calibri"/>
                <w:kern w:val="0"/>
                <w:lang w:eastAsia="es-DO"/>
                <w14:ligatures w14:val="none"/>
              </w:rPr>
            </w:pPr>
            <w:r w:rsidRPr="00CD28B8">
              <w:rPr>
                <w:rFonts w:ascii="Calibri" w:eastAsia="Times New Roman" w:hAnsi="Calibri" w:cs="Calibri"/>
                <w:kern w:val="0"/>
                <w:lang w:eastAsia="es-DO"/>
                <w14:ligatures w14:val="none"/>
              </w:rPr>
              <w:t xml:space="preserve">804.11 </w:t>
            </w:r>
          </w:p>
        </w:tc>
        <w:tc>
          <w:tcPr>
            <w:tcW w:w="1440" w:type="dxa"/>
            <w:tcBorders>
              <w:top w:val="nil"/>
              <w:left w:val="nil"/>
              <w:bottom w:val="single" w:sz="4" w:space="0" w:color="auto"/>
              <w:right w:val="single" w:sz="4" w:space="0" w:color="auto"/>
            </w:tcBorders>
            <w:vAlign w:val="center"/>
            <w:hideMark/>
          </w:tcPr>
          <w:p w14:paraId="37343659" w14:textId="77777777" w:rsidR="00CD28B8" w:rsidRPr="00CD28B8" w:rsidRDefault="00CD28B8" w:rsidP="00CD28B8">
            <w:pPr>
              <w:spacing w:after="0" w:line="240" w:lineRule="auto"/>
              <w:jc w:val="right"/>
              <w:rPr>
                <w:rFonts w:ascii="Calibri" w:eastAsia="Times New Roman" w:hAnsi="Calibri" w:cs="Calibri"/>
                <w:kern w:val="0"/>
                <w:lang w:eastAsia="es-DO"/>
                <w14:ligatures w14:val="none"/>
              </w:rPr>
            </w:pPr>
            <w:r w:rsidRPr="00CD28B8">
              <w:rPr>
                <w:rFonts w:ascii="Calibri" w:eastAsia="Times New Roman" w:hAnsi="Calibri" w:cs="Calibri"/>
                <w:kern w:val="0"/>
                <w:lang w:eastAsia="es-DO"/>
                <w14:ligatures w14:val="none"/>
              </w:rPr>
              <w:t xml:space="preserve">685.86 </w:t>
            </w:r>
          </w:p>
        </w:tc>
        <w:tc>
          <w:tcPr>
            <w:tcW w:w="1260" w:type="dxa"/>
            <w:tcBorders>
              <w:top w:val="nil"/>
              <w:left w:val="nil"/>
              <w:bottom w:val="single" w:sz="4" w:space="0" w:color="auto"/>
              <w:right w:val="single" w:sz="4" w:space="0" w:color="auto"/>
            </w:tcBorders>
            <w:vAlign w:val="center"/>
            <w:hideMark/>
          </w:tcPr>
          <w:p w14:paraId="6915CBD9" w14:textId="77777777" w:rsidR="00CD28B8" w:rsidRPr="00CD28B8" w:rsidRDefault="00CD28B8" w:rsidP="00CD28B8">
            <w:pPr>
              <w:spacing w:after="0" w:line="240" w:lineRule="auto"/>
              <w:jc w:val="right"/>
              <w:rPr>
                <w:rFonts w:ascii="Calibri" w:eastAsia="Times New Roman" w:hAnsi="Calibri" w:cs="Calibri"/>
                <w:kern w:val="0"/>
                <w:lang w:eastAsia="es-DO"/>
                <w14:ligatures w14:val="none"/>
              </w:rPr>
            </w:pPr>
            <w:r w:rsidRPr="00CD28B8">
              <w:rPr>
                <w:rFonts w:ascii="Calibri" w:eastAsia="Times New Roman" w:hAnsi="Calibri" w:cs="Calibri"/>
                <w:kern w:val="0"/>
                <w:lang w:eastAsia="es-DO"/>
                <w14:ligatures w14:val="none"/>
              </w:rPr>
              <w:t xml:space="preserve">670.69 </w:t>
            </w:r>
          </w:p>
        </w:tc>
        <w:tc>
          <w:tcPr>
            <w:tcW w:w="1350" w:type="dxa"/>
            <w:tcBorders>
              <w:top w:val="nil"/>
              <w:left w:val="nil"/>
              <w:bottom w:val="single" w:sz="4" w:space="0" w:color="auto"/>
              <w:right w:val="single" w:sz="4" w:space="0" w:color="auto"/>
            </w:tcBorders>
            <w:vAlign w:val="center"/>
            <w:hideMark/>
          </w:tcPr>
          <w:p w14:paraId="043A23AB" w14:textId="77777777" w:rsidR="00CD28B8" w:rsidRPr="00CD28B8" w:rsidRDefault="00CD28B8" w:rsidP="00CD28B8">
            <w:pPr>
              <w:spacing w:after="0" w:line="240" w:lineRule="auto"/>
              <w:jc w:val="right"/>
              <w:rPr>
                <w:rFonts w:ascii="Calibri" w:eastAsia="Times New Roman" w:hAnsi="Calibri" w:cs="Calibri"/>
                <w:kern w:val="0"/>
                <w:lang w:eastAsia="es-DO"/>
                <w14:ligatures w14:val="none"/>
              </w:rPr>
            </w:pPr>
            <w:r w:rsidRPr="00CD28B8">
              <w:rPr>
                <w:rFonts w:ascii="Calibri" w:eastAsia="Times New Roman" w:hAnsi="Calibri" w:cs="Calibri"/>
                <w:kern w:val="0"/>
                <w:lang w:eastAsia="es-DO"/>
                <w14:ligatures w14:val="none"/>
              </w:rPr>
              <w:t xml:space="preserve">715.33 </w:t>
            </w:r>
          </w:p>
        </w:tc>
      </w:tr>
    </w:tbl>
    <w:p w14:paraId="7A2B4CC1" w14:textId="01B3BDDD" w:rsidR="00CD28B8" w:rsidRPr="00177D89" w:rsidRDefault="00177D89">
      <w:pPr>
        <w:rPr>
          <w:sz w:val="16"/>
          <w:szCs w:val="16"/>
        </w:rPr>
      </w:pPr>
      <w:r w:rsidRPr="00177D89">
        <w:rPr>
          <w:sz w:val="16"/>
          <w:szCs w:val="16"/>
        </w:rPr>
        <w:t xml:space="preserve">Fuente: Preparado por DASA con datos Anexo 1 </w:t>
      </w:r>
    </w:p>
    <w:p w14:paraId="7D9941CE" w14:textId="545711C9" w:rsidR="002F6556" w:rsidRDefault="002F6556" w:rsidP="00EA432F">
      <w:pPr>
        <w:jc w:val="both"/>
      </w:pPr>
      <w:r>
        <w:t xml:space="preserve">Es importante destacar que desde la aplicación de la medida antidumping no se habían registrado importaciones en volúmenes como lo antes descritos.  De hecho, en el periodo de revisión pasado </w:t>
      </w:r>
      <w:r w:rsidR="00EA432F">
        <w:t xml:space="preserve">de la medida antidumping </w:t>
      </w:r>
      <w:r>
        <w:t xml:space="preserve">no se registraron importaciones, tampoco se registraron en los dos primeros </w:t>
      </w:r>
      <w:r w:rsidR="00E325EF">
        <w:t>años</w:t>
      </w:r>
      <w:r>
        <w:t xml:space="preserve"> de este periodo de aplicación de la medida</w:t>
      </w:r>
      <w:r w:rsidR="00EA432F">
        <w:t xml:space="preserve">. </w:t>
      </w:r>
      <w:r>
        <w:t xml:space="preserve"> Las importaciones se empiezan a registrar a partir de la aprobación de dichos fideicomisos, registrando importaciones con beneficios arancelarios desde un país que aplica prácticas desleales al comercio</w:t>
      </w:r>
      <w:r w:rsidR="00EA432F">
        <w:t xml:space="preserve"> a partir del 2023. </w:t>
      </w:r>
    </w:p>
    <w:p w14:paraId="09D8CB84" w14:textId="68D37DF7" w:rsidR="002F6556" w:rsidRDefault="002F6556" w:rsidP="00EA432F">
      <w:pPr>
        <w:jc w:val="both"/>
      </w:pPr>
      <w:r>
        <w:t xml:space="preserve">Turquía </w:t>
      </w:r>
      <w:r w:rsidR="00393A8D">
        <w:t xml:space="preserve">mantiene un enfoque </w:t>
      </w:r>
      <w:r w:rsidR="00EA432F">
        <w:t xml:space="preserve">exportador agresivo hacia la región del caribe y Centroamérica, utilizando nuestro país como punto de transbordo y de tránsito hacia otros destinos de la región. De </w:t>
      </w:r>
      <w:proofErr w:type="gramStart"/>
      <w:r w:rsidR="00EA432F">
        <w:t>hecho</w:t>
      </w:r>
      <w:proofErr w:type="gramEnd"/>
      <w:r w:rsidR="00EA432F">
        <w:t xml:space="preserve"> los registros de las exportaciones turcas reportado </w:t>
      </w:r>
      <w:proofErr w:type="spellStart"/>
      <w:proofErr w:type="gramStart"/>
      <w:r w:rsidR="00EA432F">
        <w:t>via</w:t>
      </w:r>
      <w:proofErr w:type="spellEnd"/>
      <w:r w:rsidR="00EA432F">
        <w:t xml:space="preserve">  </w:t>
      </w:r>
      <w:proofErr w:type="spellStart"/>
      <w:r w:rsidR="00EA432F" w:rsidRPr="00EA432F">
        <w:rPr>
          <w:i/>
          <w:iCs/>
        </w:rPr>
        <w:t>trademap</w:t>
      </w:r>
      <w:proofErr w:type="spellEnd"/>
      <w:proofErr w:type="gramEnd"/>
      <w:r w:rsidR="00EA432F">
        <w:t xml:space="preserve"> reflejan importantes volúmenes exportados a la Republica Dominicana, que discrepan </w:t>
      </w:r>
      <w:proofErr w:type="gramStart"/>
      <w:r w:rsidR="00EA432F">
        <w:t>con</w:t>
      </w:r>
      <w:proofErr w:type="gramEnd"/>
      <w:r w:rsidR="00EA432F">
        <w:t xml:space="preserve"> los reflejados hacia el régimen de consumo por la DGA, por lo que se deriva que dicha diferencia se destina a países cercanos como Haití y las demás islas del caribe. </w:t>
      </w:r>
    </w:p>
    <w:p w14:paraId="4C31ADF9" w14:textId="37C3706A" w:rsidR="00EA432F" w:rsidRDefault="00EA432F" w:rsidP="00EA432F">
      <w:pPr>
        <w:jc w:val="both"/>
      </w:pPr>
      <w:r>
        <w:t xml:space="preserve">De hecho de acuerdos a esta fuente, en el 2024 Turquía </w:t>
      </w:r>
      <w:r w:rsidR="00E325EF">
        <w:t>exportó</w:t>
      </w:r>
      <w:r>
        <w:t xml:space="preserve"> a la </w:t>
      </w:r>
      <w:r w:rsidR="00E325EF">
        <w:t>República</w:t>
      </w:r>
      <w:r>
        <w:t xml:space="preserve"> Dominicana 104 mil TM de varillas (partida 7214.20). Esta cifra dista de forma importante de los registros oficiales de importación de la Republica Dominicana, por lo que entendemos que se trata de varillas que fueron reexportadas a otros destinos.   Esto refleja la importancia que Turquía da al mercado dominicano y </w:t>
      </w:r>
      <w:r>
        <w:lastRenderedPageBreak/>
        <w:t xml:space="preserve">las ventajas logísticas que tenemos como centro del caribe, lo que se traduce en una clara amenaza de aumentos importantes al mercado </w:t>
      </w:r>
      <w:r w:rsidR="00F36DDA">
        <w:t xml:space="preserve">doméstico. </w:t>
      </w:r>
      <w:r>
        <w:t xml:space="preserve"> </w:t>
      </w:r>
    </w:p>
    <w:tbl>
      <w:tblPr>
        <w:tblW w:w="10130" w:type="dxa"/>
        <w:tblCellMar>
          <w:left w:w="70" w:type="dxa"/>
          <w:right w:w="70" w:type="dxa"/>
        </w:tblCellMar>
        <w:tblLook w:val="04A0" w:firstRow="1" w:lastRow="0" w:firstColumn="1" w:lastColumn="0" w:noHBand="0" w:noVBand="1"/>
      </w:tblPr>
      <w:tblGrid>
        <w:gridCol w:w="364"/>
        <w:gridCol w:w="2516"/>
        <w:gridCol w:w="1440"/>
        <w:gridCol w:w="1490"/>
        <w:gridCol w:w="1450"/>
        <w:gridCol w:w="1410"/>
        <w:gridCol w:w="1460"/>
      </w:tblGrid>
      <w:tr w:rsidR="00EA432F" w:rsidRPr="00EA432F" w14:paraId="38EEA5AA" w14:textId="77777777" w:rsidTr="00F36DDA">
        <w:trPr>
          <w:trHeight w:val="290"/>
        </w:trPr>
        <w:tc>
          <w:tcPr>
            <w:tcW w:w="364" w:type="dxa"/>
            <w:tcBorders>
              <w:top w:val="nil"/>
              <w:left w:val="nil"/>
              <w:bottom w:val="nil"/>
              <w:right w:val="nil"/>
            </w:tcBorders>
            <w:noWrap/>
            <w:vAlign w:val="bottom"/>
            <w:hideMark/>
          </w:tcPr>
          <w:p w14:paraId="2CCF91FF" w14:textId="77777777" w:rsidR="00EA432F" w:rsidRPr="00EA432F" w:rsidRDefault="00EA432F" w:rsidP="00EA432F">
            <w:pPr>
              <w:spacing w:after="0" w:line="240" w:lineRule="auto"/>
              <w:rPr>
                <w:rFonts w:ascii="Times New Roman" w:eastAsia="Times New Roman" w:hAnsi="Times New Roman" w:cs="Times New Roman"/>
                <w:kern w:val="0"/>
                <w:sz w:val="24"/>
                <w:szCs w:val="24"/>
                <w:lang w:eastAsia="es-DO"/>
                <w14:ligatures w14:val="none"/>
              </w:rPr>
            </w:pPr>
          </w:p>
        </w:tc>
        <w:tc>
          <w:tcPr>
            <w:tcW w:w="2516" w:type="dxa"/>
            <w:tcBorders>
              <w:top w:val="nil"/>
              <w:left w:val="nil"/>
              <w:bottom w:val="nil"/>
              <w:right w:val="nil"/>
            </w:tcBorders>
            <w:shd w:val="clear" w:color="000000" w:fill="D0D0D0"/>
            <w:noWrap/>
            <w:vAlign w:val="bottom"/>
            <w:hideMark/>
          </w:tcPr>
          <w:p w14:paraId="32209CBC" w14:textId="77777777" w:rsidR="00EA432F" w:rsidRPr="00EA432F" w:rsidRDefault="00EA432F" w:rsidP="00EA432F">
            <w:pPr>
              <w:spacing w:after="0" w:line="240" w:lineRule="auto"/>
              <w:rPr>
                <w:rFonts w:ascii="Aptos Narrow" w:eastAsia="Times New Roman" w:hAnsi="Aptos Narrow" w:cs="Times New Roman"/>
                <w:b/>
                <w:bCs/>
                <w:color w:val="000000"/>
                <w:kern w:val="0"/>
                <w:lang w:eastAsia="es-DO"/>
                <w14:ligatures w14:val="none"/>
              </w:rPr>
            </w:pPr>
            <w:proofErr w:type="spellStart"/>
            <w:r w:rsidRPr="00EA432F">
              <w:rPr>
                <w:rFonts w:ascii="Aptos Narrow" w:eastAsia="Times New Roman" w:hAnsi="Aptos Narrow" w:cs="Times New Roman"/>
                <w:b/>
                <w:bCs/>
                <w:color w:val="000000"/>
                <w:kern w:val="0"/>
                <w:lang w:eastAsia="es-DO"/>
                <w14:ligatures w14:val="none"/>
              </w:rPr>
              <w:t>Importers</w:t>
            </w:r>
            <w:proofErr w:type="spellEnd"/>
          </w:p>
        </w:tc>
        <w:tc>
          <w:tcPr>
            <w:tcW w:w="1440" w:type="dxa"/>
            <w:tcBorders>
              <w:top w:val="nil"/>
              <w:left w:val="nil"/>
              <w:bottom w:val="nil"/>
              <w:right w:val="nil"/>
            </w:tcBorders>
            <w:shd w:val="clear" w:color="000000" w:fill="D0D0D0"/>
            <w:noWrap/>
            <w:vAlign w:val="bottom"/>
            <w:hideMark/>
          </w:tcPr>
          <w:p w14:paraId="28299B82" w14:textId="77777777" w:rsidR="00EA432F" w:rsidRPr="00EA432F" w:rsidRDefault="00EA432F" w:rsidP="00F36DDA">
            <w:pPr>
              <w:spacing w:after="0" w:line="240" w:lineRule="auto"/>
              <w:jc w:val="right"/>
              <w:rPr>
                <w:rFonts w:ascii="Aptos Narrow" w:eastAsia="Times New Roman" w:hAnsi="Aptos Narrow" w:cs="Times New Roman"/>
                <w:b/>
                <w:bCs/>
                <w:color w:val="000000"/>
                <w:kern w:val="0"/>
                <w:lang w:eastAsia="es-DO"/>
                <w14:ligatures w14:val="none"/>
              </w:rPr>
            </w:pPr>
            <w:r w:rsidRPr="00EA432F">
              <w:rPr>
                <w:rFonts w:ascii="Aptos Narrow" w:eastAsia="Times New Roman" w:hAnsi="Aptos Narrow" w:cs="Times New Roman"/>
                <w:b/>
                <w:bCs/>
                <w:color w:val="000000"/>
                <w:kern w:val="0"/>
                <w:lang w:eastAsia="es-DO"/>
                <w14:ligatures w14:val="none"/>
              </w:rPr>
              <w:t>2020</w:t>
            </w:r>
          </w:p>
        </w:tc>
        <w:tc>
          <w:tcPr>
            <w:tcW w:w="1490" w:type="dxa"/>
            <w:tcBorders>
              <w:top w:val="nil"/>
              <w:left w:val="nil"/>
              <w:bottom w:val="nil"/>
              <w:right w:val="nil"/>
            </w:tcBorders>
            <w:shd w:val="clear" w:color="000000" w:fill="D0D0D0"/>
            <w:noWrap/>
            <w:vAlign w:val="bottom"/>
            <w:hideMark/>
          </w:tcPr>
          <w:p w14:paraId="5F3FA171" w14:textId="77777777" w:rsidR="00EA432F" w:rsidRPr="00EA432F" w:rsidRDefault="00EA432F" w:rsidP="00F36DDA">
            <w:pPr>
              <w:spacing w:after="0" w:line="240" w:lineRule="auto"/>
              <w:jc w:val="right"/>
              <w:rPr>
                <w:rFonts w:ascii="Aptos Narrow" w:eastAsia="Times New Roman" w:hAnsi="Aptos Narrow" w:cs="Times New Roman"/>
                <w:b/>
                <w:bCs/>
                <w:color w:val="000000"/>
                <w:kern w:val="0"/>
                <w:lang w:eastAsia="es-DO"/>
                <w14:ligatures w14:val="none"/>
              </w:rPr>
            </w:pPr>
            <w:r w:rsidRPr="00EA432F">
              <w:rPr>
                <w:rFonts w:ascii="Aptos Narrow" w:eastAsia="Times New Roman" w:hAnsi="Aptos Narrow" w:cs="Times New Roman"/>
                <w:b/>
                <w:bCs/>
                <w:color w:val="000000"/>
                <w:kern w:val="0"/>
                <w:lang w:eastAsia="es-DO"/>
                <w14:ligatures w14:val="none"/>
              </w:rPr>
              <w:t>2021</w:t>
            </w:r>
          </w:p>
        </w:tc>
        <w:tc>
          <w:tcPr>
            <w:tcW w:w="1450" w:type="dxa"/>
            <w:tcBorders>
              <w:top w:val="nil"/>
              <w:left w:val="nil"/>
              <w:bottom w:val="nil"/>
              <w:right w:val="nil"/>
            </w:tcBorders>
            <w:shd w:val="clear" w:color="000000" w:fill="D0D0D0"/>
            <w:noWrap/>
            <w:vAlign w:val="bottom"/>
            <w:hideMark/>
          </w:tcPr>
          <w:p w14:paraId="27215660" w14:textId="77777777" w:rsidR="00EA432F" w:rsidRPr="00EA432F" w:rsidRDefault="00EA432F" w:rsidP="00F36DDA">
            <w:pPr>
              <w:spacing w:after="0" w:line="240" w:lineRule="auto"/>
              <w:jc w:val="right"/>
              <w:rPr>
                <w:rFonts w:ascii="Aptos Narrow" w:eastAsia="Times New Roman" w:hAnsi="Aptos Narrow" w:cs="Times New Roman"/>
                <w:b/>
                <w:bCs/>
                <w:color w:val="000000"/>
                <w:kern w:val="0"/>
                <w:lang w:eastAsia="es-DO"/>
                <w14:ligatures w14:val="none"/>
              </w:rPr>
            </w:pPr>
            <w:r w:rsidRPr="00EA432F">
              <w:rPr>
                <w:rFonts w:ascii="Aptos Narrow" w:eastAsia="Times New Roman" w:hAnsi="Aptos Narrow" w:cs="Times New Roman"/>
                <w:b/>
                <w:bCs/>
                <w:color w:val="000000"/>
                <w:kern w:val="0"/>
                <w:lang w:eastAsia="es-DO"/>
                <w14:ligatures w14:val="none"/>
              </w:rPr>
              <w:t>2022</w:t>
            </w:r>
          </w:p>
        </w:tc>
        <w:tc>
          <w:tcPr>
            <w:tcW w:w="1410" w:type="dxa"/>
            <w:tcBorders>
              <w:top w:val="nil"/>
              <w:left w:val="nil"/>
              <w:bottom w:val="nil"/>
              <w:right w:val="nil"/>
            </w:tcBorders>
            <w:shd w:val="clear" w:color="000000" w:fill="D0D0D0"/>
            <w:noWrap/>
            <w:vAlign w:val="bottom"/>
            <w:hideMark/>
          </w:tcPr>
          <w:p w14:paraId="44FB710C" w14:textId="77777777" w:rsidR="00EA432F" w:rsidRPr="00EA432F" w:rsidRDefault="00EA432F" w:rsidP="00F36DDA">
            <w:pPr>
              <w:spacing w:after="0" w:line="240" w:lineRule="auto"/>
              <w:jc w:val="right"/>
              <w:rPr>
                <w:rFonts w:ascii="Aptos Narrow" w:eastAsia="Times New Roman" w:hAnsi="Aptos Narrow" w:cs="Times New Roman"/>
                <w:b/>
                <w:bCs/>
                <w:color w:val="000000"/>
                <w:kern w:val="0"/>
                <w:lang w:eastAsia="es-DO"/>
                <w14:ligatures w14:val="none"/>
              </w:rPr>
            </w:pPr>
            <w:r w:rsidRPr="00EA432F">
              <w:rPr>
                <w:rFonts w:ascii="Aptos Narrow" w:eastAsia="Times New Roman" w:hAnsi="Aptos Narrow" w:cs="Times New Roman"/>
                <w:b/>
                <w:bCs/>
                <w:color w:val="000000"/>
                <w:kern w:val="0"/>
                <w:lang w:eastAsia="es-DO"/>
                <w14:ligatures w14:val="none"/>
              </w:rPr>
              <w:t>2023</w:t>
            </w:r>
          </w:p>
        </w:tc>
        <w:tc>
          <w:tcPr>
            <w:tcW w:w="1460" w:type="dxa"/>
            <w:tcBorders>
              <w:top w:val="nil"/>
              <w:left w:val="nil"/>
              <w:bottom w:val="nil"/>
              <w:right w:val="nil"/>
            </w:tcBorders>
            <w:shd w:val="clear" w:color="000000" w:fill="D0D0D0"/>
            <w:noWrap/>
            <w:vAlign w:val="bottom"/>
            <w:hideMark/>
          </w:tcPr>
          <w:p w14:paraId="7D2CC0D5" w14:textId="77777777" w:rsidR="00EA432F" w:rsidRPr="00EA432F" w:rsidRDefault="00EA432F" w:rsidP="00F36DDA">
            <w:pPr>
              <w:spacing w:after="0" w:line="240" w:lineRule="auto"/>
              <w:jc w:val="right"/>
              <w:rPr>
                <w:rFonts w:ascii="Aptos Narrow" w:eastAsia="Times New Roman" w:hAnsi="Aptos Narrow" w:cs="Times New Roman"/>
                <w:b/>
                <w:bCs/>
                <w:color w:val="000000"/>
                <w:kern w:val="0"/>
                <w:lang w:eastAsia="es-DO"/>
                <w14:ligatures w14:val="none"/>
              </w:rPr>
            </w:pPr>
            <w:r w:rsidRPr="00EA432F">
              <w:rPr>
                <w:rFonts w:ascii="Aptos Narrow" w:eastAsia="Times New Roman" w:hAnsi="Aptos Narrow" w:cs="Times New Roman"/>
                <w:b/>
                <w:bCs/>
                <w:color w:val="000000"/>
                <w:kern w:val="0"/>
                <w:lang w:eastAsia="es-DO"/>
                <w14:ligatures w14:val="none"/>
              </w:rPr>
              <w:t>2024</w:t>
            </w:r>
          </w:p>
        </w:tc>
      </w:tr>
      <w:tr w:rsidR="00EA432F" w:rsidRPr="00EA432F" w14:paraId="4A123AD8" w14:textId="77777777" w:rsidTr="00F36DDA">
        <w:trPr>
          <w:trHeight w:val="290"/>
        </w:trPr>
        <w:tc>
          <w:tcPr>
            <w:tcW w:w="364" w:type="dxa"/>
            <w:tcBorders>
              <w:top w:val="nil"/>
              <w:left w:val="nil"/>
              <w:bottom w:val="nil"/>
              <w:right w:val="nil"/>
            </w:tcBorders>
            <w:noWrap/>
            <w:vAlign w:val="bottom"/>
            <w:hideMark/>
          </w:tcPr>
          <w:p w14:paraId="36562F05" w14:textId="77777777" w:rsidR="00EA432F" w:rsidRPr="00EA432F" w:rsidRDefault="00EA432F" w:rsidP="00EA432F">
            <w:pPr>
              <w:spacing w:after="0" w:line="240" w:lineRule="auto"/>
              <w:jc w:val="right"/>
              <w:rPr>
                <w:rFonts w:ascii="Aptos Narrow" w:eastAsia="Times New Roman" w:hAnsi="Aptos Narrow" w:cs="Times New Roman"/>
                <w:b/>
                <w:bCs/>
                <w:color w:val="000000"/>
                <w:kern w:val="0"/>
                <w:lang w:eastAsia="es-DO"/>
                <w14:ligatures w14:val="none"/>
              </w:rPr>
            </w:pPr>
          </w:p>
        </w:tc>
        <w:tc>
          <w:tcPr>
            <w:tcW w:w="2516" w:type="dxa"/>
            <w:tcBorders>
              <w:top w:val="nil"/>
              <w:left w:val="nil"/>
              <w:bottom w:val="nil"/>
              <w:right w:val="nil"/>
            </w:tcBorders>
            <w:noWrap/>
            <w:vAlign w:val="bottom"/>
            <w:hideMark/>
          </w:tcPr>
          <w:p w14:paraId="23569880" w14:textId="650BABDD" w:rsidR="00EA432F" w:rsidRPr="00EA432F" w:rsidRDefault="00F36DDA" w:rsidP="00EA432F">
            <w:pPr>
              <w:spacing w:after="0" w:line="240" w:lineRule="auto"/>
              <w:rPr>
                <w:rFonts w:ascii="Aptos Narrow" w:eastAsia="Times New Roman" w:hAnsi="Aptos Narrow" w:cs="Times New Roman"/>
                <w:color w:val="000000"/>
                <w:kern w:val="0"/>
                <w:lang w:eastAsia="es-DO"/>
                <w14:ligatures w14:val="none"/>
              </w:rPr>
            </w:pPr>
            <w:r>
              <w:rPr>
                <w:rFonts w:ascii="Aptos Narrow" w:eastAsia="Times New Roman" w:hAnsi="Aptos Narrow" w:cs="Times New Roman"/>
                <w:color w:val="000000"/>
                <w:kern w:val="0"/>
                <w:lang w:eastAsia="es-DO"/>
                <w14:ligatures w14:val="none"/>
              </w:rPr>
              <w:t>Mundo</w:t>
            </w:r>
          </w:p>
        </w:tc>
        <w:tc>
          <w:tcPr>
            <w:tcW w:w="1440" w:type="dxa"/>
            <w:tcBorders>
              <w:top w:val="nil"/>
              <w:left w:val="nil"/>
              <w:bottom w:val="nil"/>
              <w:right w:val="nil"/>
            </w:tcBorders>
            <w:noWrap/>
            <w:vAlign w:val="bottom"/>
            <w:hideMark/>
          </w:tcPr>
          <w:p w14:paraId="4C253D7E" w14:textId="77777777" w:rsidR="00EA432F" w:rsidRPr="00EA432F" w:rsidRDefault="00EA432F" w:rsidP="00F36DDA">
            <w:pPr>
              <w:spacing w:after="0" w:line="240" w:lineRule="auto"/>
              <w:jc w:val="right"/>
              <w:rPr>
                <w:rFonts w:ascii="Aptos Narrow" w:eastAsia="Times New Roman" w:hAnsi="Aptos Narrow" w:cs="Times New Roman"/>
                <w:color w:val="000000"/>
                <w:kern w:val="0"/>
                <w:lang w:eastAsia="es-DO"/>
                <w14:ligatures w14:val="none"/>
              </w:rPr>
            </w:pPr>
            <w:r w:rsidRPr="00EA432F">
              <w:rPr>
                <w:rFonts w:ascii="Aptos Narrow" w:eastAsia="Times New Roman" w:hAnsi="Aptos Narrow" w:cs="Times New Roman"/>
                <w:color w:val="000000"/>
                <w:kern w:val="0"/>
                <w:lang w:eastAsia="es-DO"/>
                <w14:ligatures w14:val="none"/>
              </w:rPr>
              <w:t xml:space="preserve">   5,650,706 </w:t>
            </w:r>
          </w:p>
        </w:tc>
        <w:tc>
          <w:tcPr>
            <w:tcW w:w="1490" w:type="dxa"/>
            <w:tcBorders>
              <w:top w:val="nil"/>
              <w:left w:val="nil"/>
              <w:bottom w:val="nil"/>
              <w:right w:val="nil"/>
            </w:tcBorders>
            <w:noWrap/>
            <w:vAlign w:val="bottom"/>
            <w:hideMark/>
          </w:tcPr>
          <w:p w14:paraId="4BB4E031" w14:textId="77777777" w:rsidR="00EA432F" w:rsidRPr="00EA432F" w:rsidRDefault="00EA432F" w:rsidP="00F36DDA">
            <w:pPr>
              <w:spacing w:after="0" w:line="240" w:lineRule="auto"/>
              <w:jc w:val="right"/>
              <w:rPr>
                <w:rFonts w:ascii="Aptos Narrow" w:eastAsia="Times New Roman" w:hAnsi="Aptos Narrow" w:cs="Times New Roman"/>
                <w:color w:val="000000"/>
                <w:kern w:val="0"/>
                <w:lang w:eastAsia="es-DO"/>
                <w14:ligatures w14:val="none"/>
              </w:rPr>
            </w:pPr>
            <w:r w:rsidRPr="00EA432F">
              <w:rPr>
                <w:rFonts w:ascii="Aptos Narrow" w:eastAsia="Times New Roman" w:hAnsi="Aptos Narrow" w:cs="Times New Roman"/>
                <w:color w:val="000000"/>
                <w:kern w:val="0"/>
                <w:lang w:eastAsia="es-DO"/>
                <w14:ligatures w14:val="none"/>
              </w:rPr>
              <w:t xml:space="preserve">   7,139,406 </w:t>
            </w:r>
          </w:p>
        </w:tc>
        <w:tc>
          <w:tcPr>
            <w:tcW w:w="1450" w:type="dxa"/>
            <w:tcBorders>
              <w:top w:val="nil"/>
              <w:left w:val="nil"/>
              <w:bottom w:val="nil"/>
              <w:right w:val="nil"/>
            </w:tcBorders>
            <w:noWrap/>
            <w:vAlign w:val="bottom"/>
            <w:hideMark/>
          </w:tcPr>
          <w:p w14:paraId="75099456" w14:textId="77777777" w:rsidR="00EA432F" w:rsidRPr="00EA432F" w:rsidRDefault="00EA432F" w:rsidP="00F36DDA">
            <w:pPr>
              <w:spacing w:after="0" w:line="240" w:lineRule="auto"/>
              <w:jc w:val="right"/>
              <w:rPr>
                <w:rFonts w:ascii="Aptos Narrow" w:eastAsia="Times New Roman" w:hAnsi="Aptos Narrow" w:cs="Times New Roman"/>
                <w:color w:val="000000"/>
                <w:kern w:val="0"/>
                <w:lang w:eastAsia="es-DO"/>
                <w14:ligatures w14:val="none"/>
              </w:rPr>
            </w:pPr>
            <w:r w:rsidRPr="00EA432F">
              <w:rPr>
                <w:rFonts w:ascii="Aptos Narrow" w:eastAsia="Times New Roman" w:hAnsi="Aptos Narrow" w:cs="Times New Roman"/>
                <w:color w:val="000000"/>
                <w:kern w:val="0"/>
                <w:lang w:eastAsia="es-DO"/>
                <w14:ligatures w14:val="none"/>
              </w:rPr>
              <w:t xml:space="preserve">   5,466,691 </w:t>
            </w:r>
          </w:p>
        </w:tc>
        <w:tc>
          <w:tcPr>
            <w:tcW w:w="1410" w:type="dxa"/>
            <w:tcBorders>
              <w:top w:val="nil"/>
              <w:left w:val="nil"/>
              <w:bottom w:val="nil"/>
              <w:right w:val="nil"/>
            </w:tcBorders>
            <w:noWrap/>
            <w:vAlign w:val="bottom"/>
            <w:hideMark/>
          </w:tcPr>
          <w:p w14:paraId="0B8C8D99" w14:textId="77777777" w:rsidR="00EA432F" w:rsidRPr="00EA432F" w:rsidRDefault="00EA432F" w:rsidP="00F36DDA">
            <w:pPr>
              <w:spacing w:after="0" w:line="240" w:lineRule="auto"/>
              <w:jc w:val="right"/>
              <w:rPr>
                <w:rFonts w:ascii="Aptos Narrow" w:eastAsia="Times New Roman" w:hAnsi="Aptos Narrow" w:cs="Times New Roman"/>
                <w:color w:val="000000"/>
                <w:kern w:val="0"/>
                <w:lang w:eastAsia="es-DO"/>
                <w14:ligatures w14:val="none"/>
              </w:rPr>
            </w:pPr>
            <w:r w:rsidRPr="00EA432F">
              <w:rPr>
                <w:rFonts w:ascii="Aptos Narrow" w:eastAsia="Times New Roman" w:hAnsi="Aptos Narrow" w:cs="Times New Roman"/>
                <w:color w:val="000000"/>
                <w:kern w:val="0"/>
                <w:lang w:eastAsia="es-DO"/>
                <w14:ligatures w14:val="none"/>
              </w:rPr>
              <w:t xml:space="preserve">   3,434,700 </w:t>
            </w:r>
          </w:p>
        </w:tc>
        <w:tc>
          <w:tcPr>
            <w:tcW w:w="1460" w:type="dxa"/>
            <w:tcBorders>
              <w:top w:val="nil"/>
              <w:left w:val="nil"/>
              <w:bottom w:val="nil"/>
              <w:right w:val="nil"/>
            </w:tcBorders>
            <w:noWrap/>
            <w:vAlign w:val="bottom"/>
            <w:hideMark/>
          </w:tcPr>
          <w:p w14:paraId="2A20DEDB" w14:textId="77777777" w:rsidR="00EA432F" w:rsidRPr="00EA432F" w:rsidRDefault="00EA432F" w:rsidP="00F36DDA">
            <w:pPr>
              <w:spacing w:after="0" w:line="240" w:lineRule="auto"/>
              <w:jc w:val="right"/>
              <w:rPr>
                <w:rFonts w:ascii="Aptos Narrow" w:eastAsia="Times New Roman" w:hAnsi="Aptos Narrow" w:cs="Times New Roman"/>
                <w:color w:val="000000"/>
                <w:kern w:val="0"/>
                <w:lang w:eastAsia="es-DO"/>
                <w14:ligatures w14:val="none"/>
              </w:rPr>
            </w:pPr>
            <w:r w:rsidRPr="00EA432F">
              <w:rPr>
                <w:rFonts w:ascii="Aptos Narrow" w:eastAsia="Times New Roman" w:hAnsi="Aptos Narrow" w:cs="Times New Roman"/>
                <w:color w:val="000000"/>
                <w:kern w:val="0"/>
                <w:lang w:eastAsia="es-DO"/>
                <w14:ligatures w14:val="none"/>
              </w:rPr>
              <w:t xml:space="preserve">   3,424,383 </w:t>
            </w:r>
          </w:p>
        </w:tc>
      </w:tr>
      <w:tr w:rsidR="00EA432F" w:rsidRPr="00EA432F" w14:paraId="7979D46C" w14:textId="77777777" w:rsidTr="00F36DDA">
        <w:trPr>
          <w:trHeight w:val="290"/>
        </w:trPr>
        <w:tc>
          <w:tcPr>
            <w:tcW w:w="364" w:type="dxa"/>
            <w:tcBorders>
              <w:top w:val="nil"/>
              <w:left w:val="nil"/>
              <w:bottom w:val="nil"/>
              <w:right w:val="nil"/>
            </w:tcBorders>
            <w:noWrap/>
            <w:vAlign w:val="bottom"/>
            <w:hideMark/>
          </w:tcPr>
          <w:p w14:paraId="38684EA8" w14:textId="77777777" w:rsidR="00EA432F" w:rsidRPr="00EA432F" w:rsidRDefault="00EA432F" w:rsidP="00EA432F">
            <w:pPr>
              <w:spacing w:after="0" w:line="240" w:lineRule="auto"/>
              <w:jc w:val="right"/>
              <w:rPr>
                <w:rFonts w:ascii="Aptos Narrow" w:eastAsia="Times New Roman" w:hAnsi="Aptos Narrow" w:cs="Times New Roman"/>
                <w:color w:val="000000"/>
                <w:kern w:val="0"/>
                <w:lang w:eastAsia="es-DO"/>
                <w14:ligatures w14:val="none"/>
              </w:rPr>
            </w:pPr>
            <w:r w:rsidRPr="00EA432F">
              <w:rPr>
                <w:rFonts w:ascii="Aptos Narrow" w:eastAsia="Times New Roman" w:hAnsi="Aptos Narrow" w:cs="Times New Roman"/>
                <w:color w:val="000000"/>
                <w:kern w:val="0"/>
                <w:lang w:eastAsia="es-DO"/>
                <w14:ligatures w14:val="none"/>
              </w:rPr>
              <w:t>1</w:t>
            </w:r>
          </w:p>
        </w:tc>
        <w:tc>
          <w:tcPr>
            <w:tcW w:w="2516" w:type="dxa"/>
            <w:tcBorders>
              <w:top w:val="nil"/>
              <w:left w:val="nil"/>
              <w:bottom w:val="nil"/>
              <w:right w:val="nil"/>
            </w:tcBorders>
            <w:noWrap/>
            <w:vAlign w:val="bottom"/>
            <w:hideMark/>
          </w:tcPr>
          <w:p w14:paraId="149E42E0" w14:textId="77777777" w:rsidR="00EA432F" w:rsidRPr="00EA432F" w:rsidRDefault="00EA432F" w:rsidP="00EA432F">
            <w:pPr>
              <w:spacing w:after="0" w:line="240" w:lineRule="auto"/>
              <w:rPr>
                <w:rFonts w:ascii="Aptos Narrow" w:eastAsia="Times New Roman" w:hAnsi="Aptos Narrow" w:cs="Times New Roman"/>
                <w:color w:val="000000"/>
                <w:kern w:val="0"/>
                <w:lang w:eastAsia="es-DO"/>
                <w14:ligatures w14:val="none"/>
              </w:rPr>
            </w:pPr>
            <w:r w:rsidRPr="00EA432F">
              <w:rPr>
                <w:rFonts w:ascii="Aptos Narrow" w:eastAsia="Times New Roman" w:hAnsi="Aptos Narrow" w:cs="Times New Roman"/>
                <w:color w:val="000000"/>
                <w:kern w:val="0"/>
                <w:lang w:eastAsia="es-DO"/>
                <w14:ligatures w14:val="none"/>
              </w:rPr>
              <w:t>Yemen</w:t>
            </w:r>
          </w:p>
        </w:tc>
        <w:tc>
          <w:tcPr>
            <w:tcW w:w="1440" w:type="dxa"/>
            <w:tcBorders>
              <w:top w:val="nil"/>
              <w:left w:val="nil"/>
              <w:bottom w:val="nil"/>
              <w:right w:val="nil"/>
            </w:tcBorders>
            <w:noWrap/>
            <w:vAlign w:val="bottom"/>
            <w:hideMark/>
          </w:tcPr>
          <w:p w14:paraId="16783590" w14:textId="77777777" w:rsidR="00EA432F" w:rsidRPr="00EA432F" w:rsidRDefault="00EA432F" w:rsidP="00F36DDA">
            <w:pPr>
              <w:spacing w:after="0" w:line="240" w:lineRule="auto"/>
              <w:jc w:val="right"/>
              <w:rPr>
                <w:rFonts w:ascii="Aptos Narrow" w:eastAsia="Times New Roman" w:hAnsi="Aptos Narrow" w:cs="Times New Roman"/>
                <w:color w:val="000000"/>
                <w:kern w:val="0"/>
                <w:lang w:eastAsia="es-DO"/>
                <w14:ligatures w14:val="none"/>
              </w:rPr>
            </w:pPr>
            <w:r w:rsidRPr="00EA432F">
              <w:rPr>
                <w:rFonts w:ascii="Aptos Narrow" w:eastAsia="Times New Roman" w:hAnsi="Aptos Narrow" w:cs="Times New Roman"/>
                <w:color w:val="000000"/>
                <w:kern w:val="0"/>
                <w:lang w:eastAsia="es-DO"/>
                <w14:ligatures w14:val="none"/>
              </w:rPr>
              <w:t xml:space="preserve">       857,276 </w:t>
            </w:r>
          </w:p>
        </w:tc>
        <w:tc>
          <w:tcPr>
            <w:tcW w:w="1490" w:type="dxa"/>
            <w:tcBorders>
              <w:top w:val="nil"/>
              <w:left w:val="nil"/>
              <w:bottom w:val="nil"/>
              <w:right w:val="nil"/>
            </w:tcBorders>
            <w:noWrap/>
            <w:vAlign w:val="bottom"/>
            <w:hideMark/>
          </w:tcPr>
          <w:p w14:paraId="1CAB92E8" w14:textId="77777777" w:rsidR="00EA432F" w:rsidRPr="00EA432F" w:rsidRDefault="00EA432F" w:rsidP="00F36DDA">
            <w:pPr>
              <w:spacing w:after="0" w:line="240" w:lineRule="auto"/>
              <w:jc w:val="right"/>
              <w:rPr>
                <w:rFonts w:ascii="Aptos Narrow" w:eastAsia="Times New Roman" w:hAnsi="Aptos Narrow" w:cs="Times New Roman"/>
                <w:color w:val="000000"/>
                <w:kern w:val="0"/>
                <w:lang w:eastAsia="es-DO"/>
                <w14:ligatures w14:val="none"/>
              </w:rPr>
            </w:pPr>
            <w:r w:rsidRPr="00EA432F">
              <w:rPr>
                <w:rFonts w:ascii="Aptos Narrow" w:eastAsia="Times New Roman" w:hAnsi="Aptos Narrow" w:cs="Times New Roman"/>
                <w:color w:val="000000"/>
                <w:kern w:val="0"/>
                <w:lang w:eastAsia="es-DO"/>
                <w14:ligatures w14:val="none"/>
              </w:rPr>
              <w:t xml:space="preserve">       874,454 </w:t>
            </w:r>
          </w:p>
        </w:tc>
        <w:tc>
          <w:tcPr>
            <w:tcW w:w="1450" w:type="dxa"/>
            <w:tcBorders>
              <w:top w:val="nil"/>
              <w:left w:val="nil"/>
              <w:bottom w:val="nil"/>
              <w:right w:val="nil"/>
            </w:tcBorders>
            <w:noWrap/>
            <w:vAlign w:val="bottom"/>
            <w:hideMark/>
          </w:tcPr>
          <w:p w14:paraId="7D2F8D98" w14:textId="77777777" w:rsidR="00EA432F" w:rsidRPr="00EA432F" w:rsidRDefault="00EA432F" w:rsidP="00F36DDA">
            <w:pPr>
              <w:spacing w:after="0" w:line="240" w:lineRule="auto"/>
              <w:jc w:val="right"/>
              <w:rPr>
                <w:rFonts w:ascii="Aptos Narrow" w:eastAsia="Times New Roman" w:hAnsi="Aptos Narrow" w:cs="Times New Roman"/>
                <w:color w:val="000000"/>
                <w:kern w:val="0"/>
                <w:lang w:eastAsia="es-DO"/>
                <w14:ligatures w14:val="none"/>
              </w:rPr>
            </w:pPr>
            <w:r w:rsidRPr="00EA432F">
              <w:rPr>
                <w:rFonts w:ascii="Aptos Narrow" w:eastAsia="Times New Roman" w:hAnsi="Aptos Narrow" w:cs="Times New Roman"/>
                <w:color w:val="000000"/>
                <w:kern w:val="0"/>
                <w:lang w:eastAsia="es-DO"/>
                <w14:ligatures w14:val="none"/>
              </w:rPr>
              <w:t xml:space="preserve">       722,906 </w:t>
            </w:r>
          </w:p>
        </w:tc>
        <w:tc>
          <w:tcPr>
            <w:tcW w:w="1410" w:type="dxa"/>
            <w:tcBorders>
              <w:top w:val="nil"/>
              <w:left w:val="nil"/>
              <w:bottom w:val="nil"/>
              <w:right w:val="nil"/>
            </w:tcBorders>
            <w:noWrap/>
            <w:vAlign w:val="bottom"/>
            <w:hideMark/>
          </w:tcPr>
          <w:p w14:paraId="2457ECB8" w14:textId="77777777" w:rsidR="00EA432F" w:rsidRPr="00EA432F" w:rsidRDefault="00EA432F" w:rsidP="00F36DDA">
            <w:pPr>
              <w:spacing w:after="0" w:line="240" w:lineRule="auto"/>
              <w:jc w:val="right"/>
              <w:rPr>
                <w:rFonts w:ascii="Aptos Narrow" w:eastAsia="Times New Roman" w:hAnsi="Aptos Narrow" w:cs="Times New Roman"/>
                <w:color w:val="000000"/>
                <w:kern w:val="0"/>
                <w:lang w:eastAsia="es-DO"/>
                <w14:ligatures w14:val="none"/>
              </w:rPr>
            </w:pPr>
            <w:r w:rsidRPr="00EA432F">
              <w:rPr>
                <w:rFonts w:ascii="Aptos Narrow" w:eastAsia="Times New Roman" w:hAnsi="Aptos Narrow" w:cs="Times New Roman"/>
                <w:color w:val="000000"/>
                <w:kern w:val="0"/>
                <w:lang w:eastAsia="es-DO"/>
                <w14:ligatures w14:val="none"/>
              </w:rPr>
              <w:t xml:space="preserve">       734,069 </w:t>
            </w:r>
          </w:p>
        </w:tc>
        <w:tc>
          <w:tcPr>
            <w:tcW w:w="1460" w:type="dxa"/>
            <w:tcBorders>
              <w:top w:val="nil"/>
              <w:left w:val="nil"/>
              <w:bottom w:val="nil"/>
              <w:right w:val="nil"/>
            </w:tcBorders>
            <w:noWrap/>
            <w:vAlign w:val="bottom"/>
            <w:hideMark/>
          </w:tcPr>
          <w:p w14:paraId="5C2102EB" w14:textId="77777777" w:rsidR="00EA432F" w:rsidRPr="00EA432F" w:rsidRDefault="00EA432F" w:rsidP="00F36DDA">
            <w:pPr>
              <w:spacing w:after="0" w:line="240" w:lineRule="auto"/>
              <w:jc w:val="right"/>
              <w:rPr>
                <w:rFonts w:ascii="Aptos Narrow" w:eastAsia="Times New Roman" w:hAnsi="Aptos Narrow" w:cs="Times New Roman"/>
                <w:color w:val="000000"/>
                <w:kern w:val="0"/>
                <w:lang w:eastAsia="es-DO"/>
                <w14:ligatures w14:val="none"/>
              </w:rPr>
            </w:pPr>
            <w:r w:rsidRPr="00EA432F">
              <w:rPr>
                <w:rFonts w:ascii="Aptos Narrow" w:eastAsia="Times New Roman" w:hAnsi="Aptos Narrow" w:cs="Times New Roman"/>
                <w:color w:val="000000"/>
                <w:kern w:val="0"/>
                <w:lang w:eastAsia="es-DO"/>
                <w14:ligatures w14:val="none"/>
              </w:rPr>
              <w:t xml:space="preserve">       654,481 </w:t>
            </w:r>
          </w:p>
        </w:tc>
      </w:tr>
      <w:tr w:rsidR="00EA432F" w:rsidRPr="00EA432F" w14:paraId="682904C4" w14:textId="77777777" w:rsidTr="00F36DDA">
        <w:trPr>
          <w:trHeight w:val="290"/>
        </w:trPr>
        <w:tc>
          <w:tcPr>
            <w:tcW w:w="364" w:type="dxa"/>
            <w:tcBorders>
              <w:top w:val="nil"/>
              <w:left w:val="nil"/>
              <w:bottom w:val="nil"/>
              <w:right w:val="nil"/>
            </w:tcBorders>
            <w:noWrap/>
            <w:vAlign w:val="bottom"/>
            <w:hideMark/>
          </w:tcPr>
          <w:p w14:paraId="51D73862" w14:textId="77777777" w:rsidR="00EA432F" w:rsidRPr="00EA432F" w:rsidRDefault="00EA432F" w:rsidP="00EA432F">
            <w:pPr>
              <w:spacing w:after="0" w:line="240" w:lineRule="auto"/>
              <w:jc w:val="right"/>
              <w:rPr>
                <w:rFonts w:ascii="Aptos Narrow" w:eastAsia="Times New Roman" w:hAnsi="Aptos Narrow" w:cs="Times New Roman"/>
                <w:color w:val="000000"/>
                <w:kern w:val="0"/>
                <w:lang w:eastAsia="es-DO"/>
                <w14:ligatures w14:val="none"/>
              </w:rPr>
            </w:pPr>
            <w:r w:rsidRPr="00EA432F">
              <w:rPr>
                <w:rFonts w:ascii="Aptos Narrow" w:eastAsia="Times New Roman" w:hAnsi="Aptos Narrow" w:cs="Times New Roman"/>
                <w:color w:val="000000"/>
                <w:kern w:val="0"/>
                <w:lang w:eastAsia="es-DO"/>
                <w14:ligatures w14:val="none"/>
              </w:rPr>
              <w:t>2</w:t>
            </w:r>
          </w:p>
        </w:tc>
        <w:tc>
          <w:tcPr>
            <w:tcW w:w="2516" w:type="dxa"/>
            <w:tcBorders>
              <w:top w:val="nil"/>
              <w:left w:val="nil"/>
              <w:bottom w:val="nil"/>
              <w:right w:val="nil"/>
            </w:tcBorders>
            <w:noWrap/>
            <w:vAlign w:val="bottom"/>
            <w:hideMark/>
          </w:tcPr>
          <w:p w14:paraId="489AD8E6" w14:textId="77777777" w:rsidR="00EA432F" w:rsidRPr="00EA432F" w:rsidRDefault="00EA432F" w:rsidP="00EA432F">
            <w:pPr>
              <w:spacing w:after="0" w:line="240" w:lineRule="auto"/>
              <w:rPr>
                <w:rFonts w:ascii="Aptos Narrow" w:eastAsia="Times New Roman" w:hAnsi="Aptos Narrow" w:cs="Times New Roman"/>
                <w:color w:val="000000"/>
                <w:kern w:val="0"/>
                <w:lang w:eastAsia="es-DO"/>
                <w14:ligatures w14:val="none"/>
              </w:rPr>
            </w:pPr>
            <w:r w:rsidRPr="00EA432F">
              <w:rPr>
                <w:rFonts w:ascii="Aptos Narrow" w:eastAsia="Times New Roman" w:hAnsi="Aptos Narrow" w:cs="Times New Roman"/>
                <w:color w:val="000000"/>
                <w:kern w:val="0"/>
                <w:lang w:eastAsia="es-DO"/>
                <w14:ligatures w14:val="none"/>
              </w:rPr>
              <w:t>Albania</w:t>
            </w:r>
          </w:p>
        </w:tc>
        <w:tc>
          <w:tcPr>
            <w:tcW w:w="1440" w:type="dxa"/>
            <w:tcBorders>
              <w:top w:val="nil"/>
              <w:left w:val="nil"/>
              <w:bottom w:val="nil"/>
              <w:right w:val="nil"/>
            </w:tcBorders>
            <w:noWrap/>
            <w:vAlign w:val="bottom"/>
            <w:hideMark/>
          </w:tcPr>
          <w:p w14:paraId="777FCC76" w14:textId="77777777" w:rsidR="00EA432F" w:rsidRPr="00EA432F" w:rsidRDefault="00EA432F" w:rsidP="00F36DDA">
            <w:pPr>
              <w:spacing w:after="0" w:line="240" w:lineRule="auto"/>
              <w:jc w:val="right"/>
              <w:rPr>
                <w:rFonts w:ascii="Aptos Narrow" w:eastAsia="Times New Roman" w:hAnsi="Aptos Narrow" w:cs="Times New Roman"/>
                <w:color w:val="000000"/>
                <w:kern w:val="0"/>
                <w:lang w:eastAsia="es-DO"/>
                <w14:ligatures w14:val="none"/>
              </w:rPr>
            </w:pPr>
            <w:r w:rsidRPr="00EA432F">
              <w:rPr>
                <w:rFonts w:ascii="Aptos Narrow" w:eastAsia="Times New Roman" w:hAnsi="Aptos Narrow" w:cs="Times New Roman"/>
                <w:color w:val="000000"/>
                <w:kern w:val="0"/>
                <w:lang w:eastAsia="es-DO"/>
                <w14:ligatures w14:val="none"/>
              </w:rPr>
              <w:t xml:space="preserve">          44,915 </w:t>
            </w:r>
          </w:p>
        </w:tc>
        <w:tc>
          <w:tcPr>
            <w:tcW w:w="1490" w:type="dxa"/>
            <w:tcBorders>
              <w:top w:val="nil"/>
              <w:left w:val="nil"/>
              <w:bottom w:val="nil"/>
              <w:right w:val="nil"/>
            </w:tcBorders>
            <w:noWrap/>
            <w:vAlign w:val="bottom"/>
            <w:hideMark/>
          </w:tcPr>
          <w:p w14:paraId="7CD3D40F" w14:textId="77777777" w:rsidR="00EA432F" w:rsidRPr="00EA432F" w:rsidRDefault="00EA432F" w:rsidP="00F36DDA">
            <w:pPr>
              <w:spacing w:after="0" w:line="240" w:lineRule="auto"/>
              <w:jc w:val="right"/>
              <w:rPr>
                <w:rFonts w:ascii="Aptos Narrow" w:eastAsia="Times New Roman" w:hAnsi="Aptos Narrow" w:cs="Times New Roman"/>
                <w:color w:val="000000"/>
                <w:kern w:val="0"/>
                <w:lang w:eastAsia="es-DO"/>
                <w14:ligatures w14:val="none"/>
              </w:rPr>
            </w:pPr>
            <w:r w:rsidRPr="00EA432F">
              <w:rPr>
                <w:rFonts w:ascii="Aptos Narrow" w:eastAsia="Times New Roman" w:hAnsi="Aptos Narrow" w:cs="Times New Roman"/>
                <w:color w:val="000000"/>
                <w:kern w:val="0"/>
                <w:lang w:eastAsia="es-DO"/>
                <w14:ligatures w14:val="none"/>
              </w:rPr>
              <w:t xml:space="preserve">       139,473 </w:t>
            </w:r>
          </w:p>
        </w:tc>
        <w:tc>
          <w:tcPr>
            <w:tcW w:w="1450" w:type="dxa"/>
            <w:tcBorders>
              <w:top w:val="nil"/>
              <w:left w:val="nil"/>
              <w:bottom w:val="nil"/>
              <w:right w:val="nil"/>
            </w:tcBorders>
            <w:noWrap/>
            <w:vAlign w:val="bottom"/>
            <w:hideMark/>
          </w:tcPr>
          <w:p w14:paraId="657B33C4" w14:textId="77777777" w:rsidR="00EA432F" w:rsidRPr="00EA432F" w:rsidRDefault="00EA432F" w:rsidP="00F36DDA">
            <w:pPr>
              <w:spacing w:after="0" w:line="240" w:lineRule="auto"/>
              <w:jc w:val="right"/>
              <w:rPr>
                <w:rFonts w:ascii="Aptos Narrow" w:eastAsia="Times New Roman" w:hAnsi="Aptos Narrow" w:cs="Times New Roman"/>
                <w:color w:val="000000"/>
                <w:kern w:val="0"/>
                <w:lang w:eastAsia="es-DO"/>
                <w14:ligatures w14:val="none"/>
              </w:rPr>
            </w:pPr>
            <w:r w:rsidRPr="00EA432F">
              <w:rPr>
                <w:rFonts w:ascii="Aptos Narrow" w:eastAsia="Times New Roman" w:hAnsi="Aptos Narrow" w:cs="Times New Roman"/>
                <w:color w:val="000000"/>
                <w:kern w:val="0"/>
                <w:lang w:eastAsia="es-DO"/>
                <w14:ligatures w14:val="none"/>
              </w:rPr>
              <w:t xml:space="preserve">       223,162 </w:t>
            </w:r>
          </w:p>
        </w:tc>
        <w:tc>
          <w:tcPr>
            <w:tcW w:w="1410" w:type="dxa"/>
            <w:tcBorders>
              <w:top w:val="nil"/>
              <w:left w:val="nil"/>
              <w:bottom w:val="nil"/>
              <w:right w:val="nil"/>
            </w:tcBorders>
            <w:noWrap/>
            <w:vAlign w:val="bottom"/>
            <w:hideMark/>
          </w:tcPr>
          <w:p w14:paraId="427DCAD5" w14:textId="77777777" w:rsidR="00EA432F" w:rsidRPr="00EA432F" w:rsidRDefault="00EA432F" w:rsidP="00F36DDA">
            <w:pPr>
              <w:spacing w:after="0" w:line="240" w:lineRule="auto"/>
              <w:jc w:val="right"/>
              <w:rPr>
                <w:rFonts w:ascii="Aptos Narrow" w:eastAsia="Times New Roman" w:hAnsi="Aptos Narrow" w:cs="Times New Roman"/>
                <w:color w:val="000000"/>
                <w:kern w:val="0"/>
                <w:lang w:eastAsia="es-DO"/>
                <w14:ligatures w14:val="none"/>
              </w:rPr>
            </w:pPr>
            <w:r w:rsidRPr="00EA432F">
              <w:rPr>
                <w:rFonts w:ascii="Aptos Narrow" w:eastAsia="Times New Roman" w:hAnsi="Aptos Narrow" w:cs="Times New Roman"/>
                <w:color w:val="000000"/>
                <w:kern w:val="0"/>
                <w:lang w:eastAsia="es-DO"/>
                <w14:ligatures w14:val="none"/>
              </w:rPr>
              <w:t xml:space="preserve">          96,387 </w:t>
            </w:r>
          </w:p>
        </w:tc>
        <w:tc>
          <w:tcPr>
            <w:tcW w:w="1460" w:type="dxa"/>
            <w:tcBorders>
              <w:top w:val="nil"/>
              <w:left w:val="nil"/>
              <w:bottom w:val="nil"/>
              <w:right w:val="nil"/>
            </w:tcBorders>
            <w:noWrap/>
            <w:vAlign w:val="bottom"/>
            <w:hideMark/>
          </w:tcPr>
          <w:p w14:paraId="6EDB250B" w14:textId="77777777" w:rsidR="00EA432F" w:rsidRPr="00EA432F" w:rsidRDefault="00EA432F" w:rsidP="00F36DDA">
            <w:pPr>
              <w:spacing w:after="0" w:line="240" w:lineRule="auto"/>
              <w:jc w:val="right"/>
              <w:rPr>
                <w:rFonts w:ascii="Aptos Narrow" w:eastAsia="Times New Roman" w:hAnsi="Aptos Narrow" w:cs="Times New Roman"/>
                <w:color w:val="000000"/>
                <w:kern w:val="0"/>
                <w:lang w:eastAsia="es-DO"/>
                <w14:ligatures w14:val="none"/>
              </w:rPr>
            </w:pPr>
            <w:r w:rsidRPr="00EA432F">
              <w:rPr>
                <w:rFonts w:ascii="Aptos Narrow" w:eastAsia="Times New Roman" w:hAnsi="Aptos Narrow" w:cs="Times New Roman"/>
                <w:color w:val="000000"/>
                <w:kern w:val="0"/>
                <w:lang w:eastAsia="es-DO"/>
                <w14:ligatures w14:val="none"/>
              </w:rPr>
              <w:t xml:space="preserve">       216,918 </w:t>
            </w:r>
          </w:p>
        </w:tc>
      </w:tr>
      <w:tr w:rsidR="00EA432F" w:rsidRPr="00EA432F" w14:paraId="3AFB3E3B" w14:textId="77777777" w:rsidTr="00F36DDA">
        <w:trPr>
          <w:trHeight w:val="290"/>
        </w:trPr>
        <w:tc>
          <w:tcPr>
            <w:tcW w:w="364" w:type="dxa"/>
            <w:tcBorders>
              <w:top w:val="nil"/>
              <w:left w:val="nil"/>
              <w:bottom w:val="nil"/>
              <w:right w:val="nil"/>
            </w:tcBorders>
            <w:noWrap/>
            <w:vAlign w:val="bottom"/>
            <w:hideMark/>
          </w:tcPr>
          <w:p w14:paraId="08A8B118" w14:textId="77777777" w:rsidR="00EA432F" w:rsidRPr="00EA432F" w:rsidRDefault="00EA432F" w:rsidP="00EA432F">
            <w:pPr>
              <w:spacing w:after="0" w:line="240" w:lineRule="auto"/>
              <w:jc w:val="right"/>
              <w:rPr>
                <w:rFonts w:ascii="Aptos Narrow" w:eastAsia="Times New Roman" w:hAnsi="Aptos Narrow" w:cs="Times New Roman"/>
                <w:color w:val="000000"/>
                <w:kern w:val="0"/>
                <w:lang w:eastAsia="es-DO"/>
                <w14:ligatures w14:val="none"/>
              </w:rPr>
            </w:pPr>
            <w:r w:rsidRPr="00EA432F">
              <w:rPr>
                <w:rFonts w:ascii="Aptos Narrow" w:eastAsia="Times New Roman" w:hAnsi="Aptos Narrow" w:cs="Times New Roman"/>
                <w:color w:val="000000"/>
                <w:kern w:val="0"/>
                <w:lang w:eastAsia="es-DO"/>
                <w14:ligatures w14:val="none"/>
              </w:rPr>
              <w:t>3</w:t>
            </w:r>
          </w:p>
        </w:tc>
        <w:tc>
          <w:tcPr>
            <w:tcW w:w="2516" w:type="dxa"/>
            <w:tcBorders>
              <w:top w:val="nil"/>
              <w:left w:val="nil"/>
              <w:bottom w:val="nil"/>
              <w:right w:val="nil"/>
            </w:tcBorders>
            <w:noWrap/>
            <w:vAlign w:val="bottom"/>
            <w:hideMark/>
          </w:tcPr>
          <w:p w14:paraId="4A9E89AF" w14:textId="77777777" w:rsidR="00EA432F" w:rsidRPr="00EA432F" w:rsidRDefault="00EA432F" w:rsidP="00EA432F">
            <w:pPr>
              <w:spacing w:after="0" w:line="240" w:lineRule="auto"/>
              <w:rPr>
                <w:rFonts w:ascii="Aptos Narrow" w:eastAsia="Times New Roman" w:hAnsi="Aptos Narrow" w:cs="Times New Roman"/>
                <w:color w:val="000000"/>
                <w:kern w:val="0"/>
                <w:lang w:eastAsia="es-DO"/>
                <w14:ligatures w14:val="none"/>
              </w:rPr>
            </w:pPr>
            <w:r w:rsidRPr="00EA432F">
              <w:rPr>
                <w:rFonts w:ascii="Aptos Narrow" w:eastAsia="Times New Roman" w:hAnsi="Aptos Narrow" w:cs="Times New Roman"/>
                <w:color w:val="000000"/>
                <w:kern w:val="0"/>
                <w:lang w:eastAsia="es-DO"/>
                <w14:ligatures w14:val="none"/>
              </w:rPr>
              <w:t>Romania</w:t>
            </w:r>
          </w:p>
        </w:tc>
        <w:tc>
          <w:tcPr>
            <w:tcW w:w="1440" w:type="dxa"/>
            <w:tcBorders>
              <w:top w:val="nil"/>
              <w:left w:val="nil"/>
              <w:bottom w:val="nil"/>
              <w:right w:val="nil"/>
            </w:tcBorders>
            <w:noWrap/>
            <w:vAlign w:val="bottom"/>
            <w:hideMark/>
          </w:tcPr>
          <w:p w14:paraId="3F14DF9B" w14:textId="77777777" w:rsidR="00EA432F" w:rsidRPr="00EA432F" w:rsidRDefault="00EA432F" w:rsidP="00F36DDA">
            <w:pPr>
              <w:spacing w:after="0" w:line="240" w:lineRule="auto"/>
              <w:jc w:val="right"/>
              <w:rPr>
                <w:rFonts w:ascii="Aptos Narrow" w:eastAsia="Times New Roman" w:hAnsi="Aptos Narrow" w:cs="Times New Roman"/>
                <w:color w:val="000000"/>
                <w:kern w:val="0"/>
                <w:lang w:eastAsia="es-DO"/>
                <w14:ligatures w14:val="none"/>
              </w:rPr>
            </w:pPr>
            <w:r w:rsidRPr="00EA432F">
              <w:rPr>
                <w:rFonts w:ascii="Aptos Narrow" w:eastAsia="Times New Roman" w:hAnsi="Aptos Narrow" w:cs="Times New Roman"/>
                <w:color w:val="000000"/>
                <w:kern w:val="0"/>
                <w:lang w:eastAsia="es-DO"/>
                <w14:ligatures w14:val="none"/>
              </w:rPr>
              <w:t xml:space="preserve">          71,725 </w:t>
            </w:r>
          </w:p>
        </w:tc>
        <w:tc>
          <w:tcPr>
            <w:tcW w:w="1490" w:type="dxa"/>
            <w:tcBorders>
              <w:top w:val="nil"/>
              <w:left w:val="nil"/>
              <w:bottom w:val="nil"/>
              <w:right w:val="nil"/>
            </w:tcBorders>
            <w:noWrap/>
            <w:vAlign w:val="bottom"/>
            <w:hideMark/>
          </w:tcPr>
          <w:p w14:paraId="1ED31FC4" w14:textId="77777777" w:rsidR="00EA432F" w:rsidRPr="00EA432F" w:rsidRDefault="00EA432F" w:rsidP="00F36DDA">
            <w:pPr>
              <w:spacing w:after="0" w:line="240" w:lineRule="auto"/>
              <w:jc w:val="right"/>
              <w:rPr>
                <w:rFonts w:ascii="Aptos Narrow" w:eastAsia="Times New Roman" w:hAnsi="Aptos Narrow" w:cs="Times New Roman"/>
                <w:color w:val="000000"/>
                <w:kern w:val="0"/>
                <w:lang w:eastAsia="es-DO"/>
                <w14:ligatures w14:val="none"/>
              </w:rPr>
            </w:pPr>
            <w:r w:rsidRPr="00EA432F">
              <w:rPr>
                <w:rFonts w:ascii="Aptos Narrow" w:eastAsia="Times New Roman" w:hAnsi="Aptos Narrow" w:cs="Times New Roman"/>
                <w:color w:val="000000"/>
                <w:kern w:val="0"/>
                <w:lang w:eastAsia="es-DO"/>
                <w14:ligatures w14:val="none"/>
              </w:rPr>
              <w:t xml:space="preserve">       111,851 </w:t>
            </w:r>
          </w:p>
        </w:tc>
        <w:tc>
          <w:tcPr>
            <w:tcW w:w="1450" w:type="dxa"/>
            <w:tcBorders>
              <w:top w:val="nil"/>
              <w:left w:val="nil"/>
              <w:bottom w:val="nil"/>
              <w:right w:val="nil"/>
            </w:tcBorders>
            <w:noWrap/>
            <w:vAlign w:val="bottom"/>
            <w:hideMark/>
          </w:tcPr>
          <w:p w14:paraId="24766F9B" w14:textId="77777777" w:rsidR="00EA432F" w:rsidRPr="00EA432F" w:rsidRDefault="00EA432F" w:rsidP="00F36DDA">
            <w:pPr>
              <w:spacing w:after="0" w:line="240" w:lineRule="auto"/>
              <w:jc w:val="right"/>
              <w:rPr>
                <w:rFonts w:ascii="Aptos Narrow" w:eastAsia="Times New Roman" w:hAnsi="Aptos Narrow" w:cs="Times New Roman"/>
                <w:color w:val="000000"/>
                <w:kern w:val="0"/>
                <w:lang w:eastAsia="es-DO"/>
                <w14:ligatures w14:val="none"/>
              </w:rPr>
            </w:pPr>
            <w:r w:rsidRPr="00EA432F">
              <w:rPr>
                <w:rFonts w:ascii="Aptos Narrow" w:eastAsia="Times New Roman" w:hAnsi="Aptos Narrow" w:cs="Times New Roman"/>
                <w:color w:val="000000"/>
                <w:kern w:val="0"/>
                <w:lang w:eastAsia="es-DO"/>
                <w14:ligatures w14:val="none"/>
              </w:rPr>
              <w:t xml:space="preserve">       167,654 </w:t>
            </w:r>
          </w:p>
        </w:tc>
        <w:tc>
          <w:tcPr>
            <w:tcW w:w="1410" w:type="dxa"/>
            <w:tcBorders>
              <w:top w:val="nil"/>
              <w:left w:val="nil"/>
              <w:bottom w:val="nil"/>
              <w:right w:val="nil"/>
            </w:tcBorders>
            <w:noWrap/>
            <w:vAlign w:val="bottom"/>
            <w:hideMark/>
          </w:tcPr>
          <w:p w14:paraId="6EA45922" w14:textId="77777777" w:rsidR="00EA432F" w:rsidRPr="00EA432F" w:rsidRDefault="00EA432F" w:rsidP="00F36DDA">
            <w:pPr>
              <w:spacing w:after="0" w:line="240" w:lineRule="auto"/>
              <w:jc w:val="right"/>
              <w:rPr>
                <w:rFonts w:ascii="Aptos Narrow" w:eastAsia="Times New Roman" w:hAnsi="Aptos Narrow" w:cs="Times New Roman"/>
                <w:color w:val="000000"/>
                <w:kern w:val="0"/>
                <w:lang w:eastAsia="es-DO"/>
                <w14:ligatures w14:val="none"/>
              </w:rPr>
            </w:pPr>
            <w:r w:rsidRPr="00EA432F">
              <w:rPr>
                <w:rFonts w:ascii="Aptos Narrow" w:eastAsia="Times New Roman" w:hAnsi="Aptos Narrow" w:cs="Times New Roman"/>
                <w:color w:val="000000"/>
                <w:kern w:val="0"/>
                <w:lang w:eastAsia="es-DO"/>
                <w14:ligatures w14:val="none"/>
              </w:rPr>
              <w:t xml:space="preserve">       101,469 </w:t>
            </w:r>
          </w:p>
        </w:tc>
        <w:tc>
          <w:tcPr>
            <w:tcW w:w="1460" w:type="dxa"/>
            <w:tcBorders>
              <w:top w:val="nil"/>
              <w:left w:val="nil"/>
              <w:bottom w:val="nil"/>
              <w:right w:val="nil"/>
            </w:tcBorders>
            <w:noWrap/>
            <w:vAlign w:val="bottom"/>
            <w:hideMark/>
          </w:tcPr>
          <w:p w14:paraId="31FC66A9" w14:textId="77777777" w:rsidR="00EA432F" w:rsidRPr="00EA432F" w:rsidRDefault="00EA432F" w:rsidP="00F36DDA">
            <w:pPr>
              <w:spacing w:after="0" w:line="240" w:lineRule="auto"/>
              <w:jc w:val="right"/>
              <w:rPr>
                <w:rFonts w:ascii="Aptos Narrow" w:eastAsia="Times New Roman" w:hAnsi="Aptos Narrow" w:cs="Times New Roman"/>
                <w:color w:val="000000"/>
                <w:kern w:val="0"/>
                <w:lang w:eastAsia="es-DO"/>
                <w14:ligatures w14:val="none"/>
              </w:rPr>
            </w:pPr>
            <w:r w:rsidRPr="00EA432F">
              <w:rPr>
                <w:rFonts w:ascii="Aptos Narrow" w:eastAsia="Times New Roman" w:hAnsi="Aptos Narrow" w:cs="Times New Roman"/>
                <w:color w:val="000000"/>
                <w:kern w:val="0"/>
                <w:lang w:eastAsia="es-DO"/>
                <w14:ligatures w14:val="none"/>
              </w:rPr>
              <w:t xml:space="preserve">       209,453 </w:t>
            </w:r>
          </w:p>
        </w:tc>
      </w:tr>
      <w:tr w:rsidR="00EA432F" w:rsidRPr="00EA432F" w14:paraId="2A658D13" w14:textId="77777777" w:rsidTr="00F36DDA">
        <w:trPr>
          <w:trHeight w:val="290"/>
        </w:trPr>
        <w:tc>
          <w:tcPr>
            <w:tcW w:w="364" w:type="dxa"/>
            <w:tcBorders>
              <w:top w:val="nil"/>
              <w:left w:val="nil"/>
              <w:bottom w:val="nil"/>
              <w:right w:val="nil"/>
            </w:tcBorders>
            <w:noWrap/>
            <w:vAlign w:val="bottom"/>
            <w:hideMark/>
          </w:tcPr>
          <w:p w14:paraId="538F394B" w14:textId="77777777" w:rsidR="00EA432F" w:rsidRPr="00EA432F" w:rsidRDefault="00EA432F" w:rsidP="00EA432F">
            <w:pPr>
              <w:spacing w:after="0" w:line="240" w:lineRule="auto"/>
              <w:jc w:val="right"/>
              <w:rPr>
                <w:rFonts w:ascii="Aptos Narrow" w:eastAsia="Times New Roman" w:hAnsi="Aptos Narrow" w:cs="Times New Roman"/>
                <w:color w:val="000000"/>
                <w:kern w:val="0"/>
                <w:lang w:eastAsia="es-DO"/>
                <w14:ligatures w14:val="none"/>
              </w:rPr>
            </w:pPr>
            <w:r w:rsidRPr="00EA432F">
              <w:rPr>
                <w:rFonts w:ascii="Aptos Narrow" w:eastAsia="Times New Roman" w:hAnsi="Aptos Narrow" w:cs="Times New Roman"/>
                <w:color w:val="000000"/>
                <w:kern w:val="0"/>
                <w:lang w:eastAsia="es-DO"/>
                <w14:ligatures w14:val="none"/>
              </w:rPr>
              <w:t>4</w:t>
            </w:r>
          </w:p>
        </w:tc>
        <w:tc>
          <w:tcPr>
            <w:tcW w:w="2516" w:type="dxa"/>
            <w:tcBorders>
              <w:top w:val="nil"/>
              <w:left w:val="nil"/>
              <w:bottom w:val="nil"/>
              <w:right w:val="nil"/>
            </w:tcBorders>
            <w:noWrap/>
            <w:vAlign w:val="bottom"/>
            <w:hideMark/>
          </w:tcPr>
          <w:p w14:paraId="3895E69C" w14:textId="77777777" w:rsidR="00EA432F" w:rsidRPr="00EA432F" w:rsidRDefault="00EA432F" w:rsidP="00EA432F">
            <w:pPr>
              <w:spacing w:after="0" w:line="240" w:lineRule="auto"/>
              <w:rPr>
                <w:rFonts w:ascii="Aptos Narrow" w:eastAsia="Times New Roman" w:hAnsi="Aptos Narrow" w:cs="Times New Roman"/>
                <w:color w:val="000000"/>
                <w:kern w:val="0"/>
                <w:lang w:eastAsia="es-DO"/>
                <w14:ligatures w14:val="none"/>
              </w:rPr>
            </w:pPr>
            <w:r w:rsidRPr="00EA432F">
              <w:rPr>
                <w:rFonts w:ascii="Aptos Narrow" w:eastAsia="Times New Roman" w:hAnsi="Aptos Narrow" w:cs="Times New Roman"/>
                <w:color w:val="000000"/>
                <w:kern w:val="0"/>
                <w:lang w:eastAsia="es-DO"/>
                <w14:ligatures w14:val="none"/>
              </w:rPr>
              <w:t xml:space="preserve">Palestine, </w:t>
            </w:r>
            <w:proofErr w:type="spellStart"/>
            <w:r w:rsidRPr="00EA432F">
              <w:rPr>
                <w:rFonts w:ascii="Aptos Narrow" w:eastAsia="Times New Roman" w:hAnsi="Aptos Narrow" w:cs="Times New Roman"/>
                <w:color w:val="000000"/>
                <w:kern w:val="0"/>
                <w:lang w:eastAsia="es-DO"/>
                <w14:ligatures w14:val="none"/>
              </w:rPr>
              <w:t>State</w:t>
            </w:r>
            <w:proofErr w:type="spellEnd"/>
            <w:r w:rsidRPr="00EA432F">
              <w:rPr>
                <w:rFonts w:ascii="Aptos Narrow" w:eastAsia="Times New Roman" w:hAnsi="Aptos Narrow" w:cs="Times New Roman"/>
                <w:color w:val="000000"/>
                <w:kern w:val="0"/>
                <w:lang w:eastAsia="es-DO"/>
                <w14:ligatures w14:val="none"/>
              </w:rPr>
              <w:t xml:space="preserve"> of</w:t>
            </w:r>
          </w:p>
        </w:tc>
        <w:tc>
          <w:tcPr>
            <w:tcW w:w="1440" w:type="dxa"/>
            <w:tcBorders>
              <w:top w:val="nil"/>
              <w:left w:val="nil"/>
              <w:bottom w:val="nil"/>
              <w:right w:val="nil"/>
            </w:tcBorders>
            <w:noWrap/>
            <w:vAlign w:val="bottom"/>
            <w:hideMark/>
          </w:tcPr>
          <w:p w14:paraId="69BCCBE1" w14:textId="77777777" w:rsidR="00EA432F" w:rsidRPr="00EA432F" w:rsidRDefault="00EA432F" w:rsidP="00F36DDA">
            <w:pPr>
              <w:spacing w:after="0" w:line="240" w:lineRule="auto"/>
              <w:jc w:val="right"/>
              <w:rPr>
                <w:rFonts w:ascii="Aptos Narrow" w:eastAsia="Times New Roman" w:hAnsi="Aptos Narrow" w:cs="Times New Roman"/>
                <w:color w:val="000000"/>
                <w:kern w:val="0"/>
                <w:lang w:eastAsia="es-DO"/>
                <w14:ligatures w14:val="none"/>
              </w:rPr>
            </w:pPr>
          </w:p>
        </w:tc>
        <w:tc>
          <w:tcPr>
            <w:tcW w:w="1490" w:type="dxa"/>
            <w:tcBorders>
              <w:top w:val="nil"/>
              <w:left w:val="nil"/>
              <w:bottom w:val="nil"/>
              <w:right w:val="nil"/>
            </w:tcBorders>
            <w:noWrap/>
            <w:vAlign w:val="bottom"/>
            <w:hideMark/>
          </w:tcPr>
          <w:p w14:paraId="0AE67572" w14:textId="77777777" w:rsidR="00EA432F" w:rsidRPr="00EA432F" w:rsidRDefault="00EA432F" w:rsidP="00F36DDA">
            <w:pPr>
              <w:spacing w:after="0" w:line="240" w:lineRule="auto"/>
              <w:jc w:val="right"/>
              <w:rPr>
                <w:rFonts w:ascii="Times New Roman" w:eastAsia="Times New Roman" w:hAnsi="Times New Roman" w:cs="Times New Roman"/>
                <w:kern w:val="0"/>
                <w:sz w:val="20"/>
                <w:szCs w:val="20"/>
                <w:lang w:eastAsia="es-DO"/>
                <w14:ligatures w14:val="none"/>
              </w:rPr>
            </w:pPr>
          </w:p>
        </w:tc>
        <w:tc>
          <w:tcPr>
            <w:tcW w:w="1450" w:type="dxa"/>
            <w:tcBorders>
              <w:top w:val="nil"/>
              <w:left w:val="nil"/>
              <w:bottom w:val="nil"/>
              <w:right w:val="nil"/>
            </w:tcBorders>
            <w:noWrap/>
            <w:vAlign w:val="bottom"/>
            <w:hideMark/>
          </w:tcPr>
          <w:p w14:paraId="46344FCF" w14:textId="77777777" w:rsidR="00EA432F" w:rsidRPr="00EA432F" w:rsidRDefault="00EA432F" w:rsidP="00F36DDA">
            <w:pPr>
              <w:spacing w:after="0" w:line="240" w:lineRule="auto"/>
              <w:jc w:val="right"/>
              <w:rPr>
                <w:rFonts w:ascii="Times New Roman" w:eastAsia="Times New Roman" w:hAnsi="Times New Roman" w:cs="Times New Roman"/>
                <w:kern w:val="0"/>
                <w:sz w:val="20"/>
                <w:szCs w:val="20"/>
                <w:lang w:eastAsia="es-DO"/>
                <w14:ligatures w14:val="none"/>
              </w:rPr>
            </w:pPr>
          </w:p>
        </w:tc>
        <w:tc>
          <w:tcPr>
            <w:tcW w:w="1410" w:type="dxa"/>
            <w:tcBorders>
              <w:top w:val="nil"/>
              <w:left w:val="nil"/>
              <w:bottom w:val="nil"/>
              <w:right w:val="nil"/>
            </w:tcBorders>
            <w:noWrap/>
            <w:vAlign w:val="bottom"/>
            <w:hideMark/>
          </w:tcPr>
          <w:p w14:paraId="5FE69748" w14:textId="77777777" w:rsidR="00EA432F" w:rsidRPr="00EA432F" w:rsidRDefault="00EA432F" w:rsidP="00F36DDA">
            <w:pPr>
              <w:spacing w:after="0" w:line="240" w:lineRule="auto"/>
              <w:jc w:val="right"/>
              <w:rPr>
                <w:rFonts w:ascii="Times New Roman" w:eastAsia="Times New Roman" w:hAnsi="Times New Roman" w:cs="Times New Roman"/>
                <w:kern w:val="0"/>
                <w:sz w:val="20"/>
                <w:szCs w:val="20"/>
                <w:lang w:eastAsia="es-DO"/>
                <w14:ligatures w14:val="none"/>
              </w:rPr>
            </w:pPr>
          </w:p>
        </w:tc>
        <w:tc>
          <w:tcPr>
            <w:tcW w:w="1460" w:type="dxa"/>
            <w:tcBorders>
              <w:top w:val="nil"/>
              <w:left w:val="nil"/>
              <w:bottom w:val="nil"/>
              <w:right w:val="nil"/>
            </w:tcBorders>
            <w:noWrap/>
            <w:vAlign w:val="bottom"/>
            <w:hideMark/>
          </w:tcPr>
          <w:p w14:paraId="2C469241" w14:textId="77777777" w:rsidR="00EA432F" w:rsidRPr="00EA432F" w:rsidRDefault="00EA432F" w:rsidP="00F36DDA">
            <w:pPr>
              <w:spacing w:after="0" w:line="240" w:lineRule="auto"/>
              <w:jc w:val="right"/>
              <w:rPr>
                <w:rFonts w:ascii="Aptos Narrow" w:eastAsia="Times New Roman" w:hAnsi="Aptos Narrow" w:cs="Times New Roman"/>
                <w:color w:val="000000"/>
                <w:kern w:val="0"/>
                <w:lang w:eastAsia="es-DO"/>
                <w14:ligatures w14:val="none"/>
              </w:rPr>
            </w:pPr>
            <w:r w:rsidRPr="00EA432F">
              <w:rPr>
                <w:rFonts w:ascii="Aptos Narrow" w:eastAsia="Times New Roman" w:hAnsi="Aptos Narrow" w:cs="Times New Roman"/>
                <w:color w:val="000000"/>
                <w:kern w:val="0"/>
                <w:lang w:eastAsia="es-DO"/>
                <w14:ligatures w14:val="none"/>
              </w:rPr>
              <w:t xml:space="preserve">       166,115 </w:t>
            </w:r>
          </w:p>
        </w:tc>
      </w:tr>
      <w:tr w:rsidR="00EA432F" w:rsidRPr="00EA432F" w14:paraId="22CF055F" w14:textId="77777777" w:rsidTr="00F36DDA">
        <w:trPr>
          <w:trHeight w:val="290"/>
        </w:trPr>
        <w:tc>
          <w:tcPr>
            <w:tcW w:w="364" w:type="dxa"/>
            <w:tcBorders>
              <w:top w:val="nil"/>
              <w:left w:val="nil"/>
              <w:bottom w:val="nil"/>
              <w:right w:val="nil"/>
            </w:tcBorders>
            <w:noWrap/>
            <w:vAlign w:val="bottom"/>
            <w:hideMark/>
          </w:tcPr>
          <w:p w14:paraId="14E1D3FE" w14:textId="77777777" w:rsidR="00EA432F" w:rsidRPr="00EA432F" w:rsidRDefault="00EA432F" w:rsidP="00EA432F">
            <w:pPr>
              <w:spacing w:after="0" w:line="240" w:lineRule="auto"/>
              <w:jc w:val="right"/>
              <w:rPr>
                <w:rFonts w:ascii="Aptos Narrow" w:eastAsia="Times New Roman" w:hAnsi="Aptos Narrow" w:cs="Times New Roman"/>
                <w:color w:val="000000"/>
                <w:kern w:val="0"/>
                <w:lang w:eastAsia="es-DO"/>
                <w14:ligatures w14:val="none"/>
              </w:rPr>
            </w:pPr>
            <w:r w:rsidRPr="00EA432F">
              <w:rPr>
                <w:rFonts w:ascii="Aptos Narrow" w:eastAsia="Times New Roman" w:hAnsi="Aptos Narrow" w:cs="Times New Roman"/>
                <w:color w:val="000000"/>
                <w:kern w:val="0"/>
                <w:lang w:eastAsia="es-DO"/>
                <w14:ligatures w14:val="none"/>
              </w:rPr>
              <w:t>5</w:t>
            </w:r>
          </w:p>
        </w:tc>
        <w:tc>
          <w:tcPr>
            <w:tcW w:w="2516" w:type="dxa"/>
            <w:tcBorders>
              <w:top w:val="nil"/>
              <w:left w:val="nil"/>
              <w:bottom w:val="nil"/>
              <w:right w:val="nil"/>
            </w:tcBorders>
            <w:noWrap/>
            <w:vAlign w:val="bottom"/>
            <w:hideMark/>
          </w:tcPr>
          <w:p w14:paraId="368E72B1" w14:textId="77777777" w:rsidR="00EA432F" w:rsidRPr="00EA432F" w:rsidRDefault="00EA432F" w:rsidP="00EA432F">
            <w:pPr>
              <w:spacing w:after="0" w:line="240" w:lineRule="auto"/>
              <w:rPr>
                <w:rFonts w:ascii="Aptos Narrow" w:eastAsia="Times New Roman" w:hAnsi="Aptos Narrow" w:cs="Times New Roman"/>
                <w:color w:val="000000"/>
                <w:kern w:val="0"/>
                <w:lang w:eastAsia="es-DO"/>
                <w14:ligatures w14:val="none"/>
              </w:rPr>
            </w:pPr>
            <w:proofErr w:type="spellStart"/>
            <w:r w:rsidRPr="00EA432F">
              <w:rPr>
                <w:rFonts w:ascii="Aptos Narrow" w:eastAsia="Times New Roman" w:hAnsi="Aptos Narrow" w:cs="Times New Roman"/>
                <w:color w:val="000000"/>
                <w:kern w:val="0"/>
                <w:lang w:eastAsia="es-DO"/>
                <w14:ligatures w14:val="none"/>
              </w:rPr>
              <w:t>Cyprus</w:t>
            </w:r>
            <w:proofErr w:type="spellEnd"/>
          </w:p>
        </w:tc>
        <w:tc>
          <w:tcPr>
            <w:tcW w:w="1440" w:type="dxa"/>
            <w:tcBorders>
              <w:top w:val="nil"/>
              <w:left w:val="nil"/>
              <w:bottom w:val="nil"/>
              <w:right w:val="nil"/>
            </w:tcBorders>
            <w:noWrap/>
            <w:vAlign w:val="bottom"/>
            <w:hideMark/>
          </w:tcPr>
          <w:p w14:paraId="11D2CBB7" w14:textId="77777777" w:rsidR="00EA432F" w:rsidRPr="00EA432F" w:rsidRDefault="00EA432F" w:rsidP="00F36DDA">
            <w:pPr>
              <w:spacing w:after="0" w:line="240" w:lineRule="auto"/>
              <w:jc w:val="right"/>
              <w:rPr>
                <w:rFonts w:ascii="Aptos Narrow" w:eastAsia="Times New Roman" w:hAnsi="Aptos Narrow" w:cs="Times New Roman"/>
                <w:color w:val="000000"/>
                <w:kern w:val="0"/>
                <w:lang w:eastAsia="es-DO"/>
                <w14:ligatures w14:val="none"/>
              </w:rPr>
            </w:pPr>
            <w:r w:rsidRPr="00EA432F">
              <w:rPr>
                <w:rFonts w:ascii="Aptos Narrow" w:eastAsia="Times New Roman" w:hAnsi="Aptos Narrow" w:cs="Times New Roman"/>
                <w:color w:val="000000"/>
                <w:kern w:val="0"/>
                <w:lang w:eastAsia="es-DO"/>
                <w14:ligatures w14:val="none"/>
              </w:rPr>
              <w:t xml:space="preserve">          67,534 </w:t>
            </w:r>
          </w:p>
        </w:tc>
        <w:tc>
          <w:tcPr>
            <w:tcW w:w="1490" w:type="dxa"/>
            <w:tcBorders>
              <w:top w:val="nil"/>
              <w:left w:val="nil"/>
              <w:bottom w:val="nil"/>
              <w:right w:val="nil"/>
            </w:tcBorders>
            <w:noWrap/>
            <w:vAlign w:val="bottom"/>
            <w:hideMark/>
          </w:tcPr>
          <w:p w14:paraId="5EDDF608" w14:textId="77777777" w:rsidR="00EA432F" w:rsidRPr="00EA432F" w:rsidRDefault="00EA432F" w:rsidP="00F36DDA">
            <w:pPr>
              <w:spacing w:after="0" w:line="240" w:lineRule="auto"/>
              <w:jc w:val="right"/>
              <w:rPr>
                <w:rFonts w:ascii="Aptos Narrow" w:eastAsia="Times New Roman" w:hAnsi="Aptos Narrow" w:cs="Times New Roman"/>
                <w:color w:val="000000"/>
                <w:kern w:val="0"/>
                <w:lang w:eastAsia="es-DO"/>
                <w14:ligatures w14:val="none"/>
              </w:rPr>
            </w:pPr>
            <w:r w:rsidRPr="00EA432F">
              <w:rPr>
                <w:rFonts w:ascii="Aptos Narrow" w:eastAsia="Times New Roman" w:hAnsi="Aptos Narrow" w:cs="Times New Roman"/>
                <w:color w:val="000000"/>
                <w:kern w:val="0"/>
                <w:lang w:eastAsia="es-DO"/>
                <w14:ligatures w14:val="none"/>
              </w:rPr>
              <w:t xml:space="preserve">          74,780 </w:t>
            </w:r>
          </w:p>
        </w:tc>
        <w:tc>
          <w:tcPr>
            <w:tcW w:w="1450" w:type="dxa"/>
            <w:tcBorders>
              <w:top w:val="nil"/>
              <w:left w:val="nil"/>
              <w:bottom w:val="nil"/>
              <w:right w:val="nil"/>
            </w:tcBorders>
            <w:noWrap/>
            <w:vAlign w:val="bottom"/>
            <w:hideMark/>
          </w:tcPr>
          <w:p w14:paraId="043486D9" w14:textId="77777777" w:rsidR="00EA432F" w:rsidRPr="00EA432F" w:rsidRDefault="00EA432F" w:rsidP="00F36DDA">
            <w:pPr>
              <w:spacing w:after="0" w:line="240" w:lineRule="auto"/>
              <w:jc w:val="right"/>
              <w:rPr>
                <w:rFonts w:ascii="Aptos Narrow" w:eastAsia="Times New Roman" w:hAnsi="Aptos Narrow" w:cs="Times New Roman"/>
                <w:color w:val="000000"/>
                <w:kern w:val="0"/>
                <w:lang w:eastAsia="es-DO"/>
                <w14:ligatures w14:val="none"/>
              </w:rPr>
            </w:pPr>
            <w:r w:rsidRPr="00EA432F">
              <w:rPr>
                <w:rFonts w:ascii="Aptos Narrow" w:eastAsia="Times New Roman" w:hAnsi="Aptos Narrow" w:cs="Times New Roman"/>
                <w:color w:val="000000"/>
                <w:kern w:val="0"/>
                <w:lang w:eastAsia="es-DO"/>
                <w14:ligatures w14:val="none"/>
              </w:rPr>
              <w:t xml:space="preserve">          97,167 </w:t>
            </w:r>
          </w:p>
        </w:tc>
        <w:tc>
          <w:tcPr>
            <w:tcW w:w="1410" w:type="dxa"/>
            <w:tcBorders>
              <w:top w:val="nil"/>
              <w:left w:val="nil"/>
              <w:bottom w:val="nil"/>
              <w:right w:val="nil"/>
            </w:tcBorders>
            <w:noWrap/>
            <w:vAlign w:val="bottom"/>
            <w:hideMark/>
          </w:tcPr>
          <w:p w14:paraId="6E25E28F" w14:textId="77777777" w:rsidR="00EA432F" w:rsidRPr="00EA432F" w:rsidRDefault="00EA432F" w:rsidP="00F36DDA">
            <w:pPr>
              <w:spacing w:after="0" w:line="240" w:lineRule="auto"/>
              <w:jc w:val="right"/>
              <w:rPr>
                <w:rFonts w:ascii="Aptos Narrow" w:eastAsia="Times New Roman" w:hAnsi="Aptos Narrow" w:cs="Times New Roman"/>
                <w:color w:val="000000"/>
                <w:kern w:val="0"/>
                <w:lang w:eastAsia="es-DO"/>
                <w14:ligatures w14:val="none"/>
              </w:rPr>
            </w:pPr>
            <w:r w:rsidRPr="00EA432F">
              <w:rPr>
                <w:rFonts w:ascii="Aptos Narrow" w:eastAsia="Times New Roman" w:hAnsi="Aptos Narrow" w:cs="Times New Roman"/>
                <w:color w:val="000000"/>
                <w:kern w:val="0"/>
                <w:lang w:eastAsia="es-DO"/>
                <w14:ligatures w14:val="none"/>
              </w:rPr>
              <w:t xml:space="preserve">       132,530 </w:t>
            </w:r>
          </w:p>
        </w:tc>
        <w:tc>
          <w:tcPr>
            <w:tcW w:w="1460" w:type="dxa"/>
            <w:tcBorders>
              <w:top w:val="nil"/>
              <w:left w:val="nil"/>
              <w:bottom w:val="nil"/>
              <w:right w:val="nil"/>
            </w:tcBorders>
            <w:noWrap/>
            <w:vAlign w:val="bottom"/>
            <w:hideMark/>
          </w:tcPr>
          <w:p w14:paraId="3E717CD6" w14:textId="77777777" w:rsidR="00EA432F" w:rsidRPr="00EA432F" w:rsidRDefault="00EA432F" w:rsidP="00F36DDA">
            <w:pPr>
              <w:spacing w:after="0" w:line="240" w:lineRule="auto"/>
              <w:jc w:val="right"/>
              <w:rPr>
                <w:rFonts w:ascii="Aptos Narrow" w:eastAsia="Times New Roman" w:hAnsi="Aptos Narrow" w:cs="Times New Roman"/>
                <w:color w:val="000000"/>
                <w:kern w:val="0"/>
                <w:lang w:eastAsia="es-DO"/>
                <w14:ligatures w14:val="none"/>
              </w:rPr>
            </w:pPr>
            <w:r w:rsidRPr="00EA432F">
              <w:rPr>
                <w:rFonts w:ascii="Aptos Narrow" w:eastAsia="Times New Roman" w:hAnsi="Aptos Narrow" w:cs="Times New Roman"/>
                <w:color w:val="000000"/>
                <w:kern w:val="0"/>
                <w:lang w:eastAsia="es-DO"/>
                <w14:ligatures w14:val="none"/>
              </w:rPr>
              <w:t xml:space="preserve">       154,162 </w:t>
            </w:r>
          </w:p>
        </w:tc>
      </w:tr>
      <w:tr w:rsidR="00EA432F" w:rsidRPr="00EA432F" w14:paraId="5C129ED6" w14:textId="77777777" w:rsidTr="00F36DDA">
        <w:trPr>
          <w:trHeight w:val="290"/>
        </w:trPr>
        <w:tc>
          <w:tcPr>
            <w:tcW w:w="364" w:type="dxa"/>
            <w:tcBorders>
              <w:top w:val="nil"/>
              <w:left w:val="nil"/>
              <w:bottom w:val="nil"/>
              <w:right w:val="nil"/>
            </w:tcBorders>
            <w:noWrap/>
            <w:vAlign w:val="bottom"/>
            <w:hideMark/>
          </w:tcPr>
          <w:p w14:paraId="7B0DC900" w14:textId="77777777" w:rsidR="00EA432F" w:rsidRPr="00EA432F" w:rsidRDefault="00EA432F" w:rsidP="00EA432F">
            <w:pPr>
              <w:spacing w:after="0" w:line="240" w:lineRule="auto"/>
              <w:jc w:val="right"/>
              <w:rPr>
                <w:rFonts w:ascii="Aptos Narrow" w:eastAsia="Times New Roman" w:hAnsi="Aptos Narrow" w:cs="Times New Roman"/>
                <w:color w:val="000000"/>
                <w:kern w:val="0"/>
                <w:lang w:eastAsia="es-DO"/>
                <w14:ligatures w14:val="none"/>
              </w:rPr>
            </w:pPr>
            <w:r w:rsidRPr="00EA432F">
              <w:rPr>
                <w:rFonts w:ascii="Aptos Narrow" w:eastAsia="Times New Roman" w:hAnsi="Aptos Narrow" w:cs="Times New Roman"/>
                <w:color w:val="000000"/>
                <w:kern w:val="0"/>
                <w:lang w:eastAsia="es-DO"/>
                <w14:ligatures w14:val="none"/>
              </w:rPr>
              <w:t>6</w:t>
            </w:r>
          </w:p>
        </w:tc>
        <w:tc>
          <w:tcPr>
            <w:tcW w:w="2516" w:type="dxa"/>
            <w:tcBorders>
              <w:top w:val="nil"/>
              <w:left w:val="nil"/>
              <w:bottom w:val="nil"/>
              <w:right w:val="nil"/>
            </w:tcBorders>
            <w:noWrap/>
            <w:vAlign w:val="bottom"/>
            <w:hideMark/>
          </w:tcPr>
          <w:p w14:paraId="5AE50DBE" w14:textId="77777777" w:rsidR="00EA432F" w:rsidRPr="00EA432F" w:rsidRDefault="00EA432F" w:rsidP="00EA432F">
            <w:pPr>
              <w:spacing w:after="0" w:line="240" w:lineRule="auto"/>
              <w:rPr>
                <w:rFonts w:ascii="Aptos Narrow" w:eastAsia="Times New Roman" w:hAnsi="Aptos Narrow" w:cs="Times New Roman"/>
                <w:color w:val="000000"/>
                <w:kern w:val="0"/>
                <w:lang w:eastAsia="es-DO"/>
                <w14:ligatures w14:val="none"/>
              </w:rPr>
            </w:pPr>
            <w:r w:rsidRPr="00EA432F">
              <w:rPr>
                <w:rFonts w:ascii="Aptos Narrow" w:eastAsia="Times New Roman" w:hAnsi="Aptos Narrow" w:cs="Times New Roman"/>
                <w:color w:val="000000"/>
                <w:kern w:val="0"/>
                <w:lang w:eastAsia="es-DO"/>
                <w14:ligatures w14:val="none"/>
              </w:rPr>
              <w:t>Serbia</w:t>
            </w:r>
          </w:p>
        </w:tc>
        <w:tc>
          <w:tcPr>
            <w:tcW w:w="1440" w:type="dxa"/>
            <w:tcBorders>
              <w:top w:val="nil"/>
              <w:left w:val="nil"/>
              <w:bottom w:val="nil"/>
              <w:right w:val="nil"/>
            </w:tcBorders>
            <w:noWrap/>
            <w:vAlign w:val="bottom"/>
            <w:hideMark/>
          </w:tcPr>
          <w:p w14:paraId="204D1EE6" w14:textId="77777777" w:rsidR="00EA432F" w:rsidRPr="00EA432F" w:rsidRDefault="00EA432F" w:rsidP="00F36DDA">
            <w:pPr>
              <w:spacing w:after="0" w:line="240" w:lineRule="auto"/>
              <w:jc w:val="right"/>
              <w:rPr>
                <w:rFonts w:ascii="Aptos Narrow" w:eastAsia="Times New Roman" w:hAnsi="Aptos Narrow" w:cs="Times New Roman"/>
                <w:color w:val="000000"/>
                <w:kern w:val="0"/>
                <w:lang w:eastAsia="es-DO"/>
                <w14:ligatures w14:val="none"/>
              </w:rPr>
            </w:pPr>
            <w:r w:rsidRPr="00EA432F">
              <w:rPr>
                <w:rFonts w:ascii="Aptos Narrow" w:eastAsia="Times New Roman" w:hAnsi="Aptos Narrow" w:cs="Times New Roman"/>
                <w:color w:val="000000"/>
                <w:kern w:val="0"/>
                <w:lang w:eastAsia="es-DO"/>
                <w14:ligatures w14:val="none"/>
              </w:rPr>
              <w:t xml:space="preserve">          30,442 </w:t>
            </w:r>
          </w:p>
        </w:tc>
        <w:tc>
          <w:tcPr>
            <w:tcW w:w="1490" w:type="dxa"/>
            <w:tcBorders>
              <w:top w:val="nil"/>
              <w:left w:val="nil"/>
              <w:bottom w:val="nil"/>
              <w:right w:val="nil"/>
            </w:tcBorders>
            <w:noWrap/>
            <w:vAlign w:val="bottom"/>
            <w:hideMark/>
          </w:tcPr>
          <w:p w14:paraId="49A70E1C" w14:textId="77777777" w:rsidR="00EA432F" w:rsidRPr="00EA432F" w:rsidRDefault="00EA432F" w:rsidP="00F36DDA">
            <w:pPr>
              <w:spacing w:after="0" w:line="240" w:lineRule="auto"/>
              <w:jc w:val="right"/>
              <w:rPr>
                <w:rFonts w:ascii="Aptos Narrow" w:eastAsia="Times New Roman" w:hAnsi="Aptos Narrow" w:cs="Times New Roman"/>
                <w:color w:val="000000"/>
                <w:kern w:val="0"/>
                <w:lang w:eastAsia="es-DO"/>
                <w14:ligatures w14:val="none"/>
              </w:rPr>
            </w:pPr>
            <w:r w:rsidRPr="00EA432F">
              <w:rPr>
                <w:rFonts w:ascii="Aptos Narrow" w:eastAsia="Times New Roman" w:hAnsi="Aptos Narrow" w:cs="Times New Roman"/>
                <w:color w:val="000000"/>
                <w:kern w:val="0"/>
                <w:lang w:eastAsia="es-DO"/>
                <w14:ligatures w14:val="none"/>
              </w:rPr>
              <w:t xml:space="preserve">          37,070 </w:t>
            </w:r>
          </w:p>
        </w:tc>
        <w:tc>
          <w:tcPr>
            <w:tcW w:w="1450" w:type="dxa"/>
            <w:tcBorders>
              <w:top w:val="nil"/>
              <w:left w:val="nil"/>
              <w:bottom w:val="nil"/>
              <w:right w:val="nil"/>
            </w:tcBorders>
            <w:noWrap/>
            <w:vAlign w:val="bottom"/>
            <w:hideMark/>
          </w:tcPr>
          <w:p w14:paraId="28D516A0" w14:textId="77777777" w:rsidR="00EA432F" w:rsidRPr="00EA432F" w:rsidRDefault="00EA432F" w:rsidP="00F36DDA">
            <w:pPr>
              <w:spacing w:after="0" w:line="240" w:lineRule="auto"/>
              <w:jc w:val="right"/>
              <w:rPr>
                <w:rFonts w:ascii="Aptos Narrow" w:eastAsia="Times New Roman" w:hAnsi="Aptos Narrow" w:cs="Times New Roman"/>
                <w:color w:val="000000"/>
                <w:kern w:val="0"/>
                <w:lang w:eastAsia="es-DO"/>
                <w14:ligatures w14:val="none"/>
              </w:rPr>
            </w:pPr>
            <w:r w:rsidRPr="00EA432F">
              <w:rPr>
                <w:rFonts w:ascii="Aptos Narrow" w:eastAsia="Times New Roman" w:hAnsi="Aptos Narrow" w:cs="Times New Roman"/>
                <w:color w:val="000000"/>
                <w:kern w:val="0"/>
                <w:lang w:eastAsia="es-DO"/>
                <w14:ligatures w14:val="none"/>
              </w:rPr>
              <w:t xml:space="preserve">          58,589 </w:t>
            </w:r>
          </w:p>
        </w:tc>
        <w:tc>
          <w:tcPr>
            <w:tcW w:w="1410" w:type="dxa"/>
            <w:tcBorders>
              <w:top w:val="nil"/>
              <w:left w:val="nil"/>
              <w:bottom w:val="nil"/>
              <w:right w:val="nil"/>
            </w:tcBorders>
            <w:noWrap/>
            <w:vAlign w:val="bottom"/>
            <w:hideMark/>
          </w:tcPr>
          <w:p w14:paraId="11D1B26C" w14:textId="77777777" w:rsidR="00EA432F" w:rsidRPr="00EA432F" w:rsidRDefault="00EA432F" w:rsidP="00F36DDA">
            <w:pPr>
              <w:spacing w:after="0" w:line="240" w:lineRule="auto"/>
              <w:jc w:val="right"/>
              <w:rPr>
                <w:rFonts w:ascii="Aptos Narrow" w:eastAsia="Times New Roman" w:hAnsi="Aptos Narrow" w:cs="Times New Roman"/>
                <w:color w:val="000000"/>
                <w:kern w:val="0"/>
                <w:lang w:eastAsia="es-DO"/>
                <w14:ligatures w14:val="none"/>
              </w:rPr>
            </w:pPr>
            <w:r w:rsidRPr="00EA432F">
              <w:rPr>
                <w:rFonts w:ascii="Aptos Narrow" w:eastAsia="Times New Roman" w:hAnsi="Aptos Narrow" w:cs="Times New Roman"/>
                <w:color w:val="000000"/>
                <w:kern w:val="0"/>
                <w:lang w:eastAsia="es-DO"/>
                <w14:ligatures w14:val="none"/>
              </w:rPr>
              <w:t xml:space="preserve">          55,685 </w:t>
            </w:r>
          </w:p>
        </w:tc>
        <w:tc>
          <w:tcPr>
            <w:tcW w:w="1460" w:type="dxa"/>
            <w:tcBorders>
              <w:top w:val="nil"/>
              <w:left w:val="nil"/>
              <w:bottom w:val="nil"/>
              <w:right w:val="nil"/>
            </w:tcBorders>
            <w:noWrap/>
            <w:vAlign w:val="bottom"/>
            <w:hideMark/>
          </w:tcPr>
          <w:p w14:paraId="34B698D9" w14:textId="77777777" w:rsidR="00EA432F" w:rsidRPr="00EA432F" w:rsidRDefault="00EA432F" w:rsidP="00F36DDA">
            <w:pPr>
              <w:spacing w:after="0" w:line="240" w:lineRule="auto"/>
              <w:jc w:val="right"/>
              <w:rPr>
                <w:rFonts w:ascii="Aptos Narrow" w:eastAsia="Times New Roman" w:hAnsi="Aptos Narrow" w:cs="Times New Roman"/>
                <w:color w:val="000000"/>
                <w:kern w:val="0"/>
                <w:lang w:eastAsia="es-DO"/>
                <w14:ligatures w14:val="none"/>
              </w:rPr>
            </w:pPr>
            <w:r w:rsidRPr="00EA432F">
              <w:rPr>
                <w:rFonts w:ascii="Aptos Narrow" w:eastAsia="Times New Roman" w:hAnsi="Aptos Narrow" w:cs="Times New Roman"/>
                <w:color w:val="000000"/>
                <w:kern w:val="0"/>
                <w:lang w:eastAsia="es-DO"/>
                <w14:ligatures w14:val="none"/>
              </w:rPr>
              <w:t xml:space="preserve">       147,575 </w:t>
            </w:r>
          </w:p>
        </w:tc>
      </w:tr>
      <w:tr w:rsidR="00EA432F" w:rsidRPr="00EA432F" w14:paraId="1A367E91" w14:textId="77777777" w:rsidTr="00F36DDA">
        <w:trPr>
          <w:trHeight w:val="290"/>
        </w:trPr>
        <w:tc>
          <w:tcPr>
            <w:tcW w:w="364" w:type="dxa"/>
            <w:tcBorders>
              <w:top w:val="nil"/>
              <w:left w:val="nil"/>
              <w:bottom w:val="nil"/>
              <w:right w:val="nil"/>
            </w:tcBorders>
            <w:noWrap/>
            <w:vAlign w:val="bottom"/>
            <w:hideMark/>
          </w:tcPr>
          <w:p w14:paraId="5164680F" w14:textId="77777777" w:rsidR="00EA432F" w:rsidRPr="00EA432F" w:rsidRDefault="00EA432F" w:rsidP="00EA432F">
            <w:pPr>
              <w:spacing w:after="0" w:line="240" w:lineRule="auto"/>
              <w:jc w:val="right"/>
              <w:rPr>
                <w:rFonts w:ascii="Aptos Narrow" w:eastAsia="Times New Roman" w:hAnsi="Aptos Narrow" w:cs="Times New Roman"/>
                <w:color w:val="000000"/>
                <w:kern w:val="0"/>
                <w:lang w:eastAsia="es-DO"/>
                <w14:ligatures w14:val="none"/>
              </w:rPr>
            </w:pPr>
            <w:r w:rsidRPr="00EA432F">
              <w:rPr>
                <w:rFonts w:ascii="Aptos Narrow" w:eastAsia="Times New Roman" w:hAnsi="Aptos Narrow" w:cs="Times New Roman"/>
                <w:color w:val="000000"/>
                <w:kern w:val="0"/>
                <w:lang w:eastAsia="es-DO"/>
                <w14:ligatures w14:val="none"/>
              </w:rPr>
              <w:t>7</w:t>
            </w:r>
          </w:p>
        </w:tc>
        <w:tc>
          <w:tcPr>
            <w:tcW w:w="2516" w:type="dxa"/>
            <w:tcBorders>
              <w:top w:val="nil"/>
              <w:left w:val="nil"/>
              <w:bottom w:val="nil"/>
              <w:right w:val="nil"/>
            </w:tcBorders>
            <w:noWrap/>
            <w:vAlign w:val="bottom"/>
            <w:hideMark/>
          </w:tcPr>
          <w:p w14:paraId="13F8EC02" w14:textId="77777777" w:rsidR="00EA432F" w:rsidRPr="00EA432F" w:rsidRDefault="00EA432F" w:rsidP="00EA432F">
            <w:pPr>
              <w:spacing w:after="0" w:line="240" w:lineRule="auto"/>
              <w:rPr>
                <w:rFonts w:ascii="Aptos Narrow" w:eastAsia="Times New Roman" w:hAnsi="Aptos Narrow" w:cs="Times New Roman"/>
                <w:color w:val="000000"/>
                <w:kern w:val="0"/>
                <w:lang w:eastAsia="es-DO"/>
                <w14:ligatures w14:val="none"/>
              </w:rPr>
            </w:pPr>
            <w:proofErr w:type="spellStart"/>
            <w:r w:rsidRPr="00EA432F">
              <w:rPr>
                <w:rFonts w:ascii="Aptos Narrow" w:eastAsia="Times New Roman" w:hAnsi="Aptos Narrow" w:cs="Times New Roman"/>
                <w:color w:val="000000"/>
                <w:kern w:val="0"/>
                <w:lang w:eastAsia="es-DO"/>
                <w14:ligatures w14:val="none"/>
              </w:rPr>
              <w:t>Syrian</w:t>
            </w:r>
            <w:proofErr w:type="spellEnd"/>
            <w:r w:rsidRPr="00EA432F">
              <w:rPr>
                <w:rFonts w:ascii="Aptos Narrow" w:eastAsia="Times New Roman" w:hAnsi="Aptos Narrow" w:cs="Times New Roman"/>
                <w:color w:val="000000"/>
                <w:kern w:val="0"/>
                <w:lang w:eastAsia="es-DO"/>
                <w14:ligatures w14:val="none"/>
              </w:rPr>
              <w:t xml:space="preserve"> </w:t>
            </w:r>
            <w:proofErr w:type="spellStart"/>
            <w:r w:rsidRPr="00EA432F">
              <w:rPr>
                <w:rFonts w:ascii="Aptos Narrow" w:eastAsia="Times New Roman" w:hAnsi="Aptos Narrow" w:cs="Times New Roman"/>
                <w:color w:val="000000"/>
                <w:kern w:val="0"/>
                <w:lang w:eastAsia="es-DO"/>
                <w14:ligatures w14:val="none"/>
              </w:rPr>
              <w:t>Arab</w:t>
            </w:r>
            <w:proofErr w:type="spellEnd"/>
            <w:r w:rsidRPr="00EA432F">
              <w:rPr>
                <w:rFonts w:ascii="Aptos Narrow" w:eastAsia="Times New Roman" w:hAnsi="Aptos Narrow" w:cs="Times New Roman"/>
                <w:color w:val="000000"/>
                <w:kern w:val="0"/>
                <w:lang w:eastAsia="es-DO"/>
                <w14:ligatures w14:val="none"/>
              </w:rPr>
              <w:t xml:space="preserve"> </w:t>
            </w:r>
            <w:proofErr w:type="spellStart"/>
            <w:r w:rsidRPr="00EA432F">
              <w:rPr>
                <w:rFonts w:ascii="Aptos Narrow" w:eastAsia="Times New Roman" w:hAnsi="Aptos Narrow" w:cs="Times New Roman"/>
                <w:color w:val="000000"/>
                <w:kern w:val="0"/>
                <w:lang w:eastAsia="es-DO"/>
                <w14:ligatures w14:val="none"/>
              </w:rPr>
              <w:t>Republic</w:t>
            </w:r>
            <w:proofErr w:type="spellEnd"/>
          </w:p>
        </w:tc>
        <w:tc>
          <w:tcPr>
            <w:tcW w:w="1440" w:type="dxa"/>
            <w:tcBorders>
              <w:top w:val="nil"/>
              <w:left w:val="nil"/>
              <w:bottom w:val="nil"/>
              <w:right w:val="nil"/>
            </w:tcBorders>
            <w:noWrap/>
            <w:vAlign w:val="bottom"/>
            <w:hideMark/>
          </w:tcPr>
          <w:p w14:paraId="4F82B30F" w14:textId="77777777" w:rsidR="00EA432F" w:rsidRPr="00EA432F" w:rsidRDefault="00EA432F" w:rsidP="00F36DDA">
            <w:pPr>
              <w:spacing w:after="0" w:line="240" w:lineRule="auto"/>
              <w:jc w:val="right"/>
              <w:rPr>
                <w:rFonts w:ascii="Aptos Narrow" w:eastAsia="Times New Roman" w:hAnsi="Aptos Narrow" w:cs="Times New Roman"/>
                <w:color w:val="000000"/>
                <w:kern w:val="0"/>
                <w:lang w:eastAsia="es-DO"/>
                <w14:ligatures w14:val="none"/>
              </w:rPr>
            </w:pPr>
            <w:r w:rsidRPr="00EA432F">
              <w:rPr>
                <w:rFonts w:ascii="Aptos Narrow" w:eastAsia="Times New Roman" w:hAnsi="Aptos Narrow" w:cs="Times New Roman"/>
                <w:color w:val="000000"/>
                <w:kern w:val="0"/>
                <w:lang w:eastAsia="es-DO"/>
                <w14:ligatures w14:val="none"/>
              </w:rPr>
              <w:t xml:space="preserve">       116,274 </w:t>
            </w:r>
          </w:p>
        </w:tc>
        <w:tc>
          <w:tcPr>
            <w:tcW w:w="1490" w:type="dxa"/>
            <w:tcBorders>
              <w:top w:val="nil"/>
              <w:left w:val="nil"/>
              <w:bottom w:val="nil"/>
              <w:right w:val="nil"/>
            </w:tcBorders>
            <w:noWrap/>
            <w:vAlign w:val="bottom"/>
            <w:hideMark/>
          </w:tcPr>
          <w:p w14:paraId="641C3857" w14:textId="77777777" w:rsidR="00EA432F" w:rsidRPr="00EA432F" w:rsidRDefault="00EA432F" w:rsidP="00F36DDA">
            <w:pPr>
              <w:spacing w:after="0" w:line="240" w:lineRule="auto"/>
              <w:jc w:val="right"/>
              <w:rPr>
                <w:rFonts w:ascii="Aptos Narrow" w:eastAsia="Times New Roman" w:hAnsi="Aptos Narrow" w:cs="Times New Roman"/>
                <w:color w:val="000000"/>
                <w:kern w:val="0"/>
                <w:lang w:eastAsia="es-DO"/>
                <w14:ligatures w14:val="none"/>
              </w:rPr>
            </w:pPr>
            <w:r w:rsidRPr="00EA432F">
              <w:rPr>
                <w:rFonts w:ascii="Aptos Narrow" w:eastAsia="Times New Roman" w:hAnsi="Aptos Narrow" w:cs="Times New Roman"/>
                <w:color w:val="000000"/>
                <w:kern w:val="0"/>
                <w:lang w:eastAsia="es-DO"/>
                <w14:ligatures w14:val="none"/>
              </w:rPr>
              <w:t xml:space="preserve">       112,119 </w:t>
            </w:r>
          </w:p>
        </w:tc>
        <w:tc>
          <w:tcPr>
            <w:tcW w:w="1450" w:type="dxa"/>
            <w:tcBorders>
              <w:top w:val="nil"/>
              <w:left w:val="nil"/>
              <w:bottom w:val="nil"/>
              <w:right w:val="nil"/>
            </w:tcBorders>
            <w:noWrap/>
            <w:vAlign w:val="bottom"/>
            <w:hideMark/>
          </w:tcPr>
          <w:p w14:paraId="29AA3F0B" w14:textId="77777777" w:rsidR="00EA432F" w:rsidRPr="00EA432F" w:rsidRDefault="00EA432F" w:rsidP="00F36DDA">
            <w:pPr>
              <w:spacing w:after="0" w:line="240" w:lineRule="auto"/>
              <w:jc w:val="right"/>
              <w:rPr>
                <w:rFonts w:ascii="Aptos Narrow" w:eastAsia="Times New Roman" w:hAnsi="Aptos Narrow" w:cs="Times New Roman"/>
                <w:color w:val="000000"/>
                <w:kern w:val="0"/>
                <w:lang w:eastAsia="es-DO"/>
                <w14:ligatures w14:val="none"/>
              </w:rPr>
            </w:pPr>
            <w:r w:rsidRPr="00EA432F">
              <w:rPr>
                <w:rFonts w:ascii="Aptos Narrow" w:eastAsia="Times New Roman" w:hAnsi="Aptos Narrow" w:cs="Times New Roman"/>
                <w:color w:val="000000"/>
                <w:kern w:val="0"/>
                <w:lang w:eastAsia="es-DO"/>
                <w14:ligatures w14:val="none"/>
              </w:rPr>
              <w:t xml:space="preserve">       102,667 </w:t>
            </w:r>
          </w:p>
        </w:tc>
        <w:tc>
          <w:tcPr>
            <w:tcW w:w="1410" w:type="dxa"/>
            <w:tcBorders>
              <w:top w:val="nil"/>
              <w:left w:val="nil"/>
              <w:bottom w:val="nil"/>
              <w:right w:val="nil"/>
            </w:tcBorders>
            <w:noWrap/>
            <w:vAlign w:val="bottom"/>
            <w:hideMark/>
          </w:tcPr>
          <w:p w14:paraId="03414FE2" w14:textId="77777777" w:rsidR="00EA432F" w:rsidRPr="00EA432F" w:rsidRDefault="00EA432F" w:rsidP="00F36DDA">
            <w:pPr>
              <w:spacing w:after="0" w:line="240" w:lineRule="auto"/>
              <w:jc w:val="right"/>
              <w:rPr>
                <w:rFonts w:ascii="Aptos Narrow" w:eastAsia="Times New Roman" w:hAnsi="Aptos Narrow" w:cs="Times New Roman"/>
                <w:color w:val="000000"/>
                <w:kern w:val="0"/>
                <w:lang w:eastAsia="es-DO"/>
                <w14:ligatures w14:val="none"/>
              </w:rPr>
            </w:pPr>
            <w:r w:rsidRPr="00EA432F">
              <w:rPr>
                <w:rFonts w:ascii="Aptos Narrow" w:eastAsia="Times New Roman" w:hAnsi="Aptos Narrow" w:cs="Times New Roman"/>
                <w:color w:val="000000"/>
                <w:kern w:val="0"/>
                <w:lang w:eastAsia="es-DO"/>
                <w14:ligatures w14:val="none"/>
              </w:rPr>
              <w:t xml:space="preserve">       106,293 </w:t>
            </w:r>
          </w:p>
        </w:tc>
        <w:tc>
          <w:tcPr>
            <w:tcW w:w="1460" w:type="dxa"/>
            <w:tcBorders>
              <w:top w:val="nil"/>
              <w:left w:val="nil"/>
              <w:bottom w:val="nil"/>
              <w:right w:val="nil"/>
            </w:tcBorders>
            <w:noWrap/>
            <w:vAlign w:val="bottom"/>
            <w:hideMark/>
          </w:tcPr>
          <w:p w14:paraId="7BA23E21" w14:textId="77777777" w:rsidR="00EA432F" w:rsidRPr="00EA432F" w:rsidRDefault="00EA432F" w:rsidP="00F36DDA">
            <w:pPr>
              <w:spacing w:after="0" w:line="240" w:lineRule="auto"/>
              <w:jc w:val="right"/>
              <w:rPr>
                <w:rFonts w:ascii="Aptos Narrow" w:eastAsia="Times New Roman" w:hAnsi="Aptos Narrow" w:cs="Times New Roman"/>
                <w:color w:val="000000"/>
                <w:kern w:val="0"/>
                <w:lang w:eastAsia="es-DO"/>
                <w14:ligatures w14:val="none"/>
              </w:rPr>
            </w:pPr>
            <w:r w:rsidRPr="00EA432F">
              <w:rPr>
                <w:rFonts w:ascii="Aptos Narrow" w:eastAsia="Times New Roman" w:hAnsi="Aptos Narrow" w:cs="Times New Roman"/>
                <w:color w:val="000000"/>
                <w:kern w:val="0"/>
                <w:lang w:eastAsia="es-DO"/>
                <w14:ligatures w14:val="none"/>
              </w:rPr>
              <w:t xml:space="preserve">       138,001 </w:t>
            </w:r>
          </w:p>
        </w:tc>
      </w:tr>
      <w:tr w:rsidR="00EA432F" w:rsidRPr="00EA432F" w14:paraId="7D730C72" w14:textId="77777777" w:rsidTr="00F36DDA">
        <w:trPr>
          <w:trHeight w:val="290"/>
        </w:trPr>
        <w:tc>
          <w:tcPr>
            <w:tcW w:w="364" w:type="dxa"/>
            <w:tcBorders>
              <w:top w:val="nil"/>
              <w:left w:val="nil"/>
              <w:bottom w:val="nil"/>
              <w:right w:val="nil"/>
            </w:tcBorders>
            <w:noWrap/>
            <w:vAlign w:val="bottom"/>
            <w:hideMark/>
          </w:tcPr>
          <w:p w14:paraId="37A22D8F" w14:textId="77777777" w:rsidR="00EA432F" w:rsidRPr="00EA432F" w:rsidRDefault="00EA432F" w:rsidP="00EA432F">
            <w:pPr>
              <w:spacing w:after="0" w:line="240" w:lineRule="auto"/>
              <w:jc w:val="right"/>
              <w:rPr>
                <w:rFonts w:ascii="Aptos Narrow" w:eastAsia="Times New Roman" w:hAnsi="Aptos Narrow" w:cs="Times New Roman"/>
                <w:color w:val="000000"/>
                <w:kern w:val="0"/>
                <w:lang w:eastAsia="es-DO"/>
                <w14:ligatures w14:val="none"/>
              </w:rPr>
            </w:pPr>
            <w:r w:rsidRPr="00EA432F">
              <w:rPr>
                <w:rFonts w:ascii="Aptos Narrow" w:eastAsia="Times New Roman" w:hAnsi="Aptos Narrow" w:cs="Times New Roman"/>
                <w:color w:val="000000"/>
                <w:kern w:val="0"/>
                <w:lang w:eastAsia="es-DO"/>
                <w14:ligatures w14:val="none"/>
              </w:rPr>
              <w:t>8</w:t>
            </w:r>
          </w:p>
        </w:tc>
        <w:tc>
          <w:tcPr>
            <w:tcW w:w="2516" w:type="dxa"/>
            <w:tcBorders>
              <w:top w:val="nil"/>
              <w:left w:val="nil"/>
              <w:bottom w:val="nil"/>
              <w:right w:val="nil"/>
            </w:tcBorders>
            <w:noWrap/>
            <w:vAlign w:val="bottom"/>
            <w:hideMark/>
          </w:tcPr>
          <w:p w14:paraId="63BA9938" w14:textId="77777777" w:rsidR="00EA432F" w:rsidRPr="00EA432F" w:rsidRDefault="00EA432F" w:rsidP="00EA432F">
            <w:pPr>
              <w:spacing w:after="0" w:line="240" w:lineRule="auto"/>
              <w:rPr>
                <w:rFonts w:ascii="Aptos Narrow" w:eastAsia="Times New Roman" w:hAnsi="Aptos Narrow" w:cs="Times New Roman"/>
                <w:color w:val="000000"/>
                <w:kern w:val="0"/>
                <w:lang w:eastAsia="es-DO"/>
                <w14:ligatures w14:val="none"/>
              </w:rPr>
            </w:pPr>
            <w:proofErr w:type="spellStart"/>
            <w:r w:rsidRPr="00EA432F">
              <w:rPr>
                <w:rFonts w:ascii="Aptos Narrow" w:eastAsia="Times New Roman" w:hAnsi="Aptos Narrow" w:cs="Times New Roman"/>
                <w:color w:val="000000"/>
                <w:kern w:val="0"/>
                <w:lang w:eastAsia="es-DO"/>
                <w14:ligatures w14:val="none"/>
              </w:rPr>
              <w:t>Ethiopia</w:t>
            </w:r>
            <w:proofErr w:type="spellEnd"/>
          </w:p>
        </w:tc>
        <w:tc>
          <w:tcPr>
            <w:tcW w:w="1440" w:type="dxa"/>
            <w:tcBorders>
              <w:top w:val="nil"/>
              <w:left w:val="nil"/>
              <w:bottom w:val="nil"/>
              <w:right w:val="nil"/>
            </w:tcBorders>
            <w:noWrap/>
            <w:vAlign w:val="bottom"/>
            <w:hideMark/>
          </w:tcPr>
          <w:p w14:paraId="0894E41F" w14:textId="77777777" w:rsidR="00EA432F" w:rsidRPr="00EA432F" w:rsidRDefault="00EA432F" w:rsidP="00F36DDA">
            <w:pPr>
              <w:spacing w:after="0" w:line="240" w:lineRule="auto"/>
              <w:jc w:val="right"/>
              <w:rPr>
                <w:rFonts w:ascii="Aptos Narrow" w:eastAsia="Times New Roman" w:hAnsi="Aptos Narrow" w:cs="Times New Roman"/>
                <w:color w:val="000000"/>
                <w:kern w:val="0"/>
                <w:lang w:eastAsia="es-DO"/>
                <w14:ligatures w14:val="none"/>
              </w:rPr>
            </w:pPr>
            <w:r w:rsidRPr="00EA432F">
              <w:rPr>
                <w:rFonts w:ascii="Aptos Narrow" w:eastAsia="Times New Roman" w:hAnsi="Aptos Narrow" w:cs="Times New Roman"/>
                <w:color w:val="000000"/>
                <w:kern w:val="0"/>
                <w:lang w:eastAsia="es-DO"/>
                <w14:ligatures w14:val="none"/>
              </w:rPr>
              <w:t xml:space="preserve">       168,013 </w:t>
            </w:r>
          </w:p>
        </w:tc>
        <w:tc>
          <w:tcPr>
            <w:tcW w:w="1490" w:type="dxa"/>
            <w:tcBorders>
              <w:top w:val="nil"/>
              <w:left w:val="nil"/>
              <w:bottom w:val="nil"/>
              <w:right w:val="nil"/>
            </w:tcBorders>
            <w:noWrap/>
            <w:vAlign w:val="bottom"/>
            <w:hideMark/>
          </w:tcPr>
          <w:p w14:paraId="53002684" w14:textId="77777777" w:rsidR="00EA432F" w:rsidRPr="00EA432F" w:rsidRDefault="00EA432F" w:rsidP="00F36DDA">
            <w:pPr>
              <w:spacing w:after="0" w:line="240" w:lineRule="auto"/>
              <w:jc w:val="right"/>
              <w:rPr>
                <w:rFonts w:ascii="Aptos Narrow" w:eastAsia="Times New Roman" w:hAnsi="Aptos Narrow" w:cs="Times New Roman"/>
                <w:color w:val="000000"/>
                <w:kern w:val="0"/>
                <w:lang w:eastAsia="es-DO"/>
                <w14:ligatures w14:val="none"/>
              </w:rPr>
            </w:pPr>
            <w:r w:rsidRPr="00EA432F">
              <w:rPr>
                <w:rFonts w:ascii="Aptos Narrow" w:eastAsia="Times New Roman" w:hAnsi="Aptos Narrow" w:cs="Times New Roman"/>
                <w:color w:val="000000"/>
                <w:kern w:val="0"/>
                <w:lang w:eastAsia="es-DO"/>
                <w14:ligatures w14:val="none"/>
              </w:rPr>
              <w:t xml:space="preserve">          66,187 </w:t>
            </w:r>
          </w:p>
        </w:tc>
        <w:tc>
          <w:tcPr>
            <w:tcW w:w="1450" w:type="dxa"/>
            <w:tcBorders>
              <w:top w:val="nil"/>
              <w:left w:val="nil"/>
              <w:bottom w:val="nil"/>
              <w:right w:val="nil"/>
            </w:tcBorders>
            <w:noWrap/>
            <w:vAlign w:val="bottom"/>
            <w:hideMark/>
          </w:tcPr>
          <w:p w14:paraId="47D28B11" w14:textId="77777777" w:rsidR="00EA432F" w:rsidRPr="00EA432F" w:rsidRDefault="00EA432F" w:rsidP="00F36DDA">
            <w:pPr>
              <w:spacing w:after="0" w:line="240" w:lineRule="auto"/>
              <w:jc w:val="right"/>
              <w:rPr>
                <w:rFonts w:ascii="Aptos Narrow" w:eastAsia="Times New Roman" w:hAnsi="Aptos Narrow" w:cs="Times New Roman"/>
                <w:color w:val="000000"/>
                <w:kern w:val="0"/>
                <w:lang w:eastAsia="es-DO"/>
                <w14:ligatures w14:val="none"/>
              </w:rPr>
            </w:pPr>
            <w:r w:rsidRPr="00EA432F">
              <w:rPr>
                <w:rFonts w:ascii="Aptos Narrow" w:eastAsia="Times New Roman" w:hAnsi="Aptos Narrow" w:cs="Times New Roman"/>
                <w:color w:val="000000"/>
                <w:kern w:val="0"/>
                <w:lang w:eastAsia="es-DO"/>
                <w14:ligatures w14:val="none"/>
              </w:rPr>
              <w:t xml:space="preserve">          80,414 </w:t>
            </w:r>
          </w:p>
        </w:tc>
        <w:tc>
          <w:tcPr>
            <w:tcW w:w="1410" w:type="dxa"/>
            <w:tcBorders>
              <w:top w:val="nil"/>
              <w:left w:val="nil"/>
              <w:bottom w:val="nil"/>
              <w:right w:val="nil"/>
            </w:tcBorders>
            <w:noWrap/>
            <w:vAlign w:val="bottom"/>
            <w:hideMark/>
          </w:tcPr>
          <w:p w14:paraId="732DE157" w14:textId="77777777" w:rsidR="00EA432F" w:rsidRPr="00EA432F" w:rsidRDefault="00EA432F" w:rsidP="00F36DDA">
            <w:pPr>
              <w:spacing w:after="0" w:line="240" w:lineRule="auto"/>
              <w:jc w:val="right"/>
              <w:rPr>
                <w:rFonts w:ascii="Aptos Narrow" w:eastAsia="Times New Roman" w:hAnsi="Aptos Narrow" w:cs="Times New Roman"/>
                <w:color w:val="000000"/>
                <w:kern w:val="0"/>
                <w:lang w:eastAsia="es-DO"/>
                <w14:ligatures w14:val="none"/>
              </w:rPr>
            </w:pPr>
            <w:r w:rsidRPr="00EA432F">
              <w:rPr>
                <w:rFonts w:ascii="Aptos Narrow" w:eastAsia="Times New Roman" w:hAnsi="Aptos Narrow" w:cs="Times New Roman"/>
                <w:color w:val="000000"/>
                <w:kern w:val="0"/>
                <w:lang w:eastAsia="es-DO"/>
                <w14:ligatures w14:val="none"/>
              </w:rPr>
              <w:t xml:space="preserve">       246,652 </w:t>
            </w:r>
          </w:p>
        </w:tc>
        <w:tc>
          <w:tcPr>
            <w:tcW w:w="1460" w:type="dxa"/>
            <w:tcBorders>
              <w:top w:val="nil"/>
              <w:left w:val="nil"/>
              <w:bottom w:val="nil"/>
              <w:right w:val="nil"/>
            </w:tcBorders>
            <w:noWrap/>
            <w:vAlign w:val="bottom"/>
            <w:hideMark/>
          </w:tcPr>
          <w:p w14:paraId="422AC276" w14:textId="77777777" w:rsidR="00EA432F" w:rsidRPr="00EA432F" w:rsidRDefault="00EA432F" w:rsidP="00F36DDA">
            <w:pPr>
              <w:spacing w:after="0" w:line="240" w:lineRule="auto"/>
              <w:jc w:val="right"/>
              <w:rPr>
                <w:rFonts w:ascii="Aptos Narrow" w:eastAsia="Times New Roman" w:hAnsi="Aptos Narrow" w:cs="Times New Roman"/>
                <w:color w:val="000000"/>
                <w:kern w:val="0"/>
                <w:lang w:eastAsia="es-DO"/>
                <w14:ligatures w14:val="none"/>
              </w:rPr>
            </w:pPr>
            <w:r w:rsidRPr="00EA432F">
              <w:rPr>
                <w:rFonts w:ascii="Aptos Narrow" w:eastAsia="Times New Roman" w:hAnsi="Aptos Narrow" w:cs="Times New Roman"/>
                <w:color w:val="000000"/>
                <w:kern w:val="0"/>
                <w:lang w:eastAsia="es-DO"/>
                <w14:ligatures w14:val="none"/>
              </w:rPr>
              <w:t xml:space="preserve">       130,590 </w:t>
            </w:r>
          </w:p>
        </w:tc>
      </w:tr>
      <w:tr w:rsidR="00EA432F" w:rsidRPr="00EA432F" w14:paraId="18C1E1FB" w14:textId="77777777" w:rsidTr="00F36DDA">
        <w:trPr>
          <w:trHeight w:val="290"/>
        </w:trPr>
        <w:tc>
          <w:tcPr>
            <w:tcW w:w="364" w:type="dxa"/>
            <w:tcBorders>
              <w:top w:val="nil"/>
              <w:left w:val="nil"/>
              <w:bottom w:val="nil"/>
              <w:right w:val="nil"/>
            </w:tcBorders>
            <w:noWrap/>
            <w:vAlign w:val="bottom"/>
            <w:hideMark/>
          </w:tcPr>
          <w:p w14:paraId="41B15A9D" w14:textId="77777777" w:rsidR="00EA432F" w:rsidRPr="00EA432F" w:rsidRDefault="00EA432F" w:rsidP="00EA432F">
            <w:pPr>
              <w:spacing w:after="0" w:line="240" w:lineRule="auto"/>
              <w:jc w:val="right"/>
              <w:rPr>
                <w:rFonts w:ascii="Aptos Narrow" w:eastAsia="Times New Roman" w:hAnsi="Aptos Narrow" w:cs="Times New Roman"/>
                <w:color w:val="000000"/>
                <w:kern w:val="0"/>
                <w:lang w:eastAsia="es-DO"/>
                <w14:ligatures w14:val="none"/>
              </w:rPr>
            </w:pPr>
            <w:r w:rsidRPr="00EA432F">
              <w:rPr>
                <w:rFonts w:ascii="Aptos Narrow" w:eastAsia="Times New Roman" w:hAnsi="Aptos Narrow" w:cs="Times New Roman"/>
                <w:color w:val="000000"/>
                <w:kern w:val="0"/>
                <w:lang w:eastAsia="es-DO"/>
                <w14:ligatures w14:val="none"/>
              </w:rPr>
              <w:t>9</w:t>
            </w:r>
          </w:p>
        </w:tc>
        <w:tc>
          <w:tcPr>
            <w:tcW w:w="2516" w:type="dxa"/>
            <w:tcBorders>
              <w:top w:val="nil"/>
              <w:left w:val="nil"/>
              <w:bottom w:val="nil"/>
              <w:right w:val="nil"/>
            </w:tcBorders>
            <w:noWrap/>
            <w:vAlign w:val="bottom"/>
            <w:hideMark/>
          </w:tcPr>
          <w:p w14:paraId="4BEE13C6" w14:textId="77777777" w:rsidR="00EA432F" w:rsidRPr="00EA432F" w:rsidRDefault="00EA432F" w:rsidP="00EA432F">
            <w:pPr>
              <w:spacing w:after="0" w:line="240" w:lineRule="auto"/>
              <w:rPr>
                <w:rFonts w:ascii="Aptos Narrow" w:eastAsia="Times New Roman" w:hAnsi="Aptos Narrow" w:cs="Times New Roman"/>
                <w:color w:val="000000"/>
                <w:kern w:val="0"/>
                <w:lang w:eastAsia="es-DO"/>
                <w14:ligatures w14:val="none"/>
              </w:rPr>
            </w:pPr>
            <w:proofErr w:type="spellStart"/>
            <w:r w:rsidRPr="00EA432F">
              <w:rPr>
                <w:rFonts w:ascii="Aptos Narrow" w:eastAsia="Times New Roman" w:hAnsi="Aptos Narrow" w:cs="Times New Roman"/>
                <w:color w:val="000000"/>
                <w:kern w:val="0"/>
                <w:lang w:eastAsia="es-DO"/>
                <w14:ligatures w14:val="none"/>
              </w:rPr>
              <w:t>Dominican</w:t>
            </w:r>
            <w:proofErr w:type="spellEnd"/>
            <w:r w:rsidRPr="00EA432F">
              <w:rPr>
                <w:rFonts w:ascii="Aptos Narrow" w:eastAsia="Times New Roman" w:hAnsi="Aptos Narrow" w:cs="Times New Roman"/>
                <w:color w:val="000000"/>
                <w:kern w:val="0"/>
                <w:lang w:eastAsia="es-DO"/>
                <w14:ligatures w14:val="none"/>
              </w:rPr>
              <w:t xml:space="preserve"> </w:t>
            </w:r>
            <w:proofErr w:type="spellStart"/>
            <w:r w:rsidRPr="00EA432F">
              <w:rPr>
                <w:rFonts w:ascii="Aptos Narrow" w:eastAsia="Times New Roman" w:hAnsi="Aptos Narrow" w:cs="Times New Roman"/>
                <w:color w:val="000000"/>
                <w:kern w:val="0"/>
                <w:lang w:eastAsia="es-DO"/>
                <w14:ligatures w14:val="none"/>
              </w:rPr>
              <w:t>Republic</w:t>
            </w:r>
            <w:proofErr w:type="spellEnd"/>
          </w:p>
        </w:tc>
        <w:tc>
          <w:tcPr>
            <w:tcW w:w="1440" w:type="dxa"/>
            <w:tcBorders>
              <w:top w:val="nil"/>
              <w:left w:val="nil"/>
              <w:bottom w:val="nil"/>
              <w:right w:val="nil"/>
            </w:tcBorders>
            <w:noWrap/>
            <w:vAlign w:val="bottom"/>
            <w:hideMark/>
          </w:tcPr>
          <w:p w14:paraId="07796B80" w14:textId="77777777" w:rsidR="00EA432F" w:rsidRPr="00EA432F" w:rsidRDefault="00EA432F" w:rsidP="00F36DDA">
            <w:pPr>
              <w:spacing w:after="0" w:line="240" w:lineRule="auto"/>
              <w:jc w:val="right"/>
              <w:rPr>
                <w:rFonts w:ascii="Aptos Narrow" w:eastAsia="Times New Roman" w:hAnsi="Aptos Narrow" w:cs="Times New Roman"/>
                <w:color w:val="000000"/>
                <w:kern w:val="0"/>
                <w:lang w:eastAsia="es-DO"/>
                <w14:ligatures w14:val="none"/>
              </w:rPr>
            </w:pPr>
            <w:r w:rsidRPr="00EA432F">
              <w:rPr>
                <w:rFonts w:ascii="Aptos Narrow" w:eastAsia="Times New Roman" w:hAnsi="Aptos Narrow" w:cs="Times New Roman"/>
                <w:color w:val="000000"/>
                <w:kern w:val="0"/>
                <w:lang w:eastAsia="es-DO"/>
                <w14:ligatures w14:val="none"/>
              </w:rPr>
              <w:t xml:space="preserve">            7,405 </w:t>
            </w:r>
          </w:p>
        </w:tc>
        <w:tc>
          <w:tcPr>
            <w:tcW w:w="1490" w:type="dxa"/>
            <w:tcBorders>
              <w:top w:val="nil"/>
              <w:left w:val="nil"/>
              <w:bottom w:val="nil"/>
              <w:right w:val="nil"/>
            </w:tcBorders>
            <w:noWrap/>
            <w:vAlign w:val="bottom"/>
            <w:hideMark/>
          </w:tcPr>
          <w:p w14:paraId="581DB570" w14:textId="77777777" w:rsidR="00EA432F" w:rsidRPr="00EA432F" w:rsidRDefault="00EA432F" w:rsidP="00F36DDA">
            <w:pPr>
              <w:spacing w:after="0" w:line="240" w:lineRule="auto"/>
              <w:jc w:val="right"/>
              <w:rPr>
                <w:rFonts w:ascii="Aptos Narrow" w:eastAsia="Times New Roman" w:hAnsi="Aptos Narrow" w:cs="Times New Roman"/>
                <w:color w:val="000000"/>
                <w:kern w:val="0"/>
                <w:lang w:eastAsia="es-DO"/>
                <w14:ligatures w14:val="none"/>
              </w:rPr>
            </w:pPr>
            <w:r w:rsidRPr="00EA432F">
              <w:rPr>
                <w:rFonts w:ascii="Aptos Narrow" w:eastAsia="Times New Roman" w:hAnsi="Aptos Narrow" w:cs="Times New Roman"/>
                <w:color w:val="000000"/>
                <w:kern w:val="0"/>
                <w:lang w:eastAsia="es-DO"/>
                <w14:ligatures w14:val="none"/>
              </w:rPr>
              <w:t xml:space="preserve">          24,646 </w:t>
            </w:r>
          </w:p>
        </w:tc>
        <w:tc>
          <w:tcPr>
            <w:tcW w:w="1450" w:type="dxa"/>
            <w:tcBorders>
              <w:top w:val="nil"/>
              <w:left w:val="nil"/>
              <w:bottom w:val="nil"/>
              <w:right w:val="nil"/>
            </w:tcBorders>
            <w:noWrap/>
            <w:vAlign w:val="bottom"/>
            <w:hideMark/>
          </w:tcPr>
          <w:p w14:paraId="06C65C6A" w14:textId="77777777" w:rsidR="00EA432F" w:rsidRPr="00EA432F" w:rsidRDefault="00EA432F" w:rsidP="00F36DDA">
            <w:pPr>
              <w:spacing w:after="0" w:line="240" w:lineRule="auto"/>
              <w:jc w:val="right"/>
              <w:rPr>
                <w:rFonts w:ascii="Aptos Narrow" w:eastAsia="Times New Roman" w:hAnsi="Aptos Narrow" w:cs="Times New Roman"/>
                <w:color w:val="000000"/>
                <w:kern w:val="0"/>
                <w:lang w:eastAsia="es-DO"/>
                <w14:ligatures w14:val="none"/>
              </w:rPr>
            </w:pPr>
            <w:r w:rsidRPr="00EA432F">
              <w:rPr>
                <w:rFonts w:ascii="Aptos Narrow" w:eastAsia="Times New Roman" w:hAnsi="Aptos Narrow" w:cs="Times New Roman"/>
                <w:color w:val="000000"/>
                <w:kern w:val="0"/>
                <w:lang w:eastAsia="es-DO"/>
                <w14:ligatures w14:val="none"/>
              </w:rPr>
              <w:t xml:space="preserve">          85,827 </w:t>
            </w:r>
          </w:p>
        </w:tc>
        <w:tc>
          <w:tcPr>
            <w:tcW w:w="1410" w:type="dxa"/>
            <w:tcBorders>
              <w:top w:val="nil"/>
              <w:left w:val="nil"/>
              <w:bottom w:val="nil"/>
              <w:right w:val="nil"/>
            </w:tcBorders>
            <w:noWrap/>
            <w:vAlign w:val="bottom"/>
            <w:hideMark/>
          </w:tcPr>
          <w:p w14:paraId="02D3F001" w14:textId="77777777" w:rsidR="00EA432F" w:rsidRPr="00EA432F" w:rsidRDefault="00EA432F" w:rsidP="00F36DDA">
            <w:pPr>
              <w:spacing w:after="0" w:line="240" w:lineRule="auto"/>
              <w:jc w:val="right"/>
              <w:rPr>
                <w:rFonts w:ascii="Aptos Narrow" w:eastAsia="Times New Roman" w:hAnsi="Aptos Narrow" w:cs="Times New Roman"/>
                <w:color w:val="000000"/>
                <w:kern w:val="0"/>
                <w:lang w:eastAsia="es-DO"/>
                <w14:ligatures w14:val="none"/>
              </w:rPr>
            </w:pPr>
            <w:r w:rsidRPr="00EA432F">
              <w:rPr>
                <w:rFonts w:ascii="Aptos Narrow" w:eastAsia="Times New Roman" w:hAnsi="Aptos Narrow" w:cs="Times New Roman"/>
                <w:color w:val="000000"/>
                <w:kern w:val="0"/>
                <w:lang w:eastAsia="es-DO"/>
                <w14:ligatures w14:val="none"/>
              </w:rPr>
              <w:t xml:space="preserve">          39,677 </w:t>
            </w:r>
          </w:p>
        </w:tc>
        <w:tc>
          <w:tcPr>
            <w:tcW w:w="1460" w:type="dxa"/>
            <w:tcBorders>
              <w:top w:val="nil"/>
              <w:left w:val="nil"/>
              <w:bottom w:val="nil"/>
              <w:right w:val="nil"/>
            </w:tcBorders>
            <w:noWrap/>
            <w:vAlign w:val="bottom"/>
            <w:hideMark/>
          </w:tcPr>
          <w:p w14:paraId="17AB1142" w14:textId="77777777" w:rsidR="00EA432F" w:rsidRPr="00EA432F" w:rsidRDefault="00EA432F" w:rsidP="00F36DDA">
            <w:pPr>
              <w:spacing w:after="0" w:line="240" w:lineRule="auto"/>
              <w:jc w:val="right"/>
              <w:rPr>
                <w:rFonts w:ascii="Aptos Narrow" w:eastAsia="Times New Roman" w:hAnsi="Aptos Narrow" w:cs="Times New Roman"/>
                <w:color w:val="000000"/>
                <w:kern w:val="0"/>
                <w:lang w:eastAsia="es-DO"/>
                <w14:ligatures w14:val="none"/>
              </w:rPr>
            </w:pPr>
            <w:r w:rsidRPr="00EA432F">
              <w:rPr>
                <w:rFonts w:ascii="Aptos Narrow" w:eastAsia="Times New Roman" w:hAnsi="Aptos Narrow" w:cs="Times New Roman"/>
                <w:color w:val="000000"/>
                <w:kern w:val="0"/>
                <w:lang w:eastAsia="es-DO"/>
                <w14:ligatures w14:val="none"/>
              </w:rPr>
              <w:t xml:space="preserve">       104,059 </w:t>
            </w:r>
          </w:p>
        </w:tc>
      </w:tr>
      <w:tr w:rsidR="00EA432F" w:rsidRPr="00EA432F" w14:paraId="58C8FCDB" w14:textId="77777777" w:rsidTr="00F36DDA">
        <w:trPr>
          <w:trHeight w:val="290"/>
        </w:trPr>
        <w:tc>
          <w:tcPr>
            <w:tcW w:w="364" w:type="dxa"/>
            <w:tcBorders>
              <w:top w:val="nil"/>
              <w:left w:val="nil"/>
              <w:bottom w:val="nil"/>
              <w:right w:val="nil"/>
            </w:tcBorders>
            <w:noWrap/>
            <w:vAlign w:val="bottom"/>
            <w:hideMark/>
          </w:tcPr>
          <w:p w14:paraId="61070BDC" w14:textId="77777777" w:rsidR="00EA432F" w:rsidRPr="00EA432F" w:rsidRDefault="00EA432F" w:rsidP="00EA432F">
            <w:pPr>
              <w:spacing w:after="0" w:line="240" w:lineRule="auto"/>
              <w:jc w:val="right"/>
              <w:rPr>
                <w:rFonts w:ascii="Aptos Narrow" w:eastAsia="Times New Roman" w:hAnsi="Aptos Narrow" w:cs="Times New Roman"/>
                <w:color w:val="000000"/>
                <w:kern w:val="0"/>
                <w:lang w:eastAsia="es-DO"/>
                <w14:ligatures w14:val="none"/>
              </w:rPr>
            </w:pPr>
            <w:r w:rsidRPr="00EA432F">
              <w:rPr>
                <w:rFonts w:ascii="Aptos Narrow" w:eastAsia="Times New Roman" w:hAnsi="Aptos Narrow" w:cs="Times New Roman"/>
                <w:color w:val="000000"/>
                <w:kern w:val="0"/>
                <w:lang w:eastAsia="es-DO"/>
                <w14:ligatures w14:val="none"/>
              </w:rPr>
              <w:t>10</w:t>
            </w:r>
          </w:p>
        </w:tc>
        <w:tc>
          <w:tcPr>
            <w:tcW w:w="2516" w:type="dxa"/>
            <w:tcBorders>
              <w:top w:val="nil"/>
              <w:left w:val="nil"/>
              <w:bottom w:val="nil"/>
              <w:right w:val="nil"/>
            </w:tcBorders>
            <w:noWrap/>
            <w:vAlign w:val="bottom"/>
            <w:hideMark/>
          </w:tcPr>
          <w:p w14:paraId="665EE12B" w14:textId="77777777" w:rsidR="00EA432F" w:rsidRPr="00EA432F" w:rsidRDefault="00EA432F" w:rsidP="00EA432F">
            <w:pPr>
              <w:spacing w:after="0" w:line="240" w:lineRule="auto"/>
              <w:rPr>
                <w:rFonts w:ascii="Aptos Narrow" w:eastAsia="Times New Roman" w:hAnsi="Aptos Narrow" w:cs="Times New Roman"/>
                <w:color w:val="000000"/>
                <w:kern w:val="0"/>
                <w:lang w:eastAsia="es-DO"/>
                <w14:ligatures w14:val="none"/>
              </w:rPr>
            </w:pPr>
            <w:proofErr w:type="spellStart"/>
            <w:r w:rsidRPr="00EA432F">
              <w:rPr>
                <w:rFonts w:ascii="Aptos Narrow" w:eastAsia="Times New Roman" w:hAnsi="Aptos Narrow" w:cs="Times New Roman"/>
                <w:color w:val="000000"/>
                <w:kern w:val="0"/>
                <w:lang w:eastAsia="es-DO"/>
                <w14:ligatures w14:val="none"/>
              </w:rPr>
              <w:t>United</w:t>
            </w:r>
            <w:proofErr w:type="spellEnd"/>
            <w:r w:rsidRPr="00EA432F">
              <w:rPr>
                <w:rFonts w:ascii="Aptos Narrow" w:eastAsia="Times New Roman" w:hAnsi="Aptos Narrow" w:cs="Times New Roman"/>
                <w:color w:val="000000"/>
                <w:kern w:val="0"/>
                <w:lang w:eastAsia="es-DO"/>
                <w14:ligatures w14:val="none"/>
              </w:rPr>
              <w:t xml:space="preserve"> </w:t>
            </w:r>
            <w:proofErr w:type="spellStart"/>
            <w:r w:rsidRPr="00EA432F">
              <w:rPr>
                <w:rFonts w:ascii="Aptos Narrow" w:eastAsia="Times New Roman" w:hAnsi="Aptos Narrow" w:cs="Times New Roman"/>
                <w:color w:val="000000"/>
                <w:kern w:val="0"/>
                <w:lang w:eastAsia="es-DO"/>
                <w14:ligatures w14:val="none"/>
              </w:rPr>
              <w:t>States</w:t>
            </w:r>
            <w:proofErr w:type="spellEnd"/>
            <w:r w:rsidRPr="00EA432F">
              <w:rPr>
                <w:rFonts w:ascii="Aptos Narrow" w:eastAsia="Times New Roman" w:hAnsi="Aptos Narrow" w:cs="Times New Roman"/>
                <w:color w:val="000000"/>
                <w:kern w:val="0"/>
                <w:lang w:eastAsia="es-DO"/>
                <w14:ligatures w14:val="none"/>
              </w:rPr>
              <w:t xml:space="preserve"> </w:t>
            </w:r>
            <w:proofErr w:type="spellStart"/>
            <w:r w:rsidRPr="00EA432F">
              <w:rPr>
                <w:rFonts w:ascii="Aptos Narrow" w:eastAsia="Times New Roman" w:hAnsi="Aptos Narrow" w:cs="Times New Roman"/>
                <w:color w:val="000000"/>
                <w:kern w:val="0"/>
                <w:lang w:eastAsia="es-DO"/>
                <w14:ligatures w14:val="none"/>
              </w:rPr>
              <w:t>of</w:t>
            </w:r>
            <w:proofErr w:type="spellEnd"/>
            <w:r w:rsidRPr="00EA432F">
              <w:rPr>
                <w:rFonts w:ascii="Aptos Narrow" w:eastAsia="Times New Roman" w:hAnsi="Aptos Narrow" w:cs="Times New Roman"/>
                <w:color w:val="000000"/>
                <w:kern w:val="0"/>
                <w:lang w:eastAsia="es-DO"/>
                <w14:ligatures w14:val="none"/>
              </w:rPr>
              <w:t xml:space="preserve"> </w:t>
            </w:r>
            <w:proofErr w:type="spellStart"/>
            <w:r w:rsidRPr="00EA432F">
              <w:rPr>
                <w:rFonts w:ascii="Aptos Narrow" w:eastAsia="Times New Roman" w:hAnsi="Aptos Narrow" w:cs="Times New Roman"/>
                <w:color w:val="000000"/>
                <w:kern w:val="0"/>
                <w:lang w:eastAsia="es-DO"/>
                <w14:ligatures w14:val="none"/>
              </w:rPr>
              <w:t>America</w:t>
            </w:r>
            <w:proofErr w:type="spellEnd"/>
          </w:p>
        </w:tc>
        <w:tc>
          <w:tcPr>
            <w:tcW w:w="1440" w:type="dxa"/>
            <w:tcBorders>
              <w:top w:val="nil"/>
              <w:left w:val="nil"/>
              <w:bottom w:val="nil"/>
              <w:right w:val="nil"/>
            </w:tcBorders>
            <w:noWrap/>
            <w:vAlign w:val="bottom"/>
            <w:hideMark/>
          </w:tcPr>
          <w:p w14:paraId="60F11E30" w14:textId="77777777" w:rsidR="00EA432F" w:rsidRPr="00EA432F" w:rsidRDefault="00EA432F" w:rsidP="00F36DDA">
            <w:pPr>
              <w:spacing w:after="0" w:line="240" w:lineRule="auto"/>
              <w:jc w:val="right"/>
              <w:rPr>
                <w:rFonts w:ascii="Aptos Narrow" w:eastAsia="Times New Roman" w:hAnsi="Aptos Narrow" w:cs="Times New Roman"/>
                <w:color w:val="000000"/>
                <w:kern w:val="0"/>
                <w:lang w:eastAsia="es-DO"/>
                <w14:ligatures w14:val="none"/>
              </w:rPr>
            </w:pPr>
            <w:r w:rsidRPr="00EA432F">
              <w:rPr>
                <w:rFonts w:ascii="Aptos Narrow" w:eastAsia="Times New Roman" w:hAnsi="Aptos Narrow" w:cs="Times New Roman"/>
                <w:color w:val="000000"/>
                <w:kern w:val="0"/>
                <w:lang w:eastAsia="es-DO"/>
                <w14:ligatures w14:val="none"/>
              </w:rPr>
              <w:t xml:space="preserve">       495,043 </w:t>
            </w:r>
          </w:p>
        </w:tc>
        <w:tc>
          <w:tcPr>
            <w:tcW w:w="1490" w:type="dxa"/>
            <w:tcBorders>
              <w:top w:val="nil"/>
              <w:left w:val="nil"/>
              <w:bottom w:val="nil"/>
              <w:right w:val="nil"/>
            </w:tcBorders>
            <w:noWrap/>
            <w:vAlign w:val="bottom"/>
            <w:hideMark/>
          </w:tcPr>
          <w:p w14:paraId="1D200309" w14:textId="77777777" w:rsidR="00EA432F" w:rsidRPr="00EA432F" w:rsidRDefault="00EA432F" w:rsidP="00F36DDA">
            <w:pPr>
              <w:spacing w:after="0" w:line="240" w:lineRule="auto"/>
              <w:jc w:val="right"/>
              <w:rPr>
                <w:rFonts w:ascii="Aptos Narrow" w:eastAsia="Times New Roman" w:hAnsi="Aptos Narrow" w:cs="Times New Roman"/>
                <w:color w:val="000000"/>
                <w:kern w:val="0"/>
                <w:lang w:eastAsia="es-DO"/>
                <w14:ligatures w14:val="none"/>
              </w:rPr>
            </w:pPr>
            <w:r w:rsidRPr="00EA432F">
              <w:rPr>
                <w:rFonts w:ascii="Aptos Narrow" w:eastAsia="Times New Roman" w:hAnsi="Aptos Narrow" w:cs="Times New Roman"/>
                <w:color w:val="000000"/>
                <w:kern w:val="0"/>
                <w:lang w:eastAsia="es-DO"/>
                <w14:ligatures w14:val="none"/>
              </w:rPr>
              <w:t xml:space="preserve">       265,584 </w:t>
            </w:r>
          </w:p>
        </w:tc>
        <w:tc>
          <w:tcPr>
            <w:tcW w:w="1450" w:type="dxa"/>
            <w:tcBorders>
              <w:top w:val="nil"/>
              <w:left w:val="nil"/>
              <w:bottom w:val="nil"/>
              <w:right w:val="nil"/>
            </w:tcBorders>
            <w:noWrap/>
            <w:vAlign w:val="bottom"/>
            <w:hideMark/>
          </w:tcPr>
          <w:p w14:paraId="702143D0" w14:textId="77777777" w:rsidR="00EA432F" w:rsidRPr="00EA432F" w:rsidRDefault="00EA432F" w:rsidP="00F36DDA">
            <w:pPr>
              <w:spacing w:after="0" w:line="240" w:lineRule="auto"/>
              <w:jc w:val="right"/>
              <w:rPr>
                <w:rFonts w:ascii="Aptos Narrow" w:eastAsia="Times New Roman" w:hAnsi="Aptos Narrow" w:cs="Times New Roman"/>
                <w:color w:val="000000"/>
                <w:kern w:val="0"/>
                <w:lang w:eastAsia="es-DO"/>
                <w14:ligatures w14:val="none"/>
              </w:rPr>
            </w:pPr>
            <w:r w:rsidRPr="00EA432F">
              <w:rPr>
                <w:rFonts w:ascii="Aptos Narrow" w:eastAsia="Times New Roman" w:hAnsi="Aptos Narrow" w:cs="Times New Roman"/>
                <w:color w:val="000000"/>
                <w:kern w:val="0"/>
                <w:lang w:eastAsia="es-DO"/>
                <w14:ligatures w14:val="none"/>
              </w:rPr>
              <w:t xml:space="preserve">       349,962 </w:t>
            </w:r>
          </w:p>
        </w:tc>
        <w:tc>
          <w:tcPr>
            <w:tcW w:w="1410" w:type="dxa"/>
            <w:tcBorders>
              <w:top w:val="nil"/>
              <w:left w:val="nil"/>
              <w:bottom w:val="nil"/>
              <w:right w:val="nil"/>
            </w:tcBorders>
            <w:noWrap/>
            <w:vAlign w:val="bottom"/>
            <w:hideMark/>
          </w:tcPr>
          <w:p w14:paraId="473370B5" w14:textId="77777777" w:rsidR="00EA432F" w:rsidRPr="00EA432F" w:rsidRDefault="00EA432F" w:rsidP="00F36DDA">
            <w:pPr>
              <w:spacing w:after="0" w:line="240" w:lineRule="auto"/>
              <w:jc w:val="right"/>
              <w:rPr>
                <w:rFonts w:ascii="Aptos Narrow" w:eastAsia="Times New Roman" w:hAnsi="Aptos Narrow" w:cs="Times New Roman"/>
                <w:color w:val="000000"/>
                <w:kern w:val="0"/>
                <w:lang w:eastAsia="es-DO"/>
                <w14:ligatures w14:val="none"/>
              </w:rPr>
            </w:pPr>
            <w:r w:rsidRPr="00EA432F">
              <w:rPr>
                <w:rFonts w:ascii="Aptos Narrow" w:eastAsia="Times New Roman" w:hAnsi="Aptos Narrow" w:cs="Times New Roman"/>
                <w:color w:val="000000"/>
                <w:kern w:val="0"/>
                <w:lang w:eastAsia="es-DO"/>
                <w14:ligatures w14:val="none"/>
              </w:rPr>
              <w:t xml:space="preserve">          85,820 </w:t>
            </w:r>
          </w:p>
        </w:tc>
        <w:tc>
          <w:tcPr>
            <w:tcW w:w="1460" w:type="dxa"/>
            <w:tcBorders>
              <w:top w:val="nil"/>
              <w:left w:val="nil"/>
              <w:bottom w:val="nil"/>
              <w:right w:val="nil"/>
            </w:tcBorders>
            <w:noWrap/>
            <w:vAlign w:val="bottom"/>
            <w:hideMark/>
          </w:tcPr>
          <w:p w14:paraId="1B77AA32" w14:textId="77777777" w:rsidR="00EA432F" w:rsidRPr="00EA432F" w:rsidRDefault="00EA432F" w:rsidP="00F36DDA">
            <w:pPr>
              <w:spacing w:after="0" w:line="240" w:lineRule="auto"/>
              <w:jc w:val="right"/>
              <w:rPr>
                <w:rFonts w:ascii="Aptos Narrow" w:eastAsia="Times New Roman" w:hAnsi="Aptos Narrow" w:cs="Times New Roman"/>
                <w:color w:val="000000"/>
                <w:kern w:val="0"/>
                <w:lang w:eastAsia="es-DO"/>
                <w14:ligatures w14:val="none"/>
              </w:rPr>
            </w:pPr>
            <w:r w:rsidRPr="00EA432F">
              <w:rPr>
                <w:rFonts w:ascii="Aptos Narrow" w:eastAsia="Times New Roman" w:hAnsi="Aptos Narrow" w:cs="Times New Roman"/>
                <w:color w:val="000000"/>
                <w:kern w:val="0"/>
                <w:lang w:eastAsia="es-DO"/>
                <w14:ligatures w14:val="none"/>
              </w:rPr>
              <w:t xml:space="preserve">       103,366 </w:t>
            </w:r>
          </w:p>
        </w:tc>
      </w:tr>
    </w:tbl>
    <w:p w14:paraId="17B49D18" w14:textId="77777777" w:rsidR="00EA432F" w:rsidRDefault="00EA432F" w:rsidP="00EA432F">
      <w:pPr>
        <w:jc w:val="both"/>
      </w:pPr>
    </w:p>
    <w:p w14:paraId="72E37220" w14:textId="42CCCB20" w:rsidR="00EA432F" w:rsidRPr="00177D89" w:rsidRDefault="00F36DDA" w:rsidP="00EA432F">
      <w:pPr>
        <w:jc w:val="both"/>
        <w:rPr>
          <w:sz w:val="18"/>
          <w:szCs w:val="18"/>
        </w:rPr>
      </w:pPr>
      <w:r w:rsidRPr="00177D89">
        <w:rPr>
          <w:sz w:val="18"/>
          <w:szCs w:val="18"/>
        </w:rPr>
        <w:t xml:space="preserve">Fuente: elaborado por DASA en base a datos de </w:t>
      </w:r>
      <w:proofErr w:type="spellStart"/>
      <w:r w:rsidRPr="00177D89">
        <w:rPr>
          <w:sz w:val="18"/>
          <w:szCs w:val="18"/>
        </w:rPr>
        <w:t>trademap</w:t>
      </w:r>
      <w:proofErr w:type="spellEnd"/>
      <w:r w:rsidRPr="00177D89">
        <w:rPr>
          <w:sz w:val="18"/>
          <w:szCs w:val="18"/>
        </w:rPr>
        <w:t xml:space="preserve"> </w:t>
      </w:r>
    </w:p>
    <w:sectPr w:rsidR="00EA432F" w:rsidRPr="00177D89" w:rsidSect="003F56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8B8"/>
    <w:rsid w:val="0009215C"/>
    <w:rsid w:val="00177D89"/>
    <w:rsid w:val="002F6556"/>
    <w:rsid w:val="00334F62"/>
    <w:rsid w:val="00393A8D"/>
    <w:rsid w:val="003F56B0"/>
    <w:rsid w:val="00411FE0"/>
    <w:rsid w:val="00570878"/>
    <w:rsid w:val="005B3BA0"/>
    <w:rsid w:val="007822B6"/>
    <w:rsid w:val="00861A5D"/>
    <w:rsid w:val="00864E07"/>
    <w:rsid w:val="00C95901"/>
    <w:rsid w:val="00CC2C81"/>
    <w:rsid w:val="00CD28B8"/>
    <w:rsid w:val="00E325EF"/>
    <w:rsid w:val="00EA432F"/>
    <w:rsid w:val="00F36DDA"/>
    <w:rsid w:val="00F71E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ACC19"/>
  <w15:chartTrackingRefBased/>
  <w15:docId w15:val="{4520BDDC-96BE-4E09-BA99-447E88D31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D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28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28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28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28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28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28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28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28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28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28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28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28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28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28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28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28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28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28B8"/>
    <w:rPr>
      <w:rFonts w:eastAsiaTheme="majorEastAsia" w:cstheme="majorBidi"/>
      <w:color w:val="272727" w:themeColor="text1" w:themeTint="D8"/>
    </w:rPr>
  </w:style>
  <w:style w:type="paragraph" w:styleId="Title">
    <w:name w:val="Title"/>
    <w:basedOn w:val="Normal"/>
    <w:next w:val="Normal"/>
    <w:link w:val="TitleChar"/>
    <w:uiPriority w:val="10"/>
    <w:qFormat/>
    <w:rsid w:val="00CD28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28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28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28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28B8"/>
    <w:pPr>
      <w:spacing w:before="160"/>
      <w:jc w:val="center"/>
    </w:pPr>
    <w:rPr>
      <w:i/>
      <w:iCs/>
      <w:color w:val="404040" w:themeColor="text1" w:themeTint="BF"/>
    </w:rPr>
  </w:style>
  <w:style w:type="character" w:customStyle="1" w:styleId="QuoteChar">
    <w:name w:val="Quote Char"/>
    <w:basedOn w:val="DefaultParagraphFont"/>
    <w:link w:val="Quote"/>
    <w:uiPriority w:val="29"/>
    <w:rsid w:val="00CD28B8"/>
    <w:rPr>
      <w:i/>
      <w:iCs/>
      <w:color w:val="404040" w:themeColor="text1" w:themeTint="BF"/>
    </w:rPr>
  </w:style>
  <w:style w:type="paragraph" w:styleId="ListParagraph">
    <w:name w:val="List Paragraph"/>
    <w:basedOn w:val="Normal"/>
    <w:uiPriority w:val="34"/>
    <w:qFormat/>
    <w:rsid w:val="00CD28B8"/>
    <w:pPr>
      <w:ind w:left="720"/>
      <w:contextualSpacing/>
    </w:pPr>
  </w:style>
  <w:style w:type="character" w:styleId="IntenseEmphasis">
    <w:name w:val="Intense Emphasis"/>
    <w:basedOn w:val="DefaultParagraphFont"/>
    <w:uiPriority w:val="21"/>
    <w:qFormat/>
    <w:rsid w:val="00CD28B8"/>
    <w:rPr>
      <w:i/>
      <w:iCs/>
      <w:color w:val="0F4761" w:themeColor="accent1" w:themeShade="BF"/>
    </w:rPr>
  </w:style>
  <w:style w:type="paragraph" w:styleId="IntenseQuote">
    <w:name w:val="Intense Quote"/>
    <w:basedOn w:val="Normal"/>
    <w:next w:val="Normal"/>
    <w:link w:val="IntenseQuoteChar"/>
    <w:uiPriority w:val="30"/>
    <w:qFormat/>
    <w:rsid w:val="00CD28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28B8"/>
    <w:rPr>
      <w:i/>
      <w:iCs/>
      <w:color w:val="0F4761" w:themeColor="accent1" w:themeShade="BF"/>
    </w:rPr>
  </w:style>
  <w:style w:type="character" w:styleId="IntenseReference">
    <w:name w:val="Intense Reference"/>
    <w:basedOn w:val="DefaultParagraphFont"/>
    <w:uiPriority w:val="32"/>
    <w:qFormat/>
    <w:rsid w:val="00CD28B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1482</Words>
  <Characters>8449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despradel</dc:creator>
  <cp:keywords/>
  <dc:description/>
  <cp:lastModifiedBy>Lynette Batista</cp:lastModifiedBy>
  <cp:revision>2</cp:revision>
  <dcterms:created xsi:type="dcterms:W3CDTF">2025-09-01T14:15:00Z</dcterms:created>
  <dcterms:modified xsi:type="dcterms:W3CDTF">2025-09-01T14:15:00Z</dcterms:modified>
</cp:coreProperties>
</file>