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9288" w14:textId="15C6F0D9" w:rsidR="00777E29" w:rsidRPr="00777E29" w:rsidRDefault="00074D81" w:rsidP="00777E29">
      <w:pPr>
        <w:rPr>
          <w:b/>
          <w:bCs/>
        </w:rPr>
      </w:pPr>
      <w:r>
        <w:rPr>
          <w:b/>
          <w:bCs/>
        </w:rPr>
        <w:t>Respuesta</w:t>
      </w:r>
      <w:r w:rsidR="005A242F">
        <w:rPr>
          <w:b/>
          <w:bCs/>
        </w:rPr>
        <w:t xml:space="preserve"> 2</w:t>
      </w:r>
      <w:r>
        <w:rPr>
          <w:b/>
          <w:bCs/>
        </w:rPr>
        <w:t xml:space="preserve">:  </w:t>
      </w:r>
      <w:r w:rsidR="00777E29" w:rsidRPr="00777E29">
        <w:rPr>
          <w:b/>
          <w:bCs/>
        </w:rPr>
        <w:t>Proceso Productivo de Varillas de Acero Corrugadas en Turquía</w:t>
      </w:r>
    </w:p>
    <w:p w14:paraId="4D01F4FA" w14:textId="178EF560" w:rsidR="00777E29" w:rsidRDefault="00777E29" w:rsidP="00777E29">
      <w:r w:rsidRPr="00777E29">
        <w:t xml:space="preserve">Turquía es el mayor exportador de varillas corrugadas de Europa, con envíos a la UE, Oriente Medio y América Latina. El proceso productivo se basa en </w:t>
      </w:r>
      <w:r w:rsidR="00135E5A">
        <w:t>m</w:t>
      </w:r>
      <w:r w:rsidR="00135E5A" w:rsidRPr="00777E29">
        <w:t>olinos con</w:t>
      </w:r>
      <w:r w:rsidRPr="00777E29">
        <w:t xml:space="preserve"> hornos de arco eléctrico (EAF), que representan </w:t>
      </w:r>
      <w:r w:rsidR="00135E5A">
        <w:t xml:space="preserve">la mayor </w:t>
      </w:r>
      <w:r w:rsidRPr="00777E29">
        <w:t>producción, utilizando chatarra reciclada</w:t>
      </w:r>
      <w:r w:rsidR="00135E5A">
        <w:t xml:space="preserve">.  En adición pueden partir su producción desde la palanquilla, las cuales importan.  </w:t>
      </w:r>
    </w:p>
    <w:p w14:paraId="2FE91EBD" w14:textId="5F200A3D" w:rsidR="00777E29" w:rsidRPr="00777E29" w:rsidRDefault="00777E29" w:rsidP="00777E29">
      <w:r w:rsidRPr="00777E29">
        <w:t xml:space="preserve"> </w:t>
      </w:r>
    </w:p>
    <w:p w14:paraId="1D4D06BD" w14:textId="77777777" w:rsidR="00777E29" w:rsidRDefault="00777E29" w:rsidP="00777E29">
      <w:pPr>
        <w:rPr>
          <w:b/>
          <w:bCs/>
        </w:rPr>
      </w:pPr>
      <w:r w:rsidRPr="00777E29">
        <w:rPr>
          <w:b/>
          <w:bCs/>
        </w:rPr>
        <w:t>Diagrama de Flujo del Proceso Productivo</w:t>
      </w:r>
    </w:p>
    <w:p w14:paraId="767FCBBF" w14:textId="3044660F" w:rsidR="00135E5A" w:rsidRPr="00135E5A" w:rsidRDefault="00135E5A" w:rsidP="00777E29">
      <w:r>
        <w:t xml:space="preserve">A </w:t>
      </w:r>
      <w:r w:rsidR="00805BC2">
        <w:t>continuación,</w:t>
      </w:r>
      <w:r>
        <w:t xml:space="preserve"> presentamos un diagrama del proceso productivo: </w:t>
      </w:r>
    </w:p>
    <w:p w14:paraId="7B8B0135" w14:textId="77777777" w:rsidR="00135E5A" w:rsidRPr="00777E29" w:rsidRDefault="00135E5A" w:rsidP="00777E29">
      <w:pPr>
        <w:rPr>
          <w:b/>
          <w:bCs/>
        </w:rPr>
      </w:pPr>
    </w:p>
    <w:p w14:paraId="2F083E7A" w14:textId="626827AF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[1. Extracción y Preparación de Materias Primas (Chatarra y Aditivos)]</w:t>
      </w:r>
    </w:p>
    <w:p w14:paraId="6A51A28A" w14:textId="50C74D2C" w:rsidR="00777E29" w:rsidRPr="00777E29" w:rsidRDefault="00777E29" w:rsidP="00135E5A">
      <w:pPr>
        <w:jc w:val="center"/>
      </w:pPr>
      <w:r w:rsidRPr="00777E29">
        <w:t>↓</w:t>
      </w:r>
    </w:p>
    <w:p w14:paraId="58D56844" w14:textId="08E880B5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[2. Fundición Primaria (Horno de Arco Eléctrico - EAF o Inducción)]</w:t>
      </w:r>
    </w:p>
    <w:p w14:paraId="0E0DD445" w14:textId="5A9E4C8F" w:rsidR="00777E29" w:rsidRPr="00777E29" w:rsidRDefault="00777E29" w:rsidP="00135E5A">
      <w:pPr>
        <w:jc w:val="center"/>
      </w:pPr>
      <w:r w:rsidRPr="00777E29">
        <w:t>↓</w:t>
      </w:r>
    </w:p>
    <w:p w14:paraId="43950D32" w14:textId="05EBFB9F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[3. Refinado Secundario (Horno de Colada)]</w:t>
      </w:r>
    </w:p>
    <w:p w14:paraId="4827FE7F" w14:textId="4920A4EE" w:rsidR="00777E29" w:rsidRPr="00777E29" w:rsidRDefault="00777E29" w:rsidP="00135E5A">
      <w:pPr>
        <w:jc w:val="center"/>
      </w:pPr>
      <w:r w:rsidRPr="00777E29">
        <w:t>↓</w:t>
      </w:r>
    </w:p>
    <w:p w14:paraId="415B24FB" w14:textId="046411B6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 xml:space="preserve">[4. Colada Continua (Formación de </w:t>
      </w:r>
      <w:proofErr w:type="spellStart"/>
      <w:r w:rsidRPr="00777E29">
        <w:t>Billets</w:t>
      </w:r>
      <w:proofErr w:type="spellEnd"/>
      <w:r w:rsidRPr="00777E29">
        <w:t>)]</w:t>
      </w:r>
    </w:p>
    <w:p w14:paraId="60A678AA" w14:textId="0E081F07" w:rsidR="00777E29" w:rsidRPr="00777E29" w:rsidRDefault="00777E29" w:rsidP="00135E5A">
      <w:pPr>
        <w:jc w:val="center"/>
      </w:pPr>
      <w:r w:rsidRPr="00777E29">
        <w:t>↓</w:t>
      </w:r>
    </w:p>
    <w:p w14:paraId="6D6FF689" w14:textId="689B13F3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 xml:space="preserve">[5. Recalentamiento de </w:t>
      </w:r>
      <w:proofErr w:type="spellStart"/>
      <w:r w:rsidRPr="00777E29">
        <w:t>Billets</w:t>
      </w:r>
      <w:proofErr w:type="spellEnd"/>
      <w:r w:rsidRPr="00777E29">
        <w:t>]</w:t>
      </w:r>
    </w:p>
    <w:p w14:paraId="7B51CB5E" w14:textId="20594B43" w:rsidR="00777E29" w:rsidRPr="00777E29" w:rsidRDefault="00777E29" w:rsidP="00135E5A">
      <w:pPr>
        <w:jc w:val="center"/>
      </w:pPr>
      <w:r w:rsidRPr="00777E29">
        <w:t>↓</w:t>
      </w:r>
    </w:p>
    <w:p w14:paraId="0BF3E10B" w14:textId="1CA91818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[6. Laminación en Caliente]</w:t>
      </w:r>
    </w:p>
    <w:p w14:paraId="260D1B45" w14:textId="1E0E0087" w:rsidR="00777E29" w:rsidRPr="00777E29" w:rsidRDefault="00777E29" w:rsidP="00135E5A">
      <w:pPr>
        <w:jc w:val="center"/>
      </w:pPr>
      <w:r w:rsidRPr="00777E29">
        <w:t>↓</w:t>
      </w:r>
    </w:p>
    <w:p w14:paraId="5FDBE95A" w14:textId="1A36EA2D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[7. Corrugado y Conformado]</w:t>
      </w:r>
    </w:p>
    <w:p w14:paraId="1293FFE2" w14:textId="47C27D7D" w:rsidR="00777E29" w:rsidRPr="00777E29" w:rsidRDefault="00777E29" w:rsidP="00135E5A">
      <w:pPr>
        <w:jc w:val="center"/>
      </w:pPr>
      <w:r w:rsidRPr="00777E29">
        <w:t>↓</w:t>
      </w:r>
    </w:p>
    <w:p w14:paraId="52CC40F1" w14:textId="0B5506A5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[8. Enfriamiento, Corte, Inspección y Empaque]</w:t>
      </w:r>
    </w:p>
    <w:p w14:paraId="00E42E1A" w14:textId="57ECA070" w:rsidR="00777E29" w:rsidRPr="00777E29" w:rsidRDefault="00777E29" w:rsidP="00135E5A">
      <w:pPr>
        <w:jc w:val="center"/>
      </w:pPr>
      <w:r w:rsidRPr="00777E29">
        <w:t>↓</w:t>
      </w:r>
    </w:p>
    <w:p w14:paraId="4CC95909" w14:textId="77777777" w:rsidR="00777E29" w:rsidRPr="00777E29" w:rsidRDefault="00777E29" w:rsidP="00135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7E29">
        <w:t>[Producto Final: Varillas Corrugadas (Diámetros 8-40 mm, Longitudes 6-12 m)]</w:t>
      </w:r>
    </w:p>
    <w:p w14:paraId="7ACD4067" w14:textId="6DBDB608" w:rsidR="00777E29" w:rsidRPr="00733FD9" w:rsidRDefault="00733FD9" w:rsidP="00777E29">
      <w:r w:rsidRPr="00733FD9">
        <w:t xml:space="preserve">Fuente: Elaborado por DASA </w:t>
      </w:r>
      <w:r w:rsidR="004A4184">
        <w:t xml:space="preserve">con base en las </w:t>
      </w:r>
      <w:r>
        <w:t xml:space="preserve">fuentes </w:t>
      </w:r>
      <w:r w:rsidR="004A4184">
        <w:t xml:space="preserve">revisadas y </w:t>
      </w:r>
      <w:r>
        <w:t xml:space="preserve">detalladas. </w:t>
      </w:r>
      <w:r w:rsidRPr="00733FD9">
        <w:t xml:space="preserve"> </w:t>
      </w:r>
    </w:p>
    <w:p w14:paraId="4AC0B762" w14:textId="77777777" w:rsidR="00733FD9" w:rsidRDefault="00733FD9" w:rsidP="00777E29">
      <w:pPr>
        <w:rPr>
          <w:b/>
          <w:bCs/>
        </w:rPr>
      </w:pPr>
    </w:p>
    <w:p w14:paraId="0DA8402A" w14:textId="77777777" w:rsidR="00733FD9" w:rsidRDefault="00733FD9" w:rsidP="00777E29">
      <w:pPr>
        <w:rPr>
          <w:b/>
          <w:bCs/>
        </w:rPr>
      </w:pPr>
    </w:p>
    <w:p w14:paraId="72966A0B" w14:textId="77777777" w:rsidR="00733FD9" w:rsidRDefault="00733FD9" w:rsidP="00777E29">
      <w:pPr>
        <w:rPr>
          <w:b/>
          <w:bCs/>
        </w:rPr>
      </w:pPr>
    </w:p>
    <w:p w14:paraId="636993F2" w14:textId="0AB23B37" w:rsidR="00777E29" w:rsidRPr="00777E29" w:rsidRDefault="00777E29" w:rsidP="00777E29">
      <w:pPr>
        <w:rPr>
          <w:b/>
          <w:bCs/>
        </w:rPr>
      </w:pPr>
      <w:r w:rsidRPr="00777E29">
        <w:rPr>
          <w:b/>
          <w:bCs/>
        </w:rPr>
        <w:t>Descripción Detallada de Cada Etapa</w:t>
      </w:r>
    </w:p>
    <w:p w14:paraId="645DA2DF" w14:textId="77777777" w:rsidR="00777E29" w:rsidRPr="00777E29" w:rsidRDefault="00777E29" w:rsidP="00777E29">
      <w:r w:rsidRPr="00777E29">
        <w:t>A continuación, se detalla cada etapa del proceso en el contexto turco, con insumos, tiempos, rendimientos y fuentes verificables con enlaces.</w:t>
      </w:r>
    </w:p>
    <w:p w14:paraId="3C7F9EDE" w14:textId="5A768AF6" w:rsidR="00135E5A" w:rsidRDefault="00777E29" w:rsidP="00805BC2">
      <w:pPr>
        <w:numPr>
          <w:ilvl w:val="0"/>
          <w:numId w:val="1"/>
        </w:numPr>
      </w:pPr>
      <w:r w:rsidRPr="00777E29">
        <w:rPr>
          <w:b/>
          <w:bCs/>
        </w:rPr>
        <w:t>Extracción y Preparación de Materias Primas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Se recolectan chatarra de hierro (70-80% del insumo), </w:t>
      </w:r>
      <w:proofErr w:type="spellStart"/>
      <w:r w:rsidRPr="00777E29">
        <w:t>ferrosilicio</w:t>
      </w:r>
      <w:proofErr w:type="spellEnd"/>
      <w:r w:rsidRPr="00777E29">
        <w:t xml:space="preserve">, </w:t>
      </w:r>
      <w:proofErr w:type="spellStart"/>
      <w:r w:rsidRPr="00777E29">
        <w:t>ferrosilicio</w:t>
      </w:r>
      <w:proofErr w:type="spellEnd"/>
      <w:r w:rsidRPr="00777E29">
        <w:t xml:space="preserve">-manganeso, refractarios, negro de carbón, fluorita, piedra caliza, oxígeno líquido, electrodos de aluminio y grafito. La chatarra, transportada 245 km en promedio por camión o ferry, se clasifica para garantizar calidad. Turquía importó </w:t>
      </w:r>
      <w:r w:rsidR="00805BC2">
        <w:t>20</w:t>
      </w:r>
      <w:r w:rsidRPr="00777E29">
        <w:t xml:space="preserve"> millones de toneladas de chatarra en 202</w:t>
      </w:r>
      <w:r w:rsidR="00805BC2">
        <w:t>4</w:t>
      </w:r>
      <w:r w:rsidRPr="00777E29">
        <w:t xml:space="preserve">, </w:t>
      </w:r>
      <w:r w:rsidR="00135E5A">
        <w:t>(</w:t>
      </w:r>
      <w:proofErr w:type="spellStart"/>
      <w:r w:rsidR="00805BC2">
        <w:t>TradeMap</w:t>
      </w:r>
      <w:proofErr w:type="spellEnd"/>
      <w:r w:rsidR="00135E5A">
        <w:t>)</w:t>
      </w:r>
      <w:r w:rsidRPr="00777E29">
        <w:t>.</w:t>
      </w:r>
    </w:p>
    <w:p w14:paraId="29D58D75" w14:textId="71E35ED7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>Fundición Primaria (Horno de Arco Eléctrico - EAF o Inducción)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La chatarra se funde en hornos EAF (26 plantas activas en Turquía) a 1.600-1.700°C, usando arcos eléctricos. El proceso no integrado es similar al de </w:t>
      </w:r>
      <w:proofErr w:type="gramStart"/>
      <w:r w:rsidRPr="00777E29">
        <w:t>EE.UU</w:t>
      </w:r>
      <w:r w:rsidR="00805BC2">
        <w:t>.</w:t>
      </w:r>
      <w:proofErr w:type="gramEnd"/>
      <w:r w:rsidR="00805BC2">
        <w:t xml:space="preserve"> </w:t>
      </w:r>
      <w:r w:rsidRPr="00777E29">
        <w:t xml:space="preserve">USITC </w:t>
      </w:r>
      <w:proofErr w:type="spellStart"/>
      <w:r w:rsidRPr="00777E29">
        <w:t>Report</w:t>
      </w:r>
      <w:proofErr w:type="spellEnd"/>
      <w:r w:rsidRPr="00777E29">
        <w:t>, 1997.</w:t>
      </w:r>
      <w:r w:rsidRPr="00777E29">
        <w:br/>
      </w:r>
    </w:p>
    <w:p w14:paraId="00A08CF6" w14:textId="7C9CE586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>Refinado Secundario (Horno de Colada)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El acero líquido se refina en un horno de colada, ajustando composición química (carbono, manganeso) y eliminando gases como hidrógeno mediante agitadores electromagnéticos. USITC </w:t>
      </w:r>
      <w:proofErr w:type="spellStart"/>
      <w:r w:rsidRPr="00777E29">
        <w:t>Report</w:t>
      </w:r>
      <w:proofErr w:type="spellEnd"/>
      <w:r w:rsidRPr="00777E29">
        <w:t>, 1997.</w:t>
      </w:r>
      <w:r w:rsidRPr="00777E29">
        <w:br/>
      </w:r>
    </w:p>
    <w:p w14:paraId="2A4C6979" w14:textId="20D5777B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 xml:space="preserve">Colada Continua (Formación de </w:t>
      </w:r>
      <w:proofErr w:type="spellStart"/>
      <w:r w:rsidRPr="00777E29">
        <w:rPr>
          <w:b/>
          <w:bCs/>
        </w:rPr>
        <w:t>Billets</w:t>
      </w:r>
      <w:proofErr w:type="spellEnd"/>
      <w:r w:rsidR="00805BC2">
        <w:rPr>
          <w:b/>
          <w:bCs/>
        </w:rPr>
        <w:t xml:space="preserve"> - Palanquillas</w:t>
      </w:r>
      <w:r w:rsidRPr="00777E29">
        <w:rPr>
          <w:b/>
          <w:bCs/>
        </w:rPr>
        <w:t>)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El acero líquido se vierte en moldes enfriados para formar </w:t>
      </w:r>
      <w:proofErr w:type="spellStart"/>
      <w:r w:rsidRPr="00777E29">
        <w:t>billets</w:t>
      </w:r>
      <w:proofErr w:type="spellEnd"/>
      <w:r w:rsidRPr="00777E29">
        <w:t xml:space="preserve"> (100-150 mm). USITC </w:t>
      </w:r>
      <w:proofErr w:type="spellStart"/>
      <w:r w:rsidRPr="00777E29">
        <w:t>Report</w:t>
      </w:r>
      <w:proofErr w:type="spellEnd"/>
      <w:r w:rsidRPr="00777E29">
        <w:t>, 1997</w:t>
      </w:r>
      <w:r w:rsidR="00805BC2">
        <w:t xml:space="preserve">. </w:t>
      </w:r>
      <w:r w:rsidRPr="00777E29">
        <w:t xml:space="preserve"> </w:t>
      </w:r>
      <w:proofErr w:type="spellStart"/>
      <w:r w:rsidRPr="00777E29">
        <w:t>ScienceDirect</w:t>
      </w:r>
      <w:proofErr w:type="spellEnd"/>
      <w:r w:rsidRPr="00777E29">
        <w:t xml:space="preserve"> LCA </w:t>
      </w:r>
      <w:proofErr w:type="spellStart"/>
      <w:r w:rsidRPr="00777E29">
        <w:t>Study</w:t>
      </w:r>
      <w:proofErr w:type="spellEnd"/>
      <w:r w:rsidRPr="00777E29">
        <w:t>, 2022.</w:t>
      </w:r>
      <w:r w:rsidRPr="00777E29">
        <w:br/>
      </w:r>
      <w:r w:rsidRPr="00777E29">
        <w:rPr>
          <w:b/>
          <w:bCs/>
        </w:rPr>
        <w:t>Salida</w:t>
      </w:r>
      <w:r w:rsidRPr="00777E29">
        <w:t xml:space="preserve">: </w:t>
      </w:r>
      <w:proofErr w:type="spellStart"/>
      <w:r w:rsidRPr="00777E29">
        <w:t>Billets</w:t>
      </w:r>
      <w:proofErr w:type="spellEnd"/>
      <w:r w:rsidRPr="00777E29">
        <w:t xml:space="preserve"> </w:t>
      </w:r>
      <w:proofErr w:type="spellStart"/>
      <w:r w:rsidRPr="00777E29">
        <w:t>semifabricados</w:t>
      </w:r>
      <w:proofErr w:type="spellEnd"/>
      <w:r w:rsidRPr="00777E29">
        <w:t>.</w:t>
      </w:r>
    </w:p>
    <w:p w14:paraId="507711F6" w14:textId="6A8948D7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 xml:space="preserve">Recalentamiento de </w:t>
      </w:r>
      <w:proofErr w:type="spellStart"/>
      <w:r w:rsidRPr="00777E29">
        <w:rPr>
          <w:b/>
          <w:bCs/>
        </w:rPr>
        <w:t>Billets</w:t>
      </w:r>
      <w:proofErr w:type="spellEnd"/>
      <w:r w:rsidR="00805BC2">
        <w:rPr>
          <w:b/>
          <w:bCs/>
        </w:rPr>
        <w:t xml:space="preserve"> - Laminador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Los </w:t>
      </w:r>
      <w:proofErr w:type="spellStart"/>
      <w:r w:rsidRPr="00777E29">
        <w:t>billets</w:t>
      </w:r>
      <w:proofErr w:type="spellEnd"/>
      <w:r w:rsidRPr="00777E29">
        <w:t xml:space="preserve"> </w:t>
      </w:r>
      <w:r w:rsidR="00805BC2">
        <w:t xml:space="preserve">(palanquilla) </w:t>
      </w:r>
      <w:r w:rsidRPr="00777E29">
        <w:t xml:space="preserve">se recalientan a 1.200-1.300°C en hornos a gas natural (39 m³/tonelada para </w:t>
      </w:r>
      <w:proofErr w:type="spellStart"/>
      <w:r w:rsidRPr="00777E29">
        <w:t>rebar</w:t>
      </w:r>
      <w:proofErr w:type="spellEnd"/>
      <w:r w:rsidRPr="00777E29">
        <w:t xml:space="preserve">) </w:t>
      </w:r>
      <w:proofErr w:type="spellStart"/>
      <w:r w:rsidRPr="00777E29">
        <w:t>ScienceDirect</w:t>
      </w:r>
      <w:proofErr w:type="spellEnd"/>
      <w:r w:rsidRPr="00777E29">
        <w:t xml:space="preserve"> LCA </w:t>
      </w:r>
      <w:proofErr w:type="spellStart"/>
      <w:r w:rsidRPr="00777E29">
        <w:t>Study</w:t>
      </w:r>
      <w:proofErr w:type="spellEnd"/>
      <w:r w:rsidRPr="00777E29">
        <w:t>, 2022.</w:t>
      </w:r>
      <w:r w:rsidRPr="00777E29">
        <w:br/>
      </w:r>
    </w:p>
    <w:p w14:paraId="02F8E8E5" w14:textId="6A7DAFE7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>Laminación en Caliente</w:t>
      </w:r>
      <w:r w:rsidRPr="00777E29">
        <w:br/>
      </w:r>
      <w:r w:rsidRPr="00777E29">
        <w:rPr>
          <w:b/>
          <w:bCs/>
        </w:rPr>
        <w:t>Descripción</w:t>
      </w:r>
      <w:r w:rsidRPr="00777E29">
        <w:t xml:space="preserve">: Los </w:t>
      </w:r>
      <w:proofErr w:type="spellStart"/>
      <w:r w:rsidRPr="00777E29">
        <w:t>billets</w:t>
      </w:r>
      <w:proofErr w:type="spellEnd"/>
      <w:r w:rsidRPr="00777E29">
        <w:t xml:space="preserve"> pasan por rodillos en molinos continuos, reduciendo diámetro </w:t>
      </w:r>
      <w:proofErr w:type="spellStart"/>
      <w:r w:rsidRPr="00777E29">
        <w:t>ScienceDirect</w:t>
      </w:r>
      <w:proofErr w:type="spellEnd"/>
      <w:r w:rsidRPr="00777E29">
        <w:t xml:space="preserve"> LCA </w:t>
      </w:r>
      <w:proofErr w:type="spellStart"/>
      <w:r w:rsidRPr="00777E29">
        <w:t>Study</w:t>
      </w:r>
      <w:proofErr w:type="spellEnd"/>
      <w:r w:rsidRPr="00777E29">
        <w:t xml:space="preserve">, 2022 USITC </w:t>
      </w:r>
      <w:proofErr w:type="spellStart"/>
      <w:r w:rsidRPr="00777E29">
        <w:t>Report</w:t>
      </w:r>
      <w:proofErr w:type="spellEnd"/>
      <w:r w:rsidRPr="00777E29">
        <w:t>, 1997.</w:t>
      </w:r>
      <w:r w:rsidRPr="00777E29">
        <w:br/>
      </w:r>
      <w:r w:rsidRPr="00777E29">
        <w:rPr>
          <w:b/>
          <w:bCs/>
        </w:rPr>
        <w:t>Salida</w:t>
      </w:r>
      <w:r w:rsidRPr="00777E29">
        <w:t xml:space="preserve">: Barras </w:t>
      </w:r>
      <w:proofErr w:type="gramStart"/>
      <w:r w:rsidRPr="00777E29">
        <w:t>lisas</w:t>
      </w:r>
      <w:r w:rsidR="00805BC2">
        <w:t xml:space="preserve"> </w:t>
      </w:r>
      <w:r w:rsidRPr="00777E29">
        <w:t>.</w:t>
      </w:r>
      <w:proofErr w:type="gramEnd"/>
    </w:p>
    <w:p w14:paraId="220B3ECF" w14:textId="429DB6AD" w:rsidR="00777E29" w:rsidRPr="00777E29" w:rsidRDefault="00777E29" w:rsidP="00777E29">
      <w:pPr>
        <w:numPr>
          <w:ilvl w:val="0"/>
          <w:numId w:val="1"/>
        </w:numPr>
      </w:pPr>
      <w:r w:rsidRPr="00777E29">
        <w:rPr>
          <w:b/>
          <w:bCs/>
        </w:rPr>
        <w:t>Corrugado y Conformado</w:t>
      </w:r>
      <w:r w:rsidRPr="00777E29">
        <w:br/>
      </w:r>
      <w:r w:rsidRPr="00777E29">
        <w:rPr>
          <w:b/>
          <w:bCs/>
        </w:rPr>
        <w:t>Descripción</w:t>
      </w:r>
      <w:r w:rsidRPr="00777E29">
        <w:t>: Se añaden nervaduras mediante rodillos para mejorar adherencia al hormigón, cumpliendo normas</w:t>
      </w:r>
      <w:r w:rsidR="00805BC2">
        <w:t xml:space="preserve">. </w:t>
      </w:r>
      <w:r w:rsidRPr="00777E29">
        <w:t xml:space="preserve"> USITC </w:t>
      </w:r>
      <w:proofErr w:type="spellStart"/>
      <w:r w:rsidRPr="00777E29">
        <w:t>Report</w:t>
      </w:r>
      <w:proofErr w:type="spellEnd"/>
      <w:r w:rsidRPr="00777E29">
        <w:t>, 1997.</w:t>
      </w:r>
      <w:r w:rsidRPr="00777E29">
        <w:br/>
      </w:r>
    </w:p>
    <w:p w14:paraId="44AFC870" w14:textId="77777777" w:rsidR="00805BC2" w:rsidRPr="00805BC2" w:rsidRDefault="00777E29" w:rsidP="00777E29">
      <w:pPr>
        <w:numPr>
          <w:ilvl w:val="0"/>
          <w:numId w:val="1"/>
        </w:numPr>
        <w:rPr>
          <w:b/>
          <w:bCs/>
        </w:rPr>
      </w:pPr>
      <w:r w:rsidRPr="00777E29">
        <w:rPr>
          <w:b/>
          <w:bCs/>
        </w:rPr>
        <w:t>Enfriamiento, Corte, Inspección y Empaque</w:t>
      </w:r>
      <w:r w:rsidRPr="00777E29">
        <w:br/>
      </w:r>
      <w:r w:rsidRPr="00777E29">
        <w:rPr>
          <w:b/>
          <w:bCs/>
        </w:rPr>
        <w:t>Descripción</w:t>
      </w:r>
      <w:r w:rsidRPr="00777E29">
        <w:t>: Las varillas se enfrían, cortan (6-12 m), inspeccionan (pruebas de tracción, ultrasonido) y empaquetan. Longitudes cortas (20-40 pies)</w:t>
      </w:r>
      <w:r w:rsidR="00805BC2">
        <w:t xml:space="preserve">. </w:t>
      </w:r>
      <w:r w:rsidRPr="00777E29">
        <w:t xml:space="preserve"> USITC </w:t>
      </w:r>
      <w:proofErr w:type="spellStart"/>
      <w:r w:rsidRPr="00777E29">
        <w:t>Report</w:t>
      </w:r>
      <w:proofErr w:type="spellEnd"/>
      <w:r w:rsidRPr="00777E29">
        <w:t>, 1997.</w:t>
      </w:r>
    </w:p>
    <w:p w14:paraId="476D45A5" w14:textId="77777777" w:rsidR="00805BC2" w:rsidRDefault="00805BC2" w:rsidP="00805BC2">
      <w:pPr>
        <w:rPr>
          <w:b/>
          <w:bCs/>
        </w:rPr>
      </w:pPr>
    </w:p>
    <w:p w14:paraId="42008F5E" w14:textId="2A225CC4" w:rsidR="00777E29" w:rsidRDefault="00805BC2" w:rsidP="00805BC2">
      <w:pPr>
        <w:rPr>
          <w:b/>
          <w:bCs/>
        </w:rPr>
      </w:pPr>
      <w:r>
        <w:rPr>
          <w:b/>
          <w:bCs/>
        </w:rPr>
        <w:t>Producción a Partir de la Chatarra o de la Palanquilla</w:t>
      </w:r>
    </w:p>
    <w:p w14:paraId="5448AE19" w14:textId="11717BA5" w:rsidR="00805BC2" w:rsidRDefault="00805BC2" w:rsidP="00805BC2">
      <w:r>
        <w:t xml:space="preserve">La producción de varillas puede iniciarse desde la Chatarra o desde la importación de palanquillas, siguiendo el proceso de transformación a varillas. </w:t>
      </w:r>
    </w:p>
    <w:p w14:paraId="1A06C6E2" w14:textId="7158F94A" w:rsidR="00805BC2" w:rsidRDefault="00805BC2" w:rsidP="00805BC2">
      <w:proofErr w:type="gramStart"/>
      <w:r>
        <w:t>De acuerdo a</w:t>
      </w:r>
      <w:proofErr w:type="gramEnd"/>
      <w:r>
        <w:t xml:space="preserve"> datos de </w:t>
      </w:r>
      <w:proofErr w:type="spellStart"/>
      <w:r>
        <w:t>trademap</w:t>
      </w:r>
      <w:proofErr w:type="spellEnd"/>
      <w:r>
        <w:t xml:space="preserve"> en el 2024 Turquía importó </w:t>
      </w:r>
      <w:r w:rsidRPr="00965AAC">
        <w:rPr>
          <w:b/>
          <w:bCs/>
        </w:rPr>
        <w:t>20 millones de TM de chatarra</w:t>
      </w:r>
      <w:r>
        <w:t xml:space="preserve">, y en </w:t>
      </w:r>
      <w:r w:rsidR="00965AAC">
        <w:t>adición</w:t>
      </w:r>
      <w:r>
        <w:t xml:space="preserve"> </w:t>
      </w:r>
      <w:r w:rsidR="00965AAC">
        <w:t xml:space="preserve">importó </w:t>
      </w:r>
      <w:r w:rsidR="00965AAC" w:rsidRPr="00965AAC">
        <w:t>7.9</w:t>
      </w:r>
      <w:r w:rsidR="00965AAC">
        <w:t xml:space="preserve"> millones de palanquilla, lo que corrobora el uso de ambos insumos. </w:t>
      </w:r>
    </w:p>
    <w:p w14:paraId="77E56694" w14:textId="77777777" w:rsidR="00E53852" w:rsidRDefault="00E53852" w:rsidP="00777E29"/>
    <w:p w14:paraId="6D48CF0E" w14:textId="3D31E9B4" w:rsidR="00E53852" w:rsidRDefault="00E53852" w:rsidP="00777E29">
      <w:r>
        <w:t>L</w:t>
      </w:r>
      <w:r w:rsidR="00FA6873">
        <w:t xml:space="preserve">as estimaciones de los </w:t>
      </w:r>
      <w:r>
        <w:t>Insumos utilizados</w:t>
      </w:r>
      <w:r w:rsidR="00F836E1">
        <w:t xml:space="preserve"> </w:t>
      </w:r>
      <w:proofErr w:type="gramStart"/>
      <w:r w:rsidR="00F836E1">
        <w:t>de acuerdo a</w:t>
      </w:r>
      <w:proofErr w:type="gramEnd"/>
      <w:r w:rsidR="00F836E1">
        <w:t xml:space="preserve"> cifras </w:t>
      </w:r>
      <w:r w:rsidR="00F836E1" w:rsidRPr="00F836E1">
        <w:t>LCA (</w:t>
      </w:r>
      <w:proofErr w:type="spellStart"/>
      <w:r w:rsidR="00F836E1" w:rsidRPr="00F836E1">
        <w:t>Life</w:t>
      </w:r>
      <w:r w:rsidR="00F836E1" w:rsidRPr="00F836E1">
        <w:rPr>
          <w:rFonts w:ascii="Cambria Math" w:hAnsi="Cambria Math" w:cs="Cambria Math"/>
        </w:rPr>
        <w:t>‐</w:t>
      </w:r>
      <w:r w:rsidR="00F836E1" w:rsidRPr="00F836E1">
        <w:t>Cycle</w:t>
      </w:r>
      <w:proofErr w:type="spellEnd"/>
      <w:r w:rsidR="00F836E1" w:rsidRPr="00F836E1">
        <w:t xml:space="preserve"> </w:t>
      </w:r>
      <w:proofErr w:type="spellStart"/>
      <w:r w:rsidR="00F836E1" w:rsidRPr="00F836E1">
        <w:t>Assessment</w:t>
      </w:r>
      <w:proofErr w:type="spellEnd"/>
      <w:r w:rsidR="00F836E1" w:rsidRPr="00F836E1">
        <w:t>)</w:t>
      </w:r>
      <w:r w:rsidR="00FA6873">
        <w:t xml:space="preserve"> son: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056"/>
        <w:gridCol w:w="1398"/>
        <w:gridCol w:w="3488"/>
      </w:tblGrid>
      <w:tr w:rsidR="00E53852" w:rsidRPr="00E53852" w14:paraId="3ACF33B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BA3FE4" w14:textId="77777777" w:rsidR="00E53852" w:rsidRPr="00E53852" w:rsidRDefault="00E53852" w:rsidP="00E53852">
            <w:pPr>
              <w:rPr>
                <w:b/>
                <w:bCs/>
                <w:lang w:val="en-US"/>
              </w:rPr>
            </w:pPr>
            <w:proofErr w:type="spellStart"/>
            <w:r w:rsidRPr="00E53852">
              <w:rPr>
                <w:b/>
                <w:bCs/>
                <w:lang w:val="en-US"/>
              </w:rPr>
              <w:t>Insumo</w:t>
            </w:r>
            <w:proofErr w:type="spellEnd"/>
            <w:r w:rsidRPr="00E53852">
              <w:rPr>
                <w:b/>
                <w:bCs/>
                <w:lang w:val="en-US"/>
              </w:rPr>
              <w:t xml:space="preserve"> o </w:t>
            </w:r>
            <w:proofErr w:type="spellStart"/>
            <w:r w:rsidRPr="00E53852">
              <w:rPr>
                <w:b/>
                <w:bCs/>
                <w:lang w:val="en-US"/>
              </w:rPr>
              <w:t>parámetro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320530" w14:textId="77777777" w:rsidR="00E53852" w:rsidRPr="00E53852" w:rsidRDefault="00E53852" w:rsidP="00E53852">
            <w:pPr>
              <w:rPr>
                <w:b/>
                <w:bCs/>
                <w:lang w:val="en-US"/>
              </w:rPr>
            </w:pPr>
            <w:proofErr w:type="spellStart"/>
            <w:r w:rsidRPr="00E53852">
              <w:rPr>
                <w:b/>
                <w:bCs/>
                <w:lang w:val="en-US"/>
              </w:rPr>
              <w:t>Cantidad</w:t>
            </w:r>
            <w:proofErr w:type="spellEnd"/>
            <w:r w:rsidRPr="00E53852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53852">
              <w:rPr>
                <w:b/>
                <w:bCs/>
                <w:lang w:val="en-US"/>
              </w:rPr>
              <w:t>estimada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DE9EB" w14:textId="77777777" w:rsidR="00E53852" w:rsidRPr="00E53852" w:rsidRDefault="00E53852" w:rsidP="00E53852">
            <w:pPr>
              <w:rPr>
                <w:b/>
                <w:bCs/>
                <w:lang w:val="en-US"/>
              </w:rPr>
            </w:pPr>
            <w:proofErr w:type="spellStart"/>
            <w:r w:rsidRPr="00E53852">
              <w:rPr>
                <w:b/>
                <w:bCs/>
                <w:lang w:val="en-US"/>
              </w:rPr>
              <w:t>Unidades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389ED" w14:textId="77777777" w:rsidR="00E53852" w:rsidRPr="00E53852" w:rsidRDefault="00E53852" w:rsidP="00E53852">
            <w:pPr>
              <w:rPr>
                <w:b/>
                <w:bCs/>
                <w:lang w:val="en-US"/>
              </w:rPr>
            </w:pPr>
            <w:proofErr w:type="spellStart"/>
            <w:r w:rsidRPr="00E53852">
              <w:rPr>
                <w:b/>
                <w:bCs/>
                <w:lang w:val="en-US"/>
              </w:rPr>
              <w:t>Comentarios</w:t>
            </w:r>
            <w:proofErr w:type="spellEnd"/>
            <w:r w:rsidRPr="00E53852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E53852">
              <w:rPr>
                <w:b/>
                <w:bCs/>
                <w:lang w:val="en-US"/>
              </w:rPr>
              <w:t>condiciones</w:t>
            </w:r>
            <w:proofErr w:type="spellEnd"/>
          </w:p>
        </w:tc>
      </w:tr>
      <w:tr w:rsidR="00E53852" w:rsidRPr="00E53852" w14:paraId="7C02EF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005F7" w14:textId="77777777" w:rsidR="00E53852" w:rsidRPr="00E53852" w:rsidRDefault="00E53852" w:rsidP="00E53852">
            <w:pPr>
              <w:rPr>
                <w:lang w:val="en-US"/>
              </w:rPr>
            </w:pPr>
            <w:proofErr w:type="spellStart"/>
            <w:r w:rsidRPr="00E53852">
              <w:rPr>
                <w:lang w:val="en-US"/>
              </w:rPr>
              <w:t>Electricidad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F1B2B1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 xml:space="preserve">~ </w:t>
            </w:r>
            <w:r w:rsidRPr="00E53852">
              <w:rPr>
                <w:b/>
                <w:bCs/>
                <w:lang w:val="en-US"/>
              </w:rPr>
              <w:t>1 400 – 1 800 kWh</w:t>
            </w:r>
            <w:r w:rsidRPr="00E53852">
              <w:rPr>
                <w:lang w:val="en-US"/>
              </w:rPr>
              <w:t xml:space="preserve"> </w:t>
            </w:r>
            <w:proofErr w:type="spellStart"/>
            <w:r w:rsidRPr="00E53852">
              <w:rPr>
                <w:lang w:val="en-US"/>
              </w:rPr>
              <w:t>por</w:t>
            </w:r>
            <w:proofErr w:type="spellEnd"/>
            <w:r w:rsidRPr="00E53852">
              <w:rPr>
                <w:lang w:val="en-US"/>
              </w:rPr>
              <w:t xml:space="preserve"> </w:t>
            </w:r>
            <w:proofErr w:type="spellStart"/>
            <w:r w:rsidRPr="00E53852">
              <w:rPr>
                <w:lang w:val="en-US"/>
              </w:rPr>
              <w:t>tonelada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610199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>kWh/t</w:t>
            </w:r>
          </w:p>
        </w:tc>
        <w:tc>
          <w:tcPr>
            <w:tcW w:w="0" w:type="auto"/>
            <w:vAlign w:val="center"/>
            <w:hideMark/>
          </w:tcPr>
          <w:p w14:paraId="2087277F" w14:textId="69A42E27" w:rsidR="00E53852" w:rsidRPr="00E53852" w:rsidRDefault="00E53852" w:rsidP="00E53852">
            <w:r w:rsidRPr="00E53852">
              <w:t>Planta con horno de inducción, ruta desde chatarra hasta varilla; incluye energía para fusión, colada continua, recalentamiento y laminado.)</w:t>
            </w:r>
          </w:p>
        </w:tc>
      </w:tr>
      <w:tr w:rsidR="00E53852" w:rsidRPr="00E53852" w14:paraId="5FA4BD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D731" w14:textId="77777777" w:rsidR="00E53852" w:rsidRPr="00E53852" w:rsidRDefault="00E53852" w:rsidP="00E53852">
            <w:r w:rsidRPr="00E53852">
              <w:t>Carbón / combustibles fósiles (para recalentamiento, combustibles auxiliares)</w:t>
            </w:r>
          </w:p>
        </w:tc>
        <w:tc>
          <w:tcPr>
            <w:tcW w:w="0" w:type="auto"/>
            <w:vAlign w:val="center"/>
            <w:hideMark/>
          </w:tcPr>
          <w:p w14:paraId="29822A2D" w14:textId="77777777" w:rsidR="00E53852" w:rsidRPr="00E53852" w:rsidRDefault="00E53852" w:rsidP="00E53852">
            <w:r w:rsidRPr="00E53852">
              <w:t xml:space="preserve">~ </w:t>
            </w:r>
            <w:r w:rsidRPr="00E53852">
              <w:rPr>
                <w:b/>
                <w:bCs/>
              </w:rPr>
              <w:t>40 – 60 MJ</w:t>
            </w:r>
            <w:r w:rsidRPr="00E53852">
              <w:t xml:space="preserve"> / tonelada de </w:t>
            </w:r>
            <w:proofErr w:type="spellStart"/>
            <w:r w:rsidRPr="00E53852">
              <w:t>billet</w:t>
            </w:r>
            <w:proofErr w:type="spellEnd"/>
            <w:r w:rsidRPr="00E53852">
              <w:t xml:space="preserve"> para recalentamiento</w:t>
            </w:r>
          </w:p>
        </w:tc>
        <w:tc>
          <w:tcPr>
            <w:tcW w:w="0" w:type="auto"/>
            <w:vAlign w:val="center"/>
            <w:hideMark/>
          </w:tcPr>
          <w:p w14:paraId="0198BCBE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>MJ/t</w:t>
            </w:r>
          </w:p>
        </w:tc>
        <w:tc>
          <w:tcPr>
            <w:tcW w:w="0" w:type="auto"/>
            <w:vAlign w:val="center"/>
            <w:hideMark/>
          </w:tcPr>
          <w:p w14:paraId="5B8D87EF" w14:textId="36B51627" w:rsidR="00E53852" w:rsidRPr="00E53852" w:rsidRDefault="00E53852" w:rsidP="00E53852">
            <w:r w:rsidRPr="00E53852">
              <w:t>Dependerá del método de recalentamiento (si se recalentamiento y qué combustible).</w:t>
            </w:r>
          </w:p>
        </w:tc>
      </w:tr>
      <w:tr w:rsidR="00E53852" w:rsidRPr="00E53852" w14:paraId="29DF2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7EA50" w14:textId="77777777" w:rsidR="00E53852" w:rsidRPr="00E53852" w:rsidRDefault="00E53852" w:rsidP="00E53852">
            <w:pPr>
              <w:rPr>
                <w:lang w:val="en-US"/>
              </w:rPr>
            </w:pPr>
            <w:proofErr w:type="spellStart"/>
            <w:r w:rsidRPr="00E53852">
              <w:rPr>
                <w:lang w:val="en-US"/>
              </w:rPr>
              <w:t>Chatarra</w:t>
            </w:r>
            <w:proofErr w:type="spellEnd"/>
            <w:r w:rsidRPr="00E53852">
              <w:rPr>
                <w:lang w:val="en-US"/>
              </w:rPr>
              <w:t xml:space="preserve"> / “scrap” </w:t>
            </w:r>
            <w:proofErr w:type="spellStart"/>
            <w:r w:rsidRPr="00E53852">
              <w:rPr>
                <w:lang w:val="en-US"/>
              </w:rPr>
              <w:t>metálico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4EC16" w14:textId="77777777" w:rsidR="00E53852" w:rsidRPr="00E53852" w:rsidRDefault="00E53852" w:rsidP="00E53852">
            <w:r w:rsidRPr="00E53852">
              <w:t xml:space="preserve">≈ </w:t>
            </w:r>
            <w:r w:rsidRPr="00E53852">
              <w:rPr>
                <w:b/>
                <w:bCs/>
              </w:rPr>
              <w:t>900 – 1 100 kg</w:t>
            </w:r>
            <w:r w:rsidRPr="00E53852">
              <w:t xml:space="preserve"> de chatarra (o </w:t>
            </w:r>
            <w:proofErr w:type="spellStart"/>
            <w:r w:rsidRPr="00E53852">
              <w:t>billet</w:t>
            </w:r>
            <w:proofErr w:type="spellEnd"/>
            <w:r w:rsidRPr="00E53852">
              <w:t xml:space="preserve"> equivalente)</w:t>
            </w:r>
          </w:p>
        </w:tc>
        <w:tc>
          <w:tcPr>
            <w:tcW w:w="0" w:type="auto"/>
            <w:vAlign w:val="center"/>
            <w:hideMark/>
          </w:tcPr>
          <w:p w14:paraId="57D1C67B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>kg/t</w:t>
            </w:r>
          </w:p>
        </w:tc>
        <w:tc>
          <w:tcPr>
            <w:tcW w:w="0" w:type="auto"/>
            <w:vAlign w:val="center"/>
            <w:hideMark/>
          </w:tcPr>
          <w:p w14:paraId="25B84942" w14:textId="7D9B5C9F" w:rsidR="00E53852" w:rsidRPr="00E53852" w:rsidRDefault="00E53852" w:rsidP="00E53852">
            <w:r w:rsidRPr="00E53852">
              <w:t>Para la ruta secundaria (</w:t>
            </w:r>
            <w:proofErr w:type="spellStart"/>
            <w:r w:rsidRPr="00E53852">
              <w:t>induction</w:t>
            </w:r>
            <w:proofErr w:type="spellEnd"/>
            <w:r w:rsidRPr="00E53852">
              <w:t xml:space="preserve"> </w:t>
            </w:r>
            <w:proofErr w:type="spellStart"/>
            <w:r w:rsidRPr="00E53852">
              <w:t>melting</w:t>
            </w:r>
            <w:proofErr w:type="spellEnd"/>
            <w:r w:rsidRPr="00E53852">
              <w:t xml:space="preserve"> + </w:t>
            </w:r>
            <w:proofErr w:type="spellStart"/>
            <w:r w:rsidRPr="00E53852">
              <w:t>billet</w:t>
            </w:r>
            <w:proofErr w:type="spellEnd"/>
            <w:r w:rsidRPr="00E53852">
              <w:t xml:space="preserve"> comprado/interno). En la mayoría del </w:t>
            </w:r>
            <w:r w:rsidR="00104C84">
              <w:t>estudio</w:t>
            </w:r>
            <w:r w:rsidRPr="00E53852">
              <w:t xml:space="preserve">, el </w:t>
            </w:r>
            <w:proofErr w:type="spellStart"/>
            <w:r w:rsidRPr="00E53852">
              <w:t>billet</w:t>
            </w:r>
            <w:proofErr w:type="spellEnd"/>
            <w:r w:rsidRPr="00E53852">
              <w:t xml:space="preserve"> consume chatarra como materia prima principal. </w:t>
            </w:r>
          </w:p>
        </w:tc>
      </w:tr>
      <w:tr w:rsidR="00E53852" w:rsidRPr="00E53852" w14:paraId="318E95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5B2BF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>Billet</w:t>
            </w:r>
          </w:p>
        </w:tc>
        <w:tc>
          <w:tcPr>
            <w:tcW w:w="0" w:type="auto"/>
            <w:vAlign w:val="center"/>
            <w:hideMark/>
          </w:tcPr>
          <w:p w14:paraId="6E574EE8" w14:textId="77777777" w:rsidR="00E53852" w:rsidRPr="00E53852" w:rsidRDefault="00E53852" w:rsidP="00E53852">
            <w:r w:rsidRPr="00E53852">
              <w:t xml:space="preserve">~ </w:t>
            </w:r>
            <w:r w:rsidRPr="00E53852">
              <w:rPr>
                <w:b/>
                <w:bCs/>
              </w:rPr>
              <w:t>1 050 – 1 150 kg</w:t>
            </w:r>
            <w:r w:rsidRPr="00E53852">
              <w:t xml:space="preserve"> por tonelada de varilla</w:t>
            </w:r>
          </w:p>
        </w:tc>
        <w:tc>
          <w:tcPr>
            <w:tcW w:w="0" w:type="auto"/>
            <w:vAlign w:val="center"/>
            <w:hideMark/>
          </w:tcPr>
          <w:p w14:paraId="267B0E7F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>kg/t</w:t>
            </w:r>
          </w:p>
        </w:tc>
        <w:tc>
          <w:tcPr>
            <w:tcW w:w="0" w:type="auto"/>
            <w:vAlign w:val="center"/>
            <w:hideMark/>
          </w:tcPr>
          <w:p w14:paraId="59E7ED7C" w14:textId="0D99F752" w:rsidR="00E53852" w:rsidRPr="00E53852" w:rsidRDefault="00E53852" w:rsidP="00E53852">
            <w:pPr>
              <w:rPr>
                <w:lang w:val="en-US"/>
              </w:rPr>
            </w:pPr>
            <w:r w:rsidRPr="00E53852">
              <w:t xml:space="preserve">Considerando pérdidas, recortes, merma de laminación. Varilla final = tonelada, se requiere más de una tonelada de </w:t>
            </w:r>
            <w:proofErr w:type="spellStart"/>
            <w:r w:rsidRPr="00E53852">
              <w:t>billet</w:t>
            </w:r>
            <w:proofErr w:type="spellEnd"/>
            <w:r w:rsidRPr="00E53852">
              <w:t xml:space="preserve"> debido a merma. </w:t>
            </w:r>
          </w:p>
        </w:tc>
      </w:tr>
      <w:tr w:rsidR="00E53852" w:rsidRPr="00E53852" w14:paraId="2A7E4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DE978" w14:textId="77777777" w:rsidR="00E53852" w:rsidRPr="00E53852" w:rsidRDefault="00E53852" w:rsidP="00E53852">
            <w:pPr>
              <w:rPr>
                <w:lang w:val="en-US"/>
              </w:rPr>
            </w:pPr>
            <w:proofErr w:type="spellStart"/>
            <w:r w:rsidRPr="00E53852">
              <w:rPr>
                <w:lang w:val="en-US"/>
              </w:rPr>
              <w:t>Emisiones</w:t>
            </w:r>
            <w:proofErr w:type="spellEnd"/>
            <w:r w:rsidRPr="00E53852">
              <w:rPr>
                <w:lang w:val="en-US"/>
              </w:rPr>
              <w:t xml:space="preserve"> de CO₂</w:t>
            </w:r>
          </w:p>
        </w:tc>
        <w:tc>
          <w:tcPr>
            <w:tcW w:w="0" w:type="auto"/>
            <w:vAlign w:val="center"/>
            <w:hideMark/>
          </w:tcPr>
          <w:p w14:paraId="1EC28719" w14:textId="77777777" w:rsidR="00E53852" w:rsidRPr="00E53852" w:rsidRDefault="00E53852" w:rsidP="00E53852">
            <w:r w:rsidRPr="00E53852">
              <w:t xml:space="preserve">~ </w:t>
            </w:r>
            <w:r w:rsidRPr="00E53852">
              <w:rPr>
                <w:b/>
                <w:bCs/>
              </w:rPr>
              <w:t xml:space="preserve">720 kg </w:t>
            </w:r>
            <w:proofErr w:type="spellStart"/>
            <w:r w:rsidRPr="00E53852">
              <w:rPr>
                <w:b/>
                <w:bCs/>
              </w:rPr>
              <w:t>CO₂e</w:t>
            </w:r>
            <w:proofErr w:type="spellEnd"/>
            <w:r w:rsidRPr="00E53852">
              <w:t xml:space="preserve"> / tonelada de varilla</w:t>
            </w:r>
          </w:p>
        </w:tc>
        <w:tc>
          <w:tcPr>
            <w:tcW w:w="0" w:type="auto"/>
            <w:vAlign w:val="center"/>
            <w:hideMark/>
          </w:tcPr>
          <w:p w14:paraId="27C59024" w14:textId="77777777" w:rsidR="00E53852" w:rsidRPr="00E53852" w:rsidRDefault="00E53852" w:rsidP="00E53852">
            <w:pPr>
              <w:rPr>
                <w:lang w:val="en-US"/>
              </w:rPr>
            </w:pPr>
            <w:r w:rsidRPr="00E53852">
              <w:rPr>
                <w:lang w:val="en-US"/>
              </w:rPr>
              <w:t xml:space="preserve">kg CO₂ </w:t>
            </w:r>
            <w:proofErr w:type="spellStart"/>
            <w:r w:rsidRPr="00E53852">
              <w:rPr>
                <w:lang w:val="en-US"/>
              </w:rPr>
              <w:t>equivalente</w:t>
            </w:r>
            <w:proofErr w:type="spellEnd"/>
            <w:r w:rsidRPr="00E53852">
              <w:rPr>
                <w:lang w:val="en-US"/>
              </w:rPr>
              <w:t>/t</w:t>
            </w:r>
          </w:p>
        </w:tc>
        <w:tc>
          <w:tcPr>
            <w:tcW w:w="0" w:type="auto"/>
            <w:vAlign w:val="center"/>
            <w:hideMark/>
          </w:tcPr>
          <w:p w14:paraId="6137888C" w14:textId="21C59BDA" w:rsidR="00E53852" w:rsidRPr="00E53852" w:rsidRDefault="00E53852" w:rsidP="00E53852">
            <w:pPr>
              <w:rPr>
                <w:lang w:val="en-US"/>
              </w:rPr>
            </w:pPr>
            <w:r w:rsidRPr="00E53852">
              <w:t>Para planta con horno de inducción (“</w:t>
            </w:r>
            <w:proofErr w:type="spellStart"/>
            <w:r w:rsidRPr="00E53852">
              <w:t>induction</w:t>
            </w:r>
            <w:proofErr w:type="spellEnd"/>
            <w:r w:rsidRPr="00E53852">
              <w:t xml:space="preserve"> </w:t>
            </w:r>
            <w:proofErr w:type="spellStart"/>
            <w:r w:rsidRPr="00E53852">
              <w:t>melting</w:t>
            </w:r>
            <w:proofErr w:type="spellEnd"/>
            <w:r w:rsidRPr="00E53852">
              <w:t xml:space="preserve"> </w:t>
            </w:r>
            <w:proofErr w:type="spellStart"/>
            <w:r w:rsidRPr="00E53852">
              <w:t>furnace</w:t>
            </w:r>
            <w:proofErr w:type="spellEnd"/>
            <w:r w:rsidRPr="00E53852">
              <w:t>”) en Turquía, ruta “</w:t>
            </w:r>
            <w:proofErr w:type="spellStart"/>
            <w:r w:rsidRPr="00E53852">
              <w:t>cradle</w:t>
            </w:r>
            <w:proofErr w:type="spellEnd"/>
            <w:r w:rsidRPr="00E53852">
              <w:t xml:space="preserve"> </w:t>
            </w:r>
            <w:proofErr w:type="spellStart"/>
            <w:r w:rsidRPr="00E53852">
              <w:t>to</w:t>
            </w:r>
            <w:proofErr w:type="spellEnd"/>
            <w:r w:rsidRPr="00E53852">
              <w:t xml:space="preserve"> gate”. </w:t>
            </w:r>
          </w:p>
        </w:tc>
      </w:tr>
    </w:tbl>
    <w:p w14:paraId="4A76DACE" w14:textId="77777777" w:rsidR="00E53852" w:rsidRDefault="00E53852" w:rsidP="00777E29"/>
    <w:p w14:paraId="52BE6A7A" w14:textId="77777777" w:rsidR="00E53852" w:rsidRDefault="00E53852" w:rsidP="00777E29"/>
    <w:p w14:paraId="37AFD95E" w14:textId="77777777" w:rsidR="00E53852" w:rsidRDefault="00E53852" w:rsidP="00777E29"/>
    <w:p w14:paraId="6507033D" w14:textId="77777777" w:rsidR="00E53852" w:rsidRDefault="00E53852" w:rsidP="00777E29"/>
    <w:p w14:paraId="744DDD76" w14:textId="77777777" w:rsidR="00E53852" w:rsidRDefault="00E53852" w:rsidP="00777E29"/>
    <w:p w14:paraId="2FDD05EE" w14:textId="77777777" w:rsidR="00E53852" w:rsidRDefault="00E53852" w:rsidP="00777E29"/>
    <w:p w14:paraId="2A28AC8E" w14:textId="77777777" w:rsidR="00E53852" w:rsidRDefault="00E53852" w:rsidP="00777E29"/>
    <w:p w14:paraId="77BC8529" w14:textId="77777777" w:rsidR="00E53852" w:rsidRDefault="00E53852" w:rsidP="00777E29"/>
    <w:p w14:paraId="344B33BF" w14:textId="77777777" w:rsidR="00E53852" w:rsidRDefault="00E53852" w:rsidP="00777E29"/>
    <w:p w14:paraId="3D819446" w14:textId="77777777" w:rsidR="00E53852" w:rsidRDefault="00E53852" w:rsidP="00777E29"/>
    <w:p w14:paraId="4B3D8F13" w14:textId="77777777" w:rsidR="00E53852" w:rsidRDefault="00E53852" w:rsidP="00777E29"/>
    <w:p w14:paraId="79FDA988" w14:textId="77777777" w:rsidR="00E53852" w:rsidRDefault="00E53852" w:rsidP="00777E29"/>
    <w:p w14:paraId="0C9F62C5" w14:textId="77777777" w:rsidR="00E53852" w:rsidRDefault="00E53852" w:rsidP="00777E29"/>
    <w:p w14:paraId="6F4DCAB1" w14:textId="77777777" w:rsidR="00E53852" w:rsidRDefault="00E53852" w:rsidP="00777E29"/>
    <w:p w14:paraId="46F2DEA7" w14:textId="599CCC13" w:rsidR="00777E29" w:rsidRPr="00777E29" w:rsidRDefault="00777E29" w:rsidP="00777E29">
      <w:r w:rsidRPr="00777E29">
        <w:br/>
      </w:r>
      <w:r w:rsidRPr="00777E29">
        <w:rPr>
          <w:b/>
          <w:bCs/>
        </w:rPr>
        <w:t>Referencias:</w:t>
      </w:r>
    </w:p>
    <w:p w14:paraId="6E5481EF" w14:textId="052400BF" w:rsidR="00777E29" w:rsidRPr="00777E29" w:rsidRDefault="00965AAC" w:rsidP="00777E29">
      <w:pPr>
        <w:numPr>
          <w:ilvl w:val="0"/>
          <w:numId w:val="2"/>
        </w:numPr>
      </w:pPr>
      <w:proofErr w:type="spellStart"/>
      <w:r>
        <w:t>TradeMap</w:t>
      </w:r>
      <w:proofErr w:type="spellEnd"/>
      <w:r>
        <w:t xml:space="preserve"> – archivos Excel anexos</w:t>
      </w:r>
    </w:p>
    <w:p w14:paraId="3B09A2CA" w14:textId="77777777" w:rsidR="00777E29" w:rsidRPr="00074D81" w:rsidRDefault="00777E29" w:rsidP="00777E29">
      <w:pPr>
        <w:numPr>
          <w:ilvl w:val="0"/>
          <w:numId w:val="2"/>
        </w:numPr>
        <w:rPr>
          <w:lang w:val="en-US"/>
        </w:rPr>
      </w:pPr>
      <w:r w:rsidRPr="00074D81">
        <w:rPr>
          <w:lang w:val="en-US"/>
        </w:rPr>
        <w:t>ScienceDirect, "Life Cycle Assessment of Steel Rebar Production in Turkey, 2022" https://www.sciencedirect.com/science/article/abs/pii/S0959652621042550</w:t>
      </w:r>
    </w:p>
    <w:p w14:paraId="7BB6E7AF" w14:textId="77777777" w:rsidR="00777E29" w:rsidRPr="00074D81" w:rsidRDefault="00777E29" w:rsidP="00777E29">
      <w:pPr>
        <w:numPr>
          <w:ilvl w:val="0"/>
          <w:numId w:val="2"/>
        </w:numPr>
        <w:rPr>
          <w:lang w:val="en-US"/>
        </w:rPr>
      </w:pPr>
      <w:r w:rsidRPr="00074D81">
        <w:rPr>
          <w:lang w:val="en-US"/>
        </w:rPr>
        <w:t>USITC, "Certain Steel Concrete Reinforcing Bars from Turkey, 1997" https://www.usitc.gov/publications/701_731/pub3029.pdf</w:t>
      </w:r>
    </w:p>
    <w:p w14:paraId="44CB7A97" w14:textId="77777777" w:rsidR="005B3BA0" w:rsidRPr="00074D81" w:rsidRDefault="005B3BA0">
      <w:pPr>
        <w:rPr>
          <w:lang w:val="en-US"/>
        </w:rPr>
      </w:pPr>
    </w:p>
    <w:sectPr w:rsidR="005B3BA0" w:rsidRPr="00074D81" w:rsidSect="003F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0C8"/>
    <w:multiLevelType w:val="multilevel"/>
    <w:tmpl w:val="1520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654B8"/>
    <w:multiLevelType w:val="multilevel"/>
    <w:tmpl w:val="B50A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887313">
    <w:abstractNumId w:val="1"/>
  </w:num>
  <w:num w:numId="2" w16cid:durableId="134756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29"/>
    <w:rsid w:val="00074D81"/>
    <w:rsid w:val="000A0342"/>
    <w:rsid w:val="000F2178"/>
    <w:rsid w:val="00104C84"/>
    <w:rsid w:val="00130874"/>
    <w:rsid w:val="00135E5A"/>
    <w:rsid w:val="00334F62"/>
    <w:rsid w:val="003835F6"/>
    <w:rsid w:val="003F56B0"/>
    <w:rsid w:val="00411FE0"/>
    <w:rsid w:val="004A4184"/>
    <w:rsid w:val="005A242F"/>
    <w:rsid w:val="005B3BA0"/>
    <w:rsid w:val="00733FD9"/>
    <w:rsid w:val="00777E29"/>
    <w:rsid w:val="007E7E87"/>
    <w:rsid w:val="00805BC2"/>
    <w:rsid w:val="00864E07"/>
    <w:rsid w:val="00965AAC"/>
    <w:rsid w:val="00C6255D"/>
    <w:rsid w:val="00E53852"/>
    <w:rsid w:val="00E57830"/>
    <w:rsid w:val="00F71E83"/>
    <w:rsid w:val="00F836E1"/>
    <w:rsid w:val="00F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82FC"/>
  <w15:chartTrackingRefBased/>
  <w15:docId w15:val="{E8CAF01F-B052-415E-A858-8BBA5208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3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despradel</dc:creator>
  <cp:keywords/>
  <dc:description/>
  <cp:lastModifiedBy>Lynette Batista</cp:lastModifiedBy>
  <cp:revision>2</cp:revision>
  <dcterms:created xsi:type="dcterms:W3CDTF">2025-09-15T10:06:00Z</dcterms:created>
  <dcterms:modified xsi:type="dcterms:W3CDTF">2025-09-15T10:06:00Z</dcterms:modified>
</cp:coreProperties>
</file>