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3E90" w14:textId="418A3AAF" w:rsidR="00C5152B" w:rsidRDefault="00C5152B" w:rsidP="00E00762">
      <w:pPr>
        <w:rPr>
          <w:b/>
          <w:bCs/>
        </w:rPr>
      </w:pPr>
      <w:r>
        <w:rPr>
          <w:b/>
          <w:bCs/>
        </w:rPr>
        <w:t>NO CONFIDENCIAL</w:t>
      </w:r>
    </w:p>
    <w:p w14:paraId="1E8441F9" w14:textId="4C2AB205" w:rsidR="00E00762" w:rsidRDefault="00E00762" w:rsidP="00E00762">
      <w:pPr>
        <w:rPr>
          <w:b/>
          <w:bCs/>
        </w:rPr>
      </w:pPr>
      <w:r>
        <w:rPr>
          <w:b/>
          <w:bCs/>
        </w:rPr>
        <w:t xml:space="preserve">Anexo C7 </w:t>
      </w:r>
      <w:proofErr w:type="spellStart"/>
      <w:r>
        <w:rPr>
          <w:b/>
          <w:bCs/>
        </w:rPr>
        <w:t>iii</w:t>
      </w:r>
      <w:proofErr w:type="spellEnd"/>
      <w:r>
        <w:rPr>
          <w:b/>
          <w:bCs/>
        </w:rPr>
        <w:t>.</w:t>
      </w:r>
    </w:p>
    <w:p w14:paraId="793D01B4" w14:textId="77777777" w:rsidR="00BB6C50" w:rsidRPr="00BB6C50" w:rsidRDefault="00BB6C50" w:rsidP="00BB6C50">
      <w:pPr>
        <w:rPr>
          <w:b/>
          <w:bCs/>
        </w:rPr>
      </w:pPr>
      <w:r w:rsidRPr="00BB6C50">
        <w:rPr>
          <w:b/>
          <w:bCs/>
        </w:rPr>
        <w:t>¿Qué es el Modelo ARIMA?</w:t>
      </w:r>
    </w:p>
    <w:p w14:paraId="3477547F" w14:textId="77777777" w:rsidR="00BB6C50" w:rsidRPr="00BB6C50" w:rsidRDefault="00BB6C50" w:rsidP="00BB6C50">
      <w:r w:rsidRPr="00BB6C50">
        <w:t>ARIMA es una técnica estadística que permite predecir valores futuros basándose en patrones históricos de los datos. Sus siglas significan Auto Regresivo Integrado de Media Móvil, donde cada componente cumple una función específica:</w:t>
      </w:r>
    </w:p>
    <w:p w14:paraId="60F15A96" w14:textId="77777777" w:rsidR="00BB6C50" w:rsidRPr="00BB6C50" w:rsidRDefault="00BB6C50" w:rsidP="00BB6C50">
      <w:pPr>
        <w:numPr>
          <w:ilvl w:val="0"/>
          <w:numId w:val="5"/>
        </w:numPr>
      </w:pPr>
      <w:r w:rsidRPr="00BB6C50">
        <w:rPr>
          <w:b/>
          <w:bCs/>
        </w:rPr>
        <w:t>Autorregresivo (AR)</w:t>
      </w:r>
      <w:r w:rsidRPr="00BB6C50">
        <w:t>: Utiliza valores pasados para predecir valores futuros</w:t>
      </w:r>
    </w:p>
    <w:p w14:paraId="262D0D27" w14:textId="77777777" w:rsidR="00BB6C50" w:rsidRPr="00BB6C50" w:rsidRDefault="00BB6C50" w:rsidP="00BB6C50">
      <w:pPr>
        <w:numPr>
          <w:ilvl w:val="0"/>
          <w:numId w:val="5"/>
        </w:numPr>
      </w:pPr>
      <w:r w:rsidRPr="00BB6C50">
        <w:rPr>
          <w:b/>
          <w:bCs/>
        </w:rPr>
        <w:t>Integrado (I)</w:t>
      </w:r>
      <w:r w:rsidRPr="00BB6C50">
        <w:t>: Estabiliza la serie de datos eliminando tendencias</w:t>
      </w:r>
    </w:p>
    <w:p w14:paraId="295E50C9" w14:textId="77777777" w:rsidR="00BB6C50" w:rsidRPr="00BB6C50" w:rsidRDefault="00BB6C50" w:rsidP="00BB6C50">
      <w:pPr>
        <w:numPr>
          <w:ilvl w:val="0"/>
          <w:numId w:val="5"/>
        </w:numPr>
      </w:pPr>
      <w:r w:rsidRPr="00BB6C50">
        <w:rPr>
          <w:b/>
          <w:bCs/>
        </w:rPr>
        <w:t>Media Móvil (MA)</w:t>
      </w:r>
      <w:r w:rsidRPr="00BB6C50">
        <w:t>: Corrige errores mediante patrones de errores anteriores</w:t>
      </w:r>
    </w:p>
    <w:p w14:paraId="224DEAAA" w14:textId="77777777" w:rsidR="00BB6C50" w:rsidRPr="00BB6C50" w:rsidRDefault="00BB6C50" w:rsidP="00BB6C50">
      <w:r w:rsidRPr="00BB6C50">
        <w:t>El modelo funciona de manera similar a predecir el clima: analiza comportamientos pasados para estimar qué sucederá en el futuro.</w:t>
      </w:r>
    </w:p>
    <w:p w14:paraId="223045B7" w14:textId="77777777" w:rsidR="00BB6C50" w:rsidRPr="00BB6C50" w:rsidRDefault="00BB6C50" w:rsidP="00BB6C50">
      <w:pPr>
        <w:rPr>
          <w:b/>
          <w:bCs/>
        </w:rPr>
      </w:pPr>
      <w:r w:rsidRPr="00BB6C50">
        <w:rPr>
          <w:b/>
          <w:bCs/>
        </w:rPr>
        <w:t>Datos Utilizados</w:t>
      </w:r>
    </w:p>
    <w:p w14:paraId="30EF3BAC" w14:textId="77777777" w:rsidR="00BB6C50" w:rsidRPr="00BB6C50" w:rsidRDefault="00BB6C50" w:rsidP="00BB6C50">
      <w:pPr>
        <w:rPr>
          <w:b/>
          <w:bCs/>
          <w:i/>
          <w:iCs/>
        </w:rPr>
      </w:pPr>
      <w:r w:rsidRPr="00BB6C50">
        <w:rPr>
          <w:b/>
          <w:bCs/>
          <w:i/>
          <w:iCs/>
        </w:rPr>
        <w:t>Período y Frecuencia</w:t>
      </w:r>
    </w:p>
    <w:p w14:paraId="64D1062E" w14:textId="77777777" w:rsidR="00BB6C50" w:rsidRPr="00BB6C50" w:rsidRDefault="00BB6C50" w:rsidP="00BB6C50">
      <w:r w:rsidRPr="00BB6C50">
        <w:t>El análisis empleó datos mensuales desde enero 2016 hasta junio 2025, totalizando 114 observaciones que cubren 9.5 años de información histórica. Esta extensión temporal es suficiente para capturar ciclos económicos completos y variaciones estacionales relevantes.</w:t>
      </w:r>
    </w:p>
    <w:p w14:paraId="41E7049A" w14:textId="77777777" w:rsidR="00BB6C50" w:rsidRPr="00BB6C50" w:rsidRDefault="00BB6C50" w:rsidP="00BB6C50">
      <w:pPr>
        <w:rPr>
          <w:b/>
          <w:bCs/>
          <w:i/>
          <w:iCs/>
        </w:rPr>
      </w:pPr>
      <w:r w:rsidRPr="00BB6C50">
        <w:rPr>
          <w:b/>
          <w:bCs/>
          <w:i/>
          <w:iCs/>
        </w:rPr>
        <w:t>Fuentes de Información</w:t>
      </w:r>
    </w:p>
    <w:p w14:paraId="56A86561" w14:textId="2CB7444F" w:rsidR="00BB6C50" w:rsidRPr="00BB6C50" w:rsidRDefault="00BB6C50" w:rsidP="00BB6C50">
      <w:r w:rsidRPr="00BB6C50">
        <w:t xml:space="preserve">Los precios FOB de exportación de Turquía fueron obtenidos de </w:t>
      </w:r>
      <w:r>
        <w:t>Fastmarkets</w:t>
      </w:r>
      <w:r w:rsidRPr="00BB6C50">
        <w:t xml:space="preserve">, una fuente reconocida internacionalmente para precios de </w:t>
      </w:r>
      <w:proofErr w:type="spellStart"/>
      <w:r w:rsidRPr="00BB6C50">
        <w:t>commodities</w:t>
      </w:r>
      <w:proofErr w:type="spellEnd"/>
      <w:r w:rsidRPr="00BB6C50">
        <w:t xml:space="preserve"> metálicos. Los precios del mercado doméstico fueron suministrados directamente por el sector productivo nacional</w:t>
      </w:r>
      <w:r>
        <w:t xml:space="preserve"> (RPN)</w:t>
      </w:r>
      <w:r w:rsidRPr="00BB6C50">
        <w:t>, garantizando información de primera mano sobre las condiciones del mercado local.</w:t>
      </w:r>
    </w:p>
    <w:p w14:paraId="1546277D" w14:textId="77777777" w:rsidR="00BB6C50" w:rsidRPr="00BB6C50" w:rsidRDefault="00BB6C50" w:rsidP="00BB6C50">
      <w:pPr>
        <w:rPr>
          <w:b/>
          <w:bCs/>
        </w:rPr>
      </w:pPr>
      <w:r w:rsidRPr="00BB6C50">
        <w:rPr>
          <w:b/>
          <w:bCs/>
        </w:rPr>
        <w:t>Tratamiento y Homologación de Datos</w:t>
      </w:r>
    </w:p>
    <w:p w14:paraId="3F659371" w14:textId="37B7BA13" w:rsidR="00BB6C50" w:rsidRPr="00BB6C50" w:rsidRDefault="00BB6C50" w:rsidP="00BB6C50">
      <w:r w:rsidRPr="00BB6C50">
        <w:t xml:space="preserve">Los precios FOB turcos se ajustaron a términos CIF aplicando la diferencia específica entre FOB y CIF reportada por la Dirección General de Aduanas (DGA) para </w:t>
      </w:r>
      <w:r>
        <w:t>l</w:t>
      </w:r>
      <w:r w:rsidRPr="00BB6C50">
        <w:t>os importados productos</w:t>
      </w:r>
      <w:r>
        <w:t xml:space="preserve"> de acero de </w:t>
      </w:r>
      <w:r w:rsidRPr="00BB6C50">
        <w:t xml:space="preserve">Turquía bajo </w:t>
      </w:r>
      <w:r>
        <w:t xml:space="preserve">(partida </w:t>
      </w:r>
      <w:r w:rsidRPr="00BB6C50">
        <w:t>arancelaria HS6 721420</w:t>
      </w:r>
      <w:r>
        <w:t xml:space="preserve"> importada)</w:t>
      </w:r>
      <w:r w:rsidRPr="00BB6C50">
        <w:t>. Este ajuste es crítico porque refleja los costos reales de importación que enfrentan los compradores dominicanos.</w:t>
      </w:r>
      <w:r>
        <w:t xml:space="preserve"> En adición se ajustó por el arancel NMF del 20%. </w:t>
      </w:r>
    </w:p>
    <w:p w14:paraId="36D63642" w14:textId="77777777" w:rsidR="00BB6C50" w:rsidRPr="00BB6C50" w:rsidRDefault="00BB6C50" w:rsidP="00BB6C50">
      <w:r w:rsidRPr="00BB6C50">
        <w:t>Conversión monetaria: Dado que los precios turcos estaban denominados en dólares estadounidenses y los precios locales en pesos dominicanos, se procedió a convertir todos los valores a dólares estadounidenses utilizando la tasa de cambio promedio de venta del Banco Central de la República Dominicana (BCRD) correspondiente a cada período. Esta homologación monetaria elimina distorsiones derivadas de fluctuaciones cambiarias y permite comparaciones válidas.</w:t>
      </w:r>
    </w:p>
    <w:p w14:paraId="52EC6482" w14:textId="77777777" w:rsidR="00BB6C50" w:rsidRPr="00BB6C50" w:rsidRDefault="00BB6C50" w:rsidP="00BB6C50">
      <w:pPr>
        <w:rPr>
          <w:b/>
          <w:bCs/>
        </w:rPr>
      </w:pPr>
      <w:r w:rsidRPr="00BB6C50">
        <w:rPr>
          <w:b/>
          <w:bCs/>
        </w:rPr>
        <w:t>¿Por qué las Proyecciones Parecen Similares Durante 36 Meses?</w:t>
      </w:r>
    </w:p>
    <w:p w14:paraId="51D8A398" w14:textId="77777777" w:rsidR="00BB6C50" w:rsidRPr="00BB6C50" w:rsidRDefault="00BB6C50" w:rsidP="00BB6C50">
      <w:r w:rsidRPr="00BB6C50">
        <w:lastRenderedPageBreak/>
        <w:t xml:space="preserve">Las proyecciones convergen hacia un promedio porque la serie de diferencias de precios es </w:t>
      </w:r>
      <w:r w:rsidRPr="00BB6C50">
        <w:rPr>
          <w:b/>
          <w:bCs/>
        </w:rPr>
        <w:t>estacionaria</w:t>
      </w:r>
      <w:r w:rsidRPr="00BB6C50">
        <w:t>. Esto significa que:</w:t>
      </w:r>
    </w:p>
    <w:p w14:paraId="7F08EC49" w14:textId="77777777" w:rsidR="00BB6C50" w:rsidRPr="00BB6C50" w:rsidRDefault="00BB6C50" w:rsidP="00BB6C50">
      <w:pPr>
        <w:numPr>
          <w:ilvl w:val="0"/>
          <w:numId w:val="6"/>
        </w:numPr>
      </w:pPr>
      <w:r w:rsidRPr="00BB6C50">
        <w:rPr>
          <w:b/>
          <w:bCs/>
        </w:rPr>
        <w:t>Comportamiento estable</w:t>
      </w:r>
      <w:r w:rsidRPr="00BB6C50">
        <w:t>: Durante 9.5 años, la diferencia ha oscilado alrededor de un valor promedio</w:t>
      </w:r>
    </w:p>
    <w:p w14:paraId="145DA635" w14:textId="77777777" w:rsidR="00BB6C50" w:rsidRPr="00BB6C50" w:rsidRDefault="00BB6C50" w:rsidP="00BB6C50">
      <w:pPr>
        <w:numPr>
          <w:ilvl w:val="0"/>
          <w:numId w:val="6"/>
        </w:numPr>
      </w:pPr>
      <w:r w:rsidRPr="00BB6C50">
        <w:rPr>
          <w:b/>
          <w:bCs/>
        </w:rPr>
        <w:t>Convergencia al promedio</w:t>
      </w:r>
      <w:r w:rsidRPr="00BB6C50">
        <w:t>: Sin factores que indiquen cambios estructurales, el modelo proyecta que la brecha se mantendrá cerca de su nivel histórico</w:t>
      </w:r>
    </w:p>
    <w:p w14:paraId="67BDF221" w14:textId="77777777" w:rsidR="00BB6C50" w:rsidRPr="00BB6C50" w:rsidRDefault="00BB6C50" w:rsidP="00BB6C50">
      <w:r w:rsidRPr="00BB6C50">
        <w:t>Esta aparente "repetición" no es una limitación del modelo, sino evidencia de que la diferencia de precios tiene un comportamiento predecible y estable.</w:t>
      </w:r>
    </w:p>
    <w:p w14:paraId="7CFEC2A3" w14:textId="77777777" w:rsidR="00BB6C50" w:rsidRPr="00BB6C50" w:rsidRDefault="00BB6C50" w:rsidP="00BB6C50">
      <w:pPr>
        <w:rPr>
          <w:b/>
          <w:bCs/>
        </w:rPr>
      </w:pPr>
      <w:r w:rsidRPr="00BB6C50">
        <w:rPr>
          <w:b/>
          <w:bCs/>
        </w:rPr>
        <w:t>Resultados Principales</w:t>
      </w:r>
    </w:p>
    <w:p w14:paraId="547DE192" w14:textId="77777777" w:rsidR="00BB6C50" w:rsidRPr="00BB6C50" w:rsidRDefault="00BB6C50" w:rsidP="00BB6C50">
      <w:pPr>
        <w:rPr>
          <w:b/>
          <w:bCs/>
        </w:rPr>
      </w:pPr>
      <w:r w:rsidRPr="00BB6C50">
        <w:rPr>
          <w:b/>
          <w:bCs/>
        </w:rPr>
        <w:t>Escenario Sin Medidas Antidumping</w:t>
      </w:r>
    </w:p>
    <w:p w14:paraId="46ECDB49" w14:textId="687152E0" w:rsidR="00BB6C50" w:rsidRPr="00BB6C50" w:rsidRDefault="00BB6C50" w:rsidP="00BB6C50">
      <w:pPr>
        <w:rPr>
          <w:b/>
          <w:bCs/>
        </w:rPr>
      </w:pPr>
      <w:r w:rsidRPr="00BB6C50">
        <w:t xml:space="preserve">Las varillas turcas serían </w:t>
      </w:r>
      <w:r w:rsidRPr="00BB6C50">
        <w:rPr>
          <w:b/>
          <w:bCs/>
        </w:rPr>
        <w:t>13.2% más baratas</w:t>
      </w:r>
      <w:r w:rsidRPr="00BB6C50">
        <w:t xml:space="preserve"> que las dominicanas, equivalente a una diferencia absoluta de </w:t>
      </w:r>
      <w:r w:rsidRPr="00BB6C50">
        <w:rPr>
          <w:b/>
          <w:bCs/>
        </w:rPr>
        <w:t>US$</w:t>
      </w:r>
      <w:r w:rsidR="00923C97">
        <w:rPr>
          <w:b/>
          <w:bCs/>
        </w:rPr>
        <w:t>143.78</w:t>
      </w:r>
      <w:r w:rsidR="00923C97">
        <w:rPr>
          <w:rStyle w:val="FootnoteReference"/>
          <w:b/>
          <w:bCs/>
        </w:rPr>
        <w:footnoteReference w:id="1"/>
      </w:r>
      <w:r w:rsidRPr="00BB6C50">
        <w:rPr>
          <w:b/>
          <w:bCs/>
        </w:rPr>
        <w:t xml:space="preserve"> por tonelada</w:t>
      </w:r>
      <w:r w:rsidRPr="00BB6C50">
        <w:t xml:space="preserve"> a favor del producto turco</w:t>
      </w:r>
      <w:r>
        <w:t>.</w:t>
      </w:r>
    </w:p>
    <w:p w14:paraId="07A552C5" w14:textId="77777777" w:rsidR="00BB6C50" w:rsidRPr="00BB6C50" w:rsidRDefault="00BB6C50" w:rsidP="00BB6C50">
      <w:pPr>
        <w:rPr>
          <w:b/>
          <w:bCs/>
        </w:rPr>
      </w:pPr>
      <w:r w:rsidRPr="00BB6C50">
        <w:rPr>
          <w:b/>
          <w:bCs/>
        </w:rPr>
        <w:t>Escenario Con Derecho del 14%</w:t>
      </w:r>
    </w:p>
    <w:p w14:paraId="6C64FB79" w14:textId="471C0993" w:rsidR="00BB6C50" w:rsidRPr="00BB6C50" w:rsidRDefault="00BB6C50" w:rsidP="00BB6C50">
      <w:pPr>
        <w:numPr>
          <w:ilvl w:val="0"/>
          <w:numId w:val="7"/>
        </w:numPr>
      </w:pPr>
      <w:r w:rsidRPr="00BB6C50">
        <w:t xml:space="preserve">Las varillas turcas aún serían </w:t>
      </w:r>
      <w:r w:rsidRPr="00BB6C50">
        <w:rPr>
          <w:b/>
          <w:bCs/>
        </w:rPr>
        <w:t>1.05% más baratas</w:t>
      </w:r>
      <w:r w:rsidRPr="00BB6C50">
        <w:t xml:space="preserve"> que las dominicanas, que equivale a una diferencia absoluta de </w:t>
      </w:r>
      <w:r w:rsidRPr="00BB6C50">
        <w:rPr>
          <w:b/>
          <w:bCs/>
        </w:rPr>
        <w:t>US$</w:t>
      </w:r>
      <w:r w:rsidR="00EC4118">
        <w:rPr>
          <w:b/>
          <w:bCs/>
        </w:rPr>
        <w:t>11.43</w:t>
      </w:r>
      <w:r w:rsidR="00EC4118">
        <w:rPr>
          <w:rStyle w:val="FootnoteReference"/>
          <w:b/>
          <w:bCs/>
        </w:rPr>
        <w:footnoteReference w:id="2"/>
      </w:r>
      <w:r w:rsidRPr="00BB6C50">
        <w:rPr>
          <w:b/>
          <w:bCs/>
        </w:rPr>
        <w:t xml:space="preserve"> por tonelada</w:t>
      </w:r>
      <w:r w:rsidRPr="00BB6C50">
        <w:t xml:space="preserve"> a favor del producto turco.</w:t>
      </w:r>
    </w:p>
    <w:p w14:paraId="79103BBA" w14:textId="77777777" w:rsidR="00BB6C50" w:rsidRPr="00BB6C50" w:rsidRDefault="00BB6C50" w:rsidP="00BB6C50">
      <w:pPr>
        <w:rPr>
          <w:b/>
          <w:bCs/>
        </w:rPr>
      </w:pPr>
      <w:r w:rsidRPr="00BB6C50">
        <w:rPr>
          <w:b/>
          <w:bCs/>
        </w:rPr>
        <w:t>Validación del Modelo</w:t>
      </w:r>
    </w:p>
    <w:p w14:paraId="7ED048A0" w14:textId="77777777" w:rsidR="00BB6C50" w:rsidRPr="00BB6C50" w:rsidRDefault="00BB6C50" w:rsidP="00BB6C50">
      <w:r w:rsidRPr="00BB6C50">
        <w:t>La confiabilidad del análisis se sustenta en:</w:t>
      </w:r>
    </w:p>
    <w:p w14:paraId="177F1E49" w14:textId="77777777" w:rsidR="00BB6C50" w:rsidRPr="00BB6C50" w:rsidRDefault="00BB6C50" w:rsidP="00BB6C50">
      <w:pPr>
        <w:numPr>
          <w:ilvl w:val="0"/>
          <w:numId w:val="8"/>
        </w:numPr>
      </w:pPr>
      <w:r w:rsidRPr="00BB6C50">
        <w:rPr>
          <w:b/>
          <w:bCs/>
        </w:rPr>
        <w:t>Datos históricos robustos</w:t>
      </w:r>
      <w:r w:rsidRPr="00BB6C50">
        <w:t>: Base de 9.5 años de información mensual</w:t>
      </w:r>
    </w:p>
    <w:p w14:paraId="02B98940" w14:textId="77777777" w:rsidR="00BB6C50" w:rsidRPr="00BB6C50" w:rsidRDefault="00BB6C50" w:rsidP="00BB6C50">
      <w:pPr>
        <w:numPr>
          <w:ilvl w:val="0"/>
          <w:numId w:val="8"/>
        </w:numPr>
      </w:pPr>
      <w:r w:rsidRPr="00BB6C50">
        <w:rPr>
          <w:b/>
          <w:bCs/>
        </w:rPr>
        <w:t>Intervalos de confianza</w:t>
      </w:r>
      <w:r w:rsidRPr="00BB6C50">
        <w:t>: Las proyecciones incluyen bandas de incertidumbre del 80% y 95%</w:t>
      </w:r>
    </w:p>
    <w:p w14:paraId="22D30E9B" w14:textId="77777777" w:rsidR="00BB6C50" w:rsidRPr="00BB6C50" w:rsidRDefault="00BB6C50" w:rsidP="00BB6C50">
      <w:pPr>
        <w:numPr>
          <w:ilvl w:val="0"/>
          <w:numId w:val="8"/>
        </w:numPr>
      </w:pPr>
      <w:r w:rsidRPr="00BB6C50">
        <w:rPr>
          <w:b/>
          <w:bCs/>
        </w:rPr>
        <w:t>Metodología estándar</w:t>
      </w:r>
      <w:r w:rsidRPr="00BB6C50">
        <w:t>: ARIMA es una técnica reconocida internacionalmente para análisis de series temporales</w:t>
      </w:r>
    </w:p>
    <w:p w14:paraId="15E40630" w14:textId="77777777" w:rsidR="00BB6C50" w:rsidRPr="00BB6C50" w:rsidRDefault="00BB6C50" w:rsidP="00BB6C50">
      <w:r w:rsidRPr="00BB6C50">
        <w:t>El modelo ARIMA demuestra que existe una ventaja sistemática de precios del producto turco que se mantendría en el tiempo sin intervención. El derecho antidumping del 14% prácticamente neutraliza esta ventaja, reduciendo la brecha a niveles mínimos, siendo un 15.2% el punto de equilibrio para igualar completamente los precios.</w:t>
      </w:r>
    </w:p>
    <w:p w14:paraId="67CE1A8E" w14:textId="77777777" w:rsidR="00BB6C50" w:rsidRPr="00BB6C50" w:rsidRDefault="00BB6C50" w:rsidP="00BB6C50">
      <w:r w:rsidRPr="00BB6C50">
        <w:t>La estabilidad de las proyecciones refleja que la diferencia de precios tiene un comportamiento consistente, lo que fortalece la confiabilidad de la evaluación del impacto de las medidas antidumping propuestas.</w:t>
      </w:r>
    </w:p>
    <w:p w14:paraId="77C8D557" w14:textId="77777777" w:rsidR="00561785" w:rsidRDefault="00561785" w:rsidP="00BB6C50">
      <w:pPr>
        <w:rPr>
          <w:b/>
          <w:bCs/>
        </w:rPr>
      </w:pPr>
    </w:p>
    <w:p w14:paraId="2F83B560" w14:textId="7AED2C49" w:rsidR="00BB6C50" w:rsidRPr="00BB6C50" w:rsidRDefault="00BB6C50" w:rsidP="00BB6C50">
      <w:pPr>
        <w:rPr>
          <w:b/>
          <w:bCs/>
        </w:rPr>
      </w:pPr>
      <w:r w:rsidRPr="00BB6C50">
        <w:rPr>
          <w:b/>
          <w:bCs/>
        </w:rPr>
        <w:t>¿Por qué esta brecha de precios es una amenaza y justifica la reducción de precio de precio en la RPN?</w:t>
      </w:r>
    </w:p>
    <w:p w14:paraId="6AD1F818" w14:textId="5C3A5A3F" w:rsidR="00BB6C50" w:rsidRPr="00BB6C50" w:rsidRDefault="00BB6C50" w:rsidP="00BB6C50">
      <w:r w:rsidRPr="00BB6C50">
        <w:t>La brecha de precios identificada mediante el modelo ARIMA constituye un indicador válido para evaluar la</w:t>
      </w:r>
      <w:r>
        <w:t xml:space="preserve"> recurrencia de </w:t>
      </w:r>
      <w:r w:rsidRPr="00BB6C50">
        <w:t>daño a la rama de producción nacional debido a las características específicas del mercado de varillas de acero corrugadas.</w:t>
      </w:r>
    </w:p>
    <w:p w14:paraId="142790DB" w14:textId="77777777" w:rsidR="00BB6C50" w:rsidRPr="00BB6C50" w:rsidRDefault="00BB6C50" w:rsidP="00BB6C50">
      <w:pPr>
        <w:rPr>
          <w:b/>
          <w:bCs/>
        </w:rPr>
      </w:pPr>
      <w:r w:rsidRPr="00BB6C50">
        <w:rPr>
          <w:b/>
          <w:bCs/>
        </w:rPr>
        <w:t>Producto No Diferenciado</w:t>
      </w:r>
    </w:p>
    <w:p w14:paraId="4CECD6D5" w14:textId="77777777" w:rsidR="00BB6C50" w:rsidRPr="00BB6C50" w:rsidRDefault="00BB6C50" w:rsidP="00BB6C50">
      <w:pPr>
        <w:numPr>
          <w:ilvl w:val="1"/>
          <w:numId w:val="9"/>
        </w:numPr>
      </w:pPr>
      <w:r w:rsidRPr="00BB6C50">
        <w:t xml:space="preserve">Las varillas de acero corrugadas representan un </w:t>
      </w:r>
      <w:proofErr w:type="spellStart"/>
      <w:r w:rsidRPr="00BB6C50">
        <w:t>commodity</w:t>
      </w:r>
      <w:proofErr w:type="spellEnd"/>
      <w:r w:rsidRPr="00BB6C50">
        <w:t xml:space="preserve"> estandarizado. Los consumidores no distinguen entre varillas turcas y dominicanas basándose en características del producto, lo que hace que la competencia se base exclusivamente en precio. Sin diferenciación, cualquier ventaja de precio sistemática se traduce directamente en captación de mercado.</w:t>
      </w:r>
    </w:p>
    <w:p w14:paraId="0A606352" w14:textId="77777777" w:rsidR="00BB6C50" w:rsidRPr="00BB6C50" w:rsidRDefault="00BB6C50" w:rsidP="00BB6C50">
      <w:pPr>
        <w:rPr>
          <w:b/>
          <w:bCs/>
        </w:rPr>
      </w:pPr>
      <w:r w:rsidRPr="00BB6C50">
        <w:rPr>
          <w:b/>
          <w:bCs/>
        </w:rPr>
        <w:t>Capacidad de Absorción del Mercado</w:t>
      </w:r>
    </w:p>
    <w:p w14:paraId="2ECEF1A5" w14:textId="77777777" w:rsidR="00BB6C50" w:rsidRPr="00BB6C50" w:rsidRDefault="00BB6C50" w:rsidP="00BB6C50">
      <w:pPr>
        <w:numPr>
          <w:ilvl w:val="1"/>
          <w:numId w:val="9"/>
        </w:numPr>
      </w:pPr>
      <w:r w:rsidRPr="00BB6C50">
        <w:t>Turquía posee la capacidad productiva suficiente para abastecer completamente la demanda dominicana. La industria siderúrgica cuenta con infraestructura logística para incrementar exportaciones significativamente. Esta capacidad implica que la ventaja de precios podría resultar en un desplazamiento masivo de la producción nacional.</w:t>
      </w:r>
    </w:p>
    <w:p w14:paraId="54190AE7" w14:textId="77777777" w:rsidR="00BB6C50" w:rsidRPr="00BB6C50" w:rsidRDefault="00BB6C50" w:rsidP="00BB6C50">
      <w:r w:rsidRPr="00BB6C50">
        <w:t>En productos no diferenciados con competidores que poseen capacidad ilimitada, la brecha de precios se convierte en un predictor directo de pérdida de participación de mercado, presión sobre márgenes y deterioro de la posición competitiva. La ventaja del 13.2% proyectada sin medidas antidumping es suficiente para desplazar sistemáticamente a productores nacionales.</w:t>
      </w:r>
    </w:p>
    <w:p w14:paraId="5FC41017" w14:textId="77777777" w:rsidR="00BB6C50" w:rsidRPr="00BB6C50" w:rsidRDefault="00BB6C50" w:rsidP="00BB6C50">
      <w:r w:rsidRPr="00BB6C50">
        <w:t>A diferencia de productos diferenciados, en el caso de las varillas no existen ventajas cualitativas que justifiquen pagar sobreprecio por el producto nacional, los costos de transacción son insuficientes para neutralizar la ventaja de precio turca, y la elasticidad precio de la demanda es alta.</w:t>
      </w:r>
    </w:p>
    <w:p w14:paraId="118CEA0C" w14:textId="45A51B39" w:rsidR="00E00762" w:rsidRPr="00E00762" w:rsidRDefault="00E00762" w:rsidP="00E00762">
      <w:pPr>
        <w:rPr>
          <w:b/>
          <w:bCs/>
        </w:rPr>
      </w:pPr>
      <w:r w:rsidRPr="00E00762">
        <w:rPr>
          <w:b/>
          <w:bCs/>
        </w:rPr>
        <w:t>Análisis de Sensibilidad Financiera por Reducción de Precios en Varillas de Acero</w:t>
      </w:r>
    </w:p>
    <w:p w14:paraId="42CE6CBA" w14:textId="6770E6E3" w:rsidR="00E00762" w:rsidRDefault="00BB6C50" w:rsidP="00E00762">
      <w:pPr>
        <w:tabs>
          <w:tab w:val="num" w:pos="1440"/>
        </w:tabs>
      </w:pPr>
      <w:r>
        <w:t xml:space="preserve">Bajo esta alta probabilidad de diferencia de precios, realizamos un análisis prospectivo de impacto, considerando una reducción de precios de parte de la RPN de un </w:t>
      </w:r>
      <w:r w:rsidR="00E00762" w:rsidRPr="00E00762">
        <w:t>12%</w:t>
      </w:r>
      <w:r>
        <w:t xml:space="preserve">, </w:t>
      </w:r>
      <w:r w:rsidR="00561785">
        <w:t xml:space="preserve">con el supuesto de que con dicha baja se mantendrían los </w:t>
      </w:r>
      <w:r w:rsidR="00E00762" w:rsidRPr="00E00762">
        <w:t>volúmenes constantes (producción, ventas, etc.)</w:t>
      </w:r>
      <w:r w:rsidR="00561785">
        <w:t xml:space="preserve">, sin permitir la penetración de varillas turcas al mercado doméstico. </w:t>
      </w:r>
      <w:r w:rsidR="00E00762" w:rsidRPr="00E00762">
        <w:t xml:space="preserve"> </w:t>
      </w:r>
    </w:p>
    <w:p w14:paraId="2373CEE4" w14:textId="7B64E201" w:rsidR="00E00762" w:rsidRPr="00E00762" w:rsidRDefault="00E00762" w:rsidP="00E00762">
      <w:pPr>
        <w:tabs>
          <w:tab w:val="num" w:pos="1440"/>
        </w:tabs>
        <w:ind w:left="708"/>
      </w:pPr>
      <w:r w:rsidRPr="00E00762">
        <w:rPr>
          <w:b/>
          <w:bCs/>
        </w:rPr>
        <w:t>Supuesto clave</w:t>
      </w:r>
      <w:r w:rsidRPr="00E00762">
        <w:t>: Reducción de precios = -12% (</w:t>
      </w:r>
      <w:r>
        <w:t xml:space="preserve">causado como reacción a la diferencia de precios entre </w:t>
      </w:r>
      <w:r w:rsidRPr="00E00762">
        <w:t>dumping de importaciones turcas).</w:t>
      </w:r>
    </w:p>
    <w:p w14:paraId="2CD4BE0C" w14:textId="77777777" w:rsidR="00E00762" w:rsidRPr="00E00762" w:rsidRDefault="00E00762" w:rsidP="00E00762">
      <w:pPr>
        <w:numPr>
          <w:ilvl w:val="1"/>
          <w:numId w:val="3"/>
        </w:numPr>
      </w:pPr>
      <w:r w:rsidRPr="00E00762">
        <w:rPr>
          <w:b/>
          <w:bCs/>
        </w:rPr>
        <w:t>Cálculos principales</w:t>
      </w:r>
      <w:r w:rsidRPr="00E00762">
        <w:t xml:space="preserve">: </w:t>
      </w:r>
    </w:p>
    <w:p w14:paraId="788B9531" w14:textId="58C6A8C2" w:rsidR="00E00762" w:rsidRPr="00E00762" w:rsidRDefault="00E00762" w:rsidP="00E00762">
      <w:pPr>
        <w:numPr>
          <w:ilvl w:val="2"/>
          <w:numId w:val="3"/>
        </w:numPr>
      </w:pPr>
      <w:r w:rsidRPr="00E00762">
        <w:t xml:space="preserve">Volumen de ventas nacionales: Se mantiene en </w:t>
      </w:r>
      <w:r w:rsidR="00E712B4">
        <w:t>660,549.36</w:t>
      </w:r>
      <w:r w:rsidR="00E712B4">
        <w:rPr>
          <w:rStyle w:val="FootnoteReference"/>
        </w:rPr>
        <w:footnoteReference w:id="3"/>
      </w:r>
      <w:r w:rsidRPr="00E00762">
        <w:t xml:space="preserve"> TM.</w:t>
      </w:r>
    </w:p>
    <w:p w14:paraId="1DE779E8" w14:textId="35691D6B" w:rsidR="00E00762" w:rsidRPr="00E00762" w:rsidRDefault="00E00762" w:rsidP="00E00762">
      <w:pPr>
        <w:numPr>
          <w:ilvl w:val="2"/>
          <w:numId w:val="3"/>
        </w:numPr>
      </w:pPr>
      <w:r w:rsidRPr="00E00762">
        <w:lastRenderedPageBreak/>
        <w:t xml:space="preserve">Precio promedio por TM: Baja de </w:t>
      </w:r>
      <w:r w:rsidR="00E712B4">
        <w:t>64</w:t>
      </w:r>
      <w:r w:rsidR="003F44BB">
        <w:t>,465.53</w:t>
      </w:r>
      <w:r w:rsidR="003F44BB">
        <w:rPr>
          <w:rStyle w:val="FootnoteReference"/>
        </w:rPr>
        <w:footnoteReference w:id="4"/>
      </w:r>
      <w:r w:rsidRPr="00E00762">
        <w:t xml:space="preserve"> DOP a </w:t>
      </w:r>
      <w:r w:rsidR="003F44BB">
        <w:t>56,730.06</w:t>
      </w:r>
      <w:r w:rsidR="003F44BB">
        <w:rPr>
          <w:rStyle w:val="FootnoteReference"/>
        </w:rPr>
        <w:footnoteReference w:id="5"/>
      </w:r>
      <w:r w:rsidRPr="00E00762">
        <w:t>DOP (-12%).</w:t>
      </w:r>
    </w:p>
    <w:p w14:paraId="543C6B8F" w14:textId="081B7916" w:rsidR="00E00762" w:rsidRPr="00E00762" w:rsidRDefault="00E00762" w:rsidP="00E00762">
      <w:pPr>
        <w:numPr>
          <w:ilvl w:val="2"/>
          <w:numId w:val="3"/>
        </w:numPr>
      </w:pPr>
      <w:r w:rsidRPr="00E00762">
        <w:t xml:space="preserve">Valor de ventas nacionales: Baja de </w:t>
      </w:r>
      <w:r w:rsidR="00D77D37">
        <w:t>34,619.58</w:t>
      </w:r>
      <w:r w:rsidR="00D77D37">
        <w:rPr>
          <w:rStyle w:val="FootnoteReference"/>
        </w:rPr>
        <w:footnoteReference w:id="6"/>
      </w:r>
      <w:r w:rsidRPr="00E00762">
        <w:t xml:space="preserve"> millones DOP a </w:t>
      </w:r>
      <w:r w:rsidR="00D77D37">
        <w:t>30,465.87</w:t>
      </w:r>
      <w:r w:rsidR="00D77D37">
        <w:rPr>
          <w:rStyle w:val="FootnoteReference"/>
        </w:rPr>
        <w:footnoteReference w:id="7"/>
      </w:r>
      <w:r w:rsidRPr="00E00762">
        <w:t xml:space="preserve"> millones DOP (impacto: -</w:t>
      </w:r>
      <w:r w:rsidR="006827B2">
        <w:t>4,154.94</w:t>
      </w:r>
      <w:r w:rsidR="006827B2">
        <w:rPr>
          <w:rStyle w:val="FootnoteReference"/>
        </w:rPr>
        <w:footnoteReference w:id="8"/>
      </w:r>
      <w:r w:rsidRPr="00E00762">
        <w:t xml:space="preserve"> millones DOP, -12%).</w:t>
      </w:r>
    </w:p>
    <w:p w14:paraId="2CF72238" w14:textId="546B682B" w:rsidR="00E00762" w:rsidRPr="00E00762" w:rsidRDefault="00E00762" w:rsidP="00E00762">
      <w:pPr>
        <w:numPr>
          <w:ilvl w:val="2"/>
          <w:numId w:val="3"/>
        </w:numPr>
      </w:pPr>
      <w:r w:rsidRPr="00E00762">
        <w:rPr>
          <w:b/>
          <w:bCs/>
        </w:rPr>
        <w:t>Impacto en EBIT (Utilidad operativa)</w:t>
      </w:r>
      <w:r w:rsidRPr="00E00762">
        <w:t xml:space="preserve">: De </w:t>
      </w:r>
      <w:r w:rsidR="00E60B8C">
        <w:t>5,517.78</w:t>
      </w:r>
      <w:r w:rsidR="00E60B8C">
        <w:rPr>
          <w:rStyle w:val="FootnoteReference"/>
        </w:rPr>
        <w:footnoteReference w:id="9"/>
      </w:r>
      <w:r w:rsidRPr="00E00762">
        <w:t xml:space="preserve"> millones DOP a </w:t>
      </w:r>
      <w:r w:rsidR="00E60B8C">
        <w:t>1,362.84</w:t>
      </w:r>
      <w:r w:rsidR="00576823">
        <w:rPr>
          <w:rStyle w:val="FootnoteReference"/>
        </w:rPr>
        <w:footnoteReference w:id="10"/>
      </w:r>
      <w:r w:rsidRPr="00E00762">
        <w:t xml:space="preserve"> millones DOP (impacto: -</w:t>
      </w:r>
      <w:r w:rsidR="00576823">
        <w:t>4,154.94</w:t>
      </w:r>
      <w:r w:rsidR="00576823">
        <w:rPr>
          <w:rStyle w:val="FootnoteReference"/>
        </w:rPr>
        <w:footnoteReference w:id="11"/>
      </w:r>
      <w:r w:rsidRPr="00E00762">
        <w:t xml:space="preserve"> millones DOP, -75.29%).</w:t>
      </w:r>
    </w:p>
    <w:p w14:paraId="1FE88CF2" w14:textId="37FA7B2F" w:rsidR="00E00762" w:rsidRPr="00E00762" w:rsidRDefault="00E00762" w:rsidP="00E00762">
      <w:pPr>
        <w:numPr>
          <w:ilvl w:val="2"/>
          <w:numId w:val="3"/>
        </w:numPr>
      </w:pPr>
      <w:r w:rsidRPr="00E00762">
        <w:rPr>
          <w:b/>
          <w:bCs/>
        </w:rPr>
        <w:t>Impacto en Utilidad antes de impuestos</w:t>
      </w:r>
      <w:r w:rsidRPr="00E00762">
        <w:t xml:space="preserve">: De </w:t>
      </w:r>
      <w:r w:rsidR="00A30F32">
        <w:t>3006,12</w:t>
      </w:r>
      <w:r w:rsidR="00A30F32">
        <w:rPr>
          <w:rStyle w:val="FootnoteReference"/>
        </w:rPr>
        <w:footnoteReference w:id="12"/>
      </w:r>
      <w:r w:rsidRPr="00E00762">
        <w:t xml:space="preserve"> millones DOP a -</w:t>
      </w:r>
      <w:r w:rsidR="00A30F32">
        <w:t>1,148.82</w:t>
      </w:r>
      <w:r w:rsidR="00A30F32">
        <w:rPr>
          <w:rStyle w:val="FootnoteReference"/>
        </w:rPr>
        <w:footnoteReference w:id="13"/>
      </w:r>
      <w:r w:rsidRPr="00E00762">
        <w:t>millones DOP (impacto: -</w:t>
      </w:r>
      <w:r w:rsidR="00B82EAD">
        <w:t>4,154.94</w:t>
      </w:r>
      <w:r w:rsidR="00B82EAD">
        <w:rPr>
          <w:rStyle w:val="FootnoteReference"/>
        </w:rPr>
        <w:footnoteReference w:id="14"/>
      </w:r>
      <w:r w:rsidRPr="00E00762">
        <w:t>millones DOP, -138.20%), pasando de ganancias a pérdidas.</w:t>
      </w:r>
    </w:p>
    <w:p w14:paraId="3773E825" w14:textId="77777777" w:rsidR="00E00762" w:rsidRPr="00E00762" w:rsidRDefault="00E00762" w:rsidP="00E00762">
      <w:pPr>
        <w:numPr>
          <w:ilvl w:val="1"/>
          <w:numId w:val="3"/>
        </w:numPr>
      </w:pPr>
      <w:r w:rsidRPr="00E00762">
        <w:t>Otras métricas (</w:t>
      </w:r>
      <w:proofErr w:type="spellStart"/>
      <w:r w:rsidRPr="00E00762">
        <w:t>e.g</w:t>
      </w:r>
      <w:proofErr w:type="spellEnd"/>
      <w:r w:rsidRPr="00E00762">
        <w:t xml:space="preserve">., producción, inventarios) no cambian, ya que el análisis </w:t>
      </w:r>
      <w:proofErr w:type="spellStart"/>
      <w:r w:rsidRPr="00E00762">
        <w:t>aisla</w:t>
      </w:r>
      <w:proofErr w:type="spellEnd"/>
      <w:r w:rsidRPr="00E00762">
        <w:t xml:space="preserve"> el efecto de precios.</w:t>
      </w:r>
    </w:p>
    <w:p w14:paraId="13B3C442" w14:textId="77777777" w:rsidR="005B7A36" w:rsidRDefault="00E00762" w:rsidP="005B7A36">
      <w:pPr>
        <w:numPr>
          <w:ilvl w:val="0"/>
          <w:numId w:val="4"/>
        </w:numPr>
      </w:pPr>
      <w:r w:rsidRPr="00E00762">
        <w:rPr>
          <w:b/>
          <w:bCs/>
        </w:rPr>
        <w:t>Análisis</w:t>
      </w:r>
      <w:r w:rsidRPr="00E00762">
        <w:t>: Demuestra sensibilidad extrema a los precios. Una caída del 12% en precios (sin ajustar costos o volúmenes) erosiona drásticamente las utilidades, convirtiendo ganancias en pérdidas. Esto se debe a que los costos fijos (</w:t>
      </w:r>
      <w:proofErr w:type="spellStart"/>
      <w:r w:rsidRPr="00E00762">
        <w:t>e.g</w:t>
      </w:r>
      <w:proofErr w:type="spellEnd"/>
      <w:r w:rsidRPr="00E00762">
        <w:t xml:space="preserve">., salarios, depreciación) permanecen, reduciendo márgenes. </w:t>
      </w:r>
      <w:r w:rsidR="005B7A36">
        <w:t xml:space="preserve">En adición, los costos variables siguen se mantienen, pues no se realizó un cambio en el volumen. </w:t>
      </w:r>
      <w:r w:rsidRPr="00E00762">
        <w:t xml:space="preserve">El impacto porcentual en EBIT (-75%) es mayor que en precios (-12%) por </w:t>
      </w:r>
      <w:r w:rsidR="005B7A36">
        <w:t>el mantenimiento de los costos sin variación, tanto fijos como variables.</w:t>
      </w:r>
    </w:p>
    <w:p w14:paraId="3936755A" w14:textId="71568E05" w:rsidR="00BB6C50" w:rsidRDefault="00E00762" w:rsidP="00BB6C50">
      <w:pPr>
        <w:ind w:left="720"/>
      </w:pPr>
      <w:r w:rsidRPr="00E00762">
        <w:t xml:space="preserve">Este análisis </w:t>
      </w:r>
      <w:r w:rsidR="005B7A36">
        <w:t>mu</w:t>
      </w:r>
      <w:r w:rsidRPr="00E00762">
        <w:t xml:space="preserve">estra que, </w:t>
      </w:r>
      <w:r w:rsidR="005B7A36">
        <w:t xml:space="preserve">con el diferencial de precios proyectados, </w:t>
      </w:r>
      <w:r w:rsidR="00BB6C50">
        <w:t xml:space="preserve">y una reacción de la RPN de reducir </w:t>
      </w:r>
      <w:r w:rsidRPr="00E00762">
        <w:t xml:space="preserve">precios del 12% </w:t>
      </w:r>
      <w:r w:rsidR="00BB6C50">
        <w:t xml:space="preserve">para no perder volumen de ventas </w:t>
      </w:r>
      <w:r w:rsidRPr="00E00762">
        <w:t xml:space="preserve">causaría pérdidas operativas (-75% en EBIT) y financieras (-138% en utilidades antes de impuestos), amenazando la viabilidad de la empresa. </w:t>
      </w:r>
      <w:r w:rsidR="00561785">
        <w:br/>
      </w:r>
    </w:p>
    <w:p w14:paraId="5B1D0EA8" w14:textId="59ED0C2B" w:rsidR="00561785" w:rsidRDefault="00561785" w:rsidP="00561785">
      <w:r>
        <w:t xml:space="preserve">Mas adelante en este expediente, se presenta este mismo análisis con un mayor nivel de detalle, abarcando el impacto esperado en los indicadores financieros de la empresa en un horizonte prospectivo de </w:t>
      </w:r>
      <w:r w:rsidRPr="00561785">
        <w:rPr>
          <w:b/>
          <w:bCs/>
        </w:rPr>
        <w:t>3 años</w:t>
      </w:r>
      <w:r>
        <w:t xml:space="preserve">.  (Escenario A).  </w:t>
      </w:r>
    </w:p>
    <w:p w14:paraId="79C9CEA6" w14:textId="08181483" w:rsidR="00561785" w:rsidRDefault="00561785" w:rsidP="00561785">
      <w:r>
        <w:t xml:space="preserve">En adición, hemos complementado el análisis con un segundo escenario que toma en consideración la decisión de no modificar precios internos de la RPN, lo que termina impactando en una pérdida de volumen (participación de mercado). Este también se realiza con un horizonte prospectivo de </w:t>
      </w:r>
      <w:r w:rsidRPr="00561785">
        <w:rPr>
          <w:b/>
          <w:bCs/>
        </w:rPr>
        <w:t>3 años</w:t>
      </w:r>
      <w:r>
        <w:t xml:space="preserve">. (Escenario B). </w:t>
      </w:r>
    </w:p>
    <w:p w14:paraId="4C9D4EEA" w14:textId="5884CD6E" w:rsidR="00561785" w:rsidRDefault="00561785" w:rsidP="00561785">
      <w:r>
        <w:t xml:space="preserve"> </w:t>
      </w:r>
    </w:p>
    <w:p w14:paraId="424EDD1B" w14:textId="77777777" w:rsidR="00BB6C50" w:rsidRDefault="00BB6C50" w:rsidP="00BB6C50">
      <w:pPr>
        <w:ind w:left="720"/>
      </w:pPr>
    </w:p>
    <w:p w14:paraId="6C8F1BFE" w14:textId="77777777" w:rsidR="005B3BA0" w:rsidRDefault="005B3BA0"/>
    <w:sectPr w:rsidR="005B3BA0" w:rsidSect="003F56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1F1C" w14:textId="77777777" w:rsidR="00923C97" w:rsidRDefault="00923C97" w:rsidP="00923C97">
      <w:pPr>
        <w:spacing w:after="0" w:line="240" w:lineRule="auto"/>
      </w:pPr>
      <w:r>
        <w:separator/>
      </w:r>
    </w:p>
  </w:endnote>
  <w:endnote w:type="continuationSeparator" w:id="0">
    <w:p w14:paraId="35674D13" w14:textId="77777777" w:rsidR="00923C97" w:rsidRDefault="00923C97" w:rsidP="0092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46FF" w14:textId="77777777" w:rsidR="00923C97" w:rsidRDefault="00923C97" w:rsidP="00923C97">
      <w:pPr>
        <w:spacing w:after="0" w:line="240" w:lineRule="auto"/>
      </w:pPr>
      <w:r>
        <w:separator/>
      </w:r>
    </w:p>
  </w:footnote>
  <w:footnote w:type="continuationSeparator" w:id="0">
    <w:p w14:paraId="41F03229" w14:textId="77777777" w:rsidR="00923C97" w:rsidRDefault="00923C97" w:rsidP="00923C97">
      <w:pPr>
        <w:spacing w:after="0" w:line="240" w:lineRule="auto"/>
      </w:pPr>
      <w:r>
        <w:continuationSeparator/>
      </w:r>
    </w:p>
  </w:footnote>
  <w:footnote w:id="1">
    <w:p w14:paraId="0B7B9C37" w14:textId="1F1200C5" w:rsidR="00C5152B" w:rsidRPr="00C5152B" w:rsidRDefault="00923C97" w:rsidP="00C5152B">
      <w:pPr>
        <w:rPr>
          <w:rFonts w:ascii="Calibri" w:eastAsia="Times New Roman" w:hAnsi="Calibri" w:cs="Calibri"/>
          <w:color w:val="000000"/>
          <w:kern w:val="0"/>
          <w:sz w:val="16"/>
          <w:szCs w:val="16"/>
          <w14:ligatures w14:val="none"/>
        </w:rPr>
      </w:pPr>
      <w:r>
        <w:rPr>
          <w:rStyle w:val="FootnoteReference"/>
        </w:rPr>
        <w:footnoteRef/>
      </w:r>
      <w:r>
        <w:t xml:space="preserve"> </w:t>
      </w:r>
      <w:r w:rsidR="00C5152B" w:rsidRPr="00C5152B">
        <w:rPr>
          <w:rFonts w:ascii="Calibri" w:eastAsia="Times New Roman" w:hAnsi="Calibri" w:cs="Calibri"/>
          <w:color w:val="000000"/>
          <w:kern w:val="0"/>
          <w:sz w:val="16"/>
          <w:szCs w:val="16"/>
          <w14:ligatures w14:val="none"/>
        </w:rPr>
        <w:t xml:space="preserve">Nota: LA INFORMACION CONTENIDA EN ESTE ARCHIVO/CUADRO ES CONSIDERADA INFORMACION CONFIDENCIAL </w:t>
      </w:r>
      <w:proofErr w:type="gramStart"/>
      <w:r w:rsidR="00C5152B" w:rsidRPr="00C5152B">
        <w:rPr>
          <w:rFonts w:ascii="Calibri" w:eastAsia="Times New Roman" w:hAnsi="Calibri" w:cs="Calibri"/>
          <w:color w:val="000000"/>
          <w:kern w:val="0"/>
          <w:sz w:val="16"/>
          <w:szCs w:val="16"/>
          <w14:ligatures w14:val="none"/>
        </w:rPr>
        <w:t>DE ACUERDO AL</w:t>
      </w:r>
      <w:proofErr w:type="gramEnd"/>
      <w:r w:rsidR="00C5152B" w:rsidRPr="00C5152B">
        <w:rPr>
          <w:rFonts w:ascii="Calibri" w:eastAsia="Times New Roman" w:hAnsi="Calibri" w:cs="Calibri"/>
          <w:color w:val="000000"/>
          <w:kern w:val="0"/>
          <w:sz w:val="16"/>
          <w:szCs w:val="16"/>
          <w14:ligatures w14:val="none"/>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w:t>
      </w:r>
    </w:p>
    <w:p w14:paraId="5E854CD1" w14:textId="01897272" w:rsidR="00923C97" w:rsidRPr="00C5152B" w:rsidRDefault="00923C97">
      <w:pPr>
        <w:pStyle w:val="FootnoteText"/>
      </w:pPr>
    </w:p>
  </w:footnote>
  <w:footnote w:id="2">
    <w:p w14:paraId="19A829C4" w14:textId="05FD1F0E" w:rsidR="00EC4118" w:rsidRPr="00714007" w:rsidRDefault="00EC4118">
      <w:pPr>
        <w:pStyle w:val="FootnoteText"/>
      </w:pPr>
      <w:r>
        <w:rPr>
          <w:rStyle w:val="FootnoteReference"/>
        </w:rPr>
        <w:footnoteRef/>
      </w:r>
      <w:r>
        <w:t xml:space="preserve"> </w:t>
      </w:r>
      <w:r w:rsidR="00714007" w:rsidRPr="00714007">
        <w:t>Ver nota 1</w:t>
      </w:r>
    </w:p>
  </w:footnote>
  <w:footnote w:id="3">
    <w:p w14:paraId="58450DC8" w14:textId="40062B52" w:rsidR="00E712B4" w:rsidRPr="00714007" w:rsidRDefault="00E712B4">
      <w:pPr>
        <w:pStyle w:val="FootnoteText"/>
      </w:pPr>
      <w:r>
        <w:rPr>
          <w:rStyle w:val="FootnoteReference"/>
        </w:rPr>
        <w:footnoteRef/>
      </w:r>
      <w:r>
        <w:t xml:space="preserve"> </w:t>
      </w:r>
      <w:r w:rsidR="00714007" w:rsidRPr="008C1ED5">
        <w:rPr>
          <w:sz w:val="16"/>
          <w:szCs w:val="16"/>
        </w:rPr>
        <w:t>Ver nota 1</w:t>
      </w:r>
    </w:p>
  </w:footnote>
  <w:footnote w:id="4">
    <w:p w14:paraId="15A7EA3D" w14:textId="2F4A65E6" w:rsidR="003F44BB" w:rsidRPr="00714007" w:rsidRDefault="003F44BB">
      <w:pPr>
        <w:pStyle w:val="FootnoteText"/>
      </w:pPr>
      <w:r>
        <w:rPr>
          <w:rStyle w:val="FootnoteReference"/>
        </w:rPr>
        <w:footnoteRef/>
      </w:r>
      <w:r>
        <w:t xml:space="preserve"> </w:t>
      </w:r>
      <w:r w:rsidR="00714007" w:rsidRPr="008C1ED5">
        <w:rPr>
          <w:sz w:val="16"/>
          <w:szCs w:val="16"/>
        </w:rPr>
        <w:t>Ver nota 1</w:t>
      </w:r>
    </w:p>
  </w:footnote>
  <w:footnote w:id="5">
    <w:p w14:paraId="1C9A65CB" w14:textId="0FD3FD40" w:rsidR="003F44BB" w:rsidRPr="00714007" w:rsidRDefault="003F44BB">
      <w:pPr>
        <w:pStyle w:val="FootnoteText"/>
      </w:pPr>
      <w:r>
        <w:rPr>
          <w:rStyle w:val="FootnoteReference"/>
        </w:rPr>
        <w:footnoteRef/>
      </w:r>
      <w:r>
        <w:t xml:space="preserve"> </w:t>
      </w:r>
      <w:r w:rsidR="00714007" w:rsidRPr="008C1ED5">
        <w:rPr>
          <w:sz w:val="16"/>
          <w:szCs w:val="16"/>
        </w:rPr>
        <w:t>Ver nota 1</w:t>
      </w:r>
    </w:p>
  </w:footnote>
  <w:footnote w:id="6">
    <w:p w14:paraId="49F92E1A" w14:textId="33515CA2" w:rsidR="00D77D37" w:rsidRPr="00714007" w:rsidRDefault="00D77D37">
      <w:pPr>
        <w:pStyle w:val="FootnoteText"/>
      </w:pPr>
      <w:r>
        <w:rPr>
          <w:rStyle w:val="FootnoteReference"/>
        </w:rPr>
        <w:footnoteRef/>
      </w:r>
      <w:r>
        <w:t xml:space="preserve"> </w:t>
      </w:r>
      <w:r w:rsidR="00714007" w:rsidRPr="008C1ED5">
        <w:rPr>
          <w:sz w:val="16"/>
          <w:szCs w:val="16"/>
        </w:rPr>
        <w:t>Ver nota 1</w:t>
      </w:r>
    </w:p>
  </w:footnote>
  <w:footnote w:id="7">
    <w:p w14:paraId="065B5775" w14:textId="35F8E495" w:rsidR="00D77D37" w:rsidRPr="00714007" w:rsidRDefault="00D77D37">
      <w:pPr>
        <w:pStyle w:val="FootnoteText"/>
      </w:pPr>
      <w:r>
        <w:rPr>
          <w:rStyle w:val="FootnoteReference"/>
        </w:rPr>
        <w:footnoteRef/>
      </w:r>
      <w:r>
        <w:t xml:space="preserve"> </w:t>
      </w:r>
      <w:r w:rsidR="00714007" w:rsidRPr="008C1ED5">
        <w:rPr>
          <w:sz w:val="16"/>
          <w:szCs w:val="16"/>
        </w:rPr>
        <w:t>Ver nota 1</w:t>
      </w:r>
    </w:p>
  </w:footnote>
  <w:footnote w:id="8">
    <w:p w14:paraId="2100EB07" w14:textId="4F2E9DD0" w:rsidR="006827B2" w:rsidRPr="00714007" w:rsidRDefault="006827B2">
      <w:pPr>
        <w:pStyle w:val="FootnoteText"/>
      </w:pPr>
      <w:r>
        <w:rPr>
          <w:rStyle w:val="FootnoteReference"/>
        </w:rPr>
        <w:footnoteRef/>
      </w:r>
      <w:r>
        <w:t xml:space="preserve"> </w:t>
      </w:r>
      <w:r w:rsidR="00714007" w:rsidRPr="008C1ED5">
        <w:rPr>
          <w:sz w:val="16"/>
          <w:szCs w:val="16"/>
        </w:rPr>
        <w:t>Ver nota 1</w:t>
      </w:r>
    </w:p>
  </w:footnote>
  <w:footnote w:id="9">
    <w:p w14:paraId="31390E6A" w14:textId="26309226" w:rsidR="00E60B8C" w:rsidRPr="00714007" w:rsidRDefault="00E60B8C">
      <w:pPr>
        <w:pStyle w:val="FootnoteText"/>
      </w:pPr>
      <w:r>
        <w:rPr>
          <w:rStyle w:val="FootnoteReference"/>
        </w:rPr>
        <w:footnoteRef/>
      </w:r>
      <w:r>
        <w:t xml:space="preserve"> </w:t>
      </w:r>
      <w:r w:rsidR="00714007" w:rsidRPr="008C1ED5">
        <w:rPr>
          <w:sz w:val="16"/>
          <w:szCs w:val="16"/>
        </w:rPr>
        <w:t>Ver nota 1</w:t>
      </w:r>
    </w:p>
  </w:footnote>
  <w:footnote w:id="10">
    <w:p w14:paraId="49FB149E" w14:textId="77C9D67D" w:rsidR="00576823" w:rsidRPr="00714007" w:rsidRDefault="00576823">
      <w:pPr>
        <w:pStyle w:val="FootnoteText"/>
      </w:pPr>
      <w:r>
        <w:rPr>
          <w:rStyle w:val="FootnoteReference"/>
        </w:rPr>
        <w:footnoteRef/>
      </w:r>
      <w:r>
        <w:t xml:space="preserve"> </w:t>
      </w:r>
      <w:r w:rsidR="00714007" w:rsidRPr="008C1ED5">
        <w:rPr>
          <w:sz w:val="16"/>
          <w:szCs w:val="16"/>
        </w:rPr>
        <w:t>Ver nota 1</w:t>
      </w:r>
    </w:p>
  </w:footnote>
  <w:footnote w:id="11">
    <w:p w14:paraId="3788219F" w14:textId="77EAE5DF" w:rsidR="00576823" w:rsidRPr="00714007" w:rsidRDefault="00576823">
      <w:pPr>
        <w:pStyle w:val="FootnoteText"/>
      </w:pPr>
      <w:r>
        <w:rPr>
          <w:rStyle w:val="FootnoteReference"/>
        </w:rPr>
        <w:footnoteRef/>
      </w:r>
      <w:r>
        <w:t xml:space="preserve"> </w:t>
      </w:r>
      <w:r w:rsidR="00714007" w:rsidRPr="008C1ED5">
        <w:rPr>
          <w:sz w:val="16"/>
          <w:szCs w:val="16"/>
        </w:rPr>
        <w:t>Ver nota 1</w:t>
      </w:r>
    </w:p>
  </w:footnote>
  <w:footnote w:id="12">
    <w:p w14:paraId="373C0718" w14:textId="3C6D4A80" w:rsidR="00A30F32" w:rsidRPr="00714007" w:rsidRDefault="00A30F32">
      <w:pPr>
        <w:pStyle w:val="FootnoteText"/>
      </w:pPr>
      <w:r>
        <w:rPr>
          <w:rStyle w:val="FootnoteReference"/>
        </w:rPr>
        <w:footnoteRef/>
      </w:r>
      <w:r>
        <w:t xml:space="preserve"> </w:t>
      </w:r>
      <w:r w:rsidR="00714007" w:rsidRPr="008C1ED5">
        <w:rPr>
          <w:sz w:val="16"/>
          <w:szCs w:val="16"/>
        </w:rPr>
        <w:t>Ver nota 1</w:t>
      </w:r>
    </w:p>
  </w:footnote>
  <w:footnote w:id="13">
    <w:p w14:paraId="4A7D2DDB" w14:textId="4B855CD8" w:rsidR="00A30F32" w:rsidRPr="00714007" w:rsidRDefault="00A30F32">
      <w:pPr>
        <w:pStyle w:val="FootnoteText"/>
      </w:pPr>
      <w:r>
        <w:rPr>
          <w:rStyle w:val="FootnoteReference"/>
        </w:rPr>
        <w:footnoteRef/>
      </w:r>
      <w:r>
        <w:t xml:space="preserve"> </w:t>
      </w:r>
      <w:r w:rsidR="00714007" w:rsidRPr="008C1ED5">
        <w:rPr>
          <w:sz w:val="16"/>
          <w:szCs w:val="16"/>
        </w:rPr>
        <w:t>Ver nota 1</w:t>
      </w:r>
    </w:p>
  </w:footnote>
  <w:footnote w:id="14">
    <w:p w14:paraId="1F549244" w14:textId="140989B4" w:rsidR="00B82EAD" w:rsidRPr="00B82EAD" w:rsidRDefault="00B82EAD">
      <w:pPr>
        <w:pStyle w:val="FootnoteText"/>
        <w:rPr>
          <w:lang w:val="en-US"/>
        </w:rPr>
      </w:pPr>
      <w:r>
        <w:rPr>
          <w:rStyle w:val="FootnoteReference"/>
        </w:rPr>
        <w:footnoteRef/>
      </w:r>
      <w:r>
        <w:t xml:space="preserve"> </w:t>
      </w:r>
      <w:r w:rsidR="00714007" w:rsidRPr="008C1ED5">
        <w:rPr>
          <w:sz w:val="16"/>
          <w:szCs w:val="16"/>
        </w:rPr>
        <w:t>Ver nota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E8D"/>
    <w:multiLevelType w:val="multilevel"/>
    <w:tmpl w:val="585E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65DA6"/>
    <w:multiLevelType w:val="hybridMultilevel"/>
    <w:tmpl w:val="4F7A89D2"/>
    <w:lvl w:ilvl="0" w:tplc="F488954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231C0"/>
    <w:multiLevelType w:val="multilevel"/>
    <w:tmpl w:val="7BD0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47784"/>
    <w:multiLevelType w:val="multilevel"/>
    <w:tmpl w:val="94EC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74939"/>
    <w:multiLevelType w:val="multilevel"/>
    <w:tmpl w:val="CC92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655F0"/>
    <w:multiLevelType w:val="multilevel"/>
    <w:tmpl w:val="1EC6E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B01551"/>
    <w:multiLevelType w:val="multilevel"/>
    <w:tmpl w:val="F0580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1631F"/>
    <w:multiLevelType w:val="multilevel"/>
    <w:tmpl w:val="D11A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F3181"/>
    <w:multiLevelType w:val="multilevel"/>
    <w:tmpl w:val="C97C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514786">
    <w:abstractNumId w:val="4"/>
  </w:num>
  <w:num w:numId="2" w16cid:durableId="255600704">
    <w:abstractNumId w:val="7"/>
  </w:num>
  <w:num w:numId="3" w16cid:durableId="952172786">
    <w:abstractNumId w:val="6"/>
  </w:num>
  <w:num w:numId="4" w16cid:durableId="1145777581">
    <w:abstractNumId w:val="0"/>
  </w:num>
  <w:num w:numId="5" w16cid:durableId="1582913141">
    <w:abstractNumId w:val="3"/>
  </w:num>
  <w:num w:numId="6" w16cid:durableId="816531308">
    <w:abstractNumId w:val="2"/>
  </w:num>
  <w:num w:numId="7" w16cid:durableId="99955414">
    <w:abstractNumId w:val="8"/>
  </w:num>
  <w:num w:numId="8" w16cid:durableId="2021620892">
    <w:abstractNumId w:val="5"/>
  </w:num>
  <w:num w:numId="9" w16cid:durableId="71022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62"/>
    <w:rsid w:val="001F4358"/>
    <w:rsid w:val="00334F62"/>
    <w:rsid w:val="003C4C3F"/>
    <w:rsid w:val="003F44BB"/>
    <w:rsid w:val="003F56B0"/>
    <w:rsid w:val="00411FE0"/>
    <w:rsid w:val="00561785"/>
    <w:rsid w:val="00576823"/>
    <w:rsid w:val="005B3BA0"/>
    <w:rsid w:val="005B7A36"/>
    <w:rsid w:val="006827B2"/>
    <w:rsid w:val="00714007"/>
    <w:rsid w:val="00864E07"/>
    <w:rsid w:val="008C4ED4"/>
    <w:rsid w:val="00923C97"/>
    <w:rsid w:val="009B41BD"/>
    <w:rsid w:val="00A30F32"/>
    <w:rsid w:val="00B82EAD"/>
    <w:rsid w:val="00BB6C50"/>
    <w:rsid w:val="00C5152B"/>
    <w:rsid w:val="00D77D37"/>
    <w:rsid w:val="00E00762"/>
    <w:rsid w:val="00E60B8C"/>
    <w:rsid w:val="00E712B4"/>
    <w:rsid w:val="00EC4118"/>
    <w:rsid w:val="00F71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5FF7"/>
  <w15:chartTrackingRefBased/>
  <w15:docId w15:val="{EECB8622-347E-4FB9-A525-1A208393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762"/>
    <w:rPr>
      <w:rFonts w:eastAsiaTheme="majorEastAsia" w:cstheme="majorBidi"/>
      <w:color w:val="272727" w:themeColor="text1" w:themeTint="D8"/>
    </w:rPr>
  </w:style>
  <w:style w:type="paragraph" w:styleId="Title">
    <w:name w:val="Title"/>
    <w:basedOn w:val="Normal"/>
    <w:next w:val="Normal"/>
    <w:link w:val="TitleChar"/>
    <w:uiPriority w:val="10"/>
    <w:qFormat/>
    <w:rsid w:val="00E00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762"/>
    <w:pPr>
      <w:spacing w:before="160"/>
      <w:jc w:val="center"/>
    </w:pPr>
    <w:rPr>
      <w:i/>
      <w:iCs/>
      <w:color w:val="404040" w:themeColor="text1" w:themeTint="BF"/>
    </w:rPr>
  </w:style>
  <w:style w:type="character" w:customStyle="1" w:styleId="QuoteChar">
    <w:name w:val="Quote Char"/>
    <w:basedOn w:val="DefaultParagraphFont"/>
    <w:link w:val="Quote"/>
    <w:uiPriority w:val="29"/>
    <w:rsid w:val="00E00762"/>
    <w:rPr>
      <w:i/>
      <w:iCs/>
      <w:color w:val="404040" w:themeColor="text1" w:themeTint="BF"/>
    </w:rPr>
  </w:style>
  <w:style w:type="paragraph" w:styleId="ListParagraph">
    <w:name w:val="List Paragraph"/>
    <w:basedOn w:val="Normal"/>
    <w:uiPriority w:val="34"/>
    <w:qFormat/>
    <w:rsid w:val="00E00762"/>
    <w:pPr>
      <w:ind w:left="720"/>
      <w:contextualSpacing/>
    </w:pPr>
  </w:style>
  <w:style w:type="character" w:styleId="IntenseEmphasis">
    <w:name w:val="Intense Emphasis"/>
    <w:basedOn w:val="DefaultParagraphFont"/>
    <w:uiPriority w:val="21"/>
    <w:qFormat/>
    <w:rsid w:val="00E00762"/>
    <w:rPr>
      <w:i/>
      <w:iCs/>
      <w:color w:val="0F4761" w:themeColor="accent1" w:themeShade="BF"/>
    </w:rPr>
  </w:style>
  <w:style w:type="paragraph" w:styleId="IntenseQuote">
    <w:name w:val="Intense Quote"/>
    <w:basedOn w:val="Normal"/>
    <w:next w:val="Normal"/>
    <w:link w:val="IntenseQuoteChar"/>
    <w:uiPriority w:val="30"/>
    <w:qFormat/>
    <w:rsid w:val="00E00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762"/>
    <w:rPr>
      <w:i/>
      <w:iCs/>
      <w:color w:val="0F4761" w:themeColor="accent1" w:themeShade="BF"/>
    </w:rPr>
  </w:style>
  <w:style w:type="character" w:styleId="IntenseReference">
    <w:name w:val="Intense Reference"/>
    <w:basedOn w:val="DefaultParagraphFont"/>
    <w:uiPriority w:val="32"/>
    <w:qFormat/>
    <w:rsid w:val="00E00762"/>
    <w:rPr>
      <w:b/>
      <w:bCs/>
      <w:smallCaps/>
      <w:color w:val="0F4761" w:themeColor="accent1" w:themeShade="BF"/>
      <w:spacing w:val="5"/>
    </w:rPr>
  </w:style>
  <w:style w:type="paragraph" w:styleId="FootnoteText">
    <w:name w:val="footnote text"/>
    <w:basedOn w:val="Normal"/>
    <w:link w:val="FootnoteTextChar"/>
    <w:uiPriority w:val="99"/>
    <w:semiHidden/>
    <w:unhideWhenUsed/>
    <w:rsid w:val="00923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C97"/>
    <w:rPr>
      <w:sz w:val="20"/>
      <w:szCs w:val="20"/>
    </w:rPr>
  </w:style>
  <w:style w:type="character" w:styleId="FootnoteReference">
    <w:name w:val="footnote reference"/>
    <w:basedOn w:val="DefaultParagraphFont"/>
    <w:uiPriority w:val="99"/>
    <w:semiHidden/>
    <w:unhideWhenUsed/>
    <w:rsid w:val="00923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F7003-209C-4E02-9D82-67745947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dcterms:created xsi:type="dcterms:W3CDTF">2025-09-15T16:02:00Z</dcterms:created>
  <dcterms:modified xsi:type="dcterms:W3CDTF">2025-09-15T16:02:00Z</dcterms:modified>
</cp:coreProperties>
</file>