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3550" w14:textId="77777777" w:rsidR="00801635" w:rsidRPr="00C0412C" w:rsidRDefault="00801635" w:rsidP="00801635">
      <w:pPr>
        <w:rPr>
          <w:rFonts w:ascii="Calibri" w:hAnsi="Calibri" w:cs="Calibri"/>
          <w:sz w:val="22"/>
          <w:szCs w:val="22"/>
        </w:rPr>
      </w:pPr>
      <w:r w:rsidRPr="00C0412C">
        <w:rPr>
          <w:rFonts w:ascii="Calibri" w:hAnsi="Calibri" w:cs="Calibri"/>
          <w:sz w:val="22"/>
          <w:szCs w:val="22"/>
        </w:rPr>
        <w:t xml:space="preserve">Punto 42. Proporcione cualquier otra información que considere relevante sobre si la eliminación del derecho antidumping daría lugar a la continuación o repetición del dumping. </w:t>
      </w:r>
    </w:p>
    <w:p w14:paraId="335F77C4" w14:textId="77777777" w:rsidR="00801635" w:rsidRPr="00C0412C" w:rsidRDefault="00801635" w:rsidP="00801635">
      <w:pPr>
        <w:rPr>
          <w:rFonts w:ascii="Calibri" w:hAnsi="Calibri" w:cs="Calibri"/>
          <w:sz w:val="22"/>
          <w:szCs w:val="22"/>
        </w:rPr>
      </w:pPr>
    </w:p>
    <w:p w14:paraId="73BCC953" w14:textId="77777777" w:rsidR="00FE78A9" w:rsidRPr="00C0412C" w:rsidRDefault="00FE78A9" w:rsidP="00801635">
      <w:pPr>
        <w:rPr>
          <w:rFonts w:ascii="Calibri" w:hAnsi="Calibri" w:cs="Calibri"/>
          <w:sz w:val="22"/>
          <w:szCs w:val="22"/>
        </w:rPr>
      </w:pPr>
    </w:p>
    <w:p w14:paraId="59935483" w14:textId="074F1075" w:rsidR="00EB5998" w:rsidRPr="00C0412C" w:rsidRDefault="00EB5998" w:rsidP="00EB5998">
      <w:pPr>
        <w:pStyle w:val="ListParagraph"/>
        <w:numPr>
          <w:ilvl w:val="0"/>
          <w:numId w:val="4"/>
        </w:numPr>
        <w:rPr>
          <w:rFonts w:ascii="Calibri" w:hAnsi="Calibri" w:cs="Calibri"/>
          <w:b/>
          <w:bCs/>
          <w:sz w:val="22"/>
          <w:szCs w:val="22"/>
        </w:rPr>
      </w:pPr>
      <w:r w:rsidRPr="00C0412C">
        <w:rPr>
          <w:rFonts w:ascii="Calibri" w:hAnsi="Calibri" w:cs="Calibri"/>
          <w:b/>
          <w:bCs/>
          <w:sz w:val="22"/>
          <w:szCs w:val="22"/>
        </w:rPr>
        <w:t>E</w:t>
      </w:r>
      <w:r w:rsidR="00FE78A9" w:rsidRPr="00C0412C">
        <w:rPr>
          <w:rFonts w:ascii="Calibri" w:hAnsi="Calibri" w:cs="Calibri"/>
          <w:b/>
          <w:bCs/>
          <w:sz w:val="22"/>
          <w:szCs w:val="22"/>
        </w:rPr>
        <w:t xml:space="preserve">l volumen de exportaciones antes y después de la imposición de las medidas:  </w:t>
      </w:r>
    </w:p>
    <w:p w14:paraId="0E4A2BB9" w14:textId="77777777" w:rsidR="00EB5998" w:rsidRPr="00C0412C" w:rsidRDefault="00EB5998" w:rsidP="00EB5998">
      <w:pPr>
        <w:pStyle w:val="ListParagraph"/>
        <w:rPr>
          <w:rFonts w:ascii="Calibri" w:hAnsi="Calibri" w:cs="Calibri"/>
          <w:sz w:val="22"/>
          <w:szCs w:val="22"/>
        </w:rPr>
      </w:pPr>
    </w:p>
    <w:p w14:paraId="01D75E43" w14:textId="724C832E" w:rsidR="00DB7B72" w:rsidRPr="00C0412C" w:rsidRDefault="002D4E99" w:rsidP="002D4E99">
      <w:pPr>
        <w:pStyle w:val="ListParagraph"/>
        <w:rPr>
          <w:rFonts w:ascii="Calibri" w:hAnsi="Calibri" w:cs="Calibri"/>
          <w:sz w:val="22"/>
          <w:szCs w:val="22"/>
        </w:rPr>
      </w:pPr>
      <w:r w:rsidRPr="00C0412C">
        <w:rPr>
          <w:rFonts w:ascii="Calibri" w:hAnsi="Calibri" w:cs="Calibri"/>
          <w:sz w:val="22"/>
          <w:szCs w:val="22"/>
        </w:rPr>
        <w:t xml:space="preserve">Turquía tiene un interés sobre el mercado de varillas de la Republica Dominicana.  Se aprecian las primeras importaciones desde la aplicación de la medida antidumping a raíz de los fideicomisos públicos, que cuentan con preferencias arancelarias. </w:t>
      </w:r>
    </w:p>
    <w:p w14:paraId="5E19C599" w14:textId="77777777" w:rsidR="002D4E99" w:rsidRPr="00C0412C" w:rsidRDefault="002D4E99" w:rsidP="002D4E99">
      <w:pPr>
        <w:pStyle w:val="ListParagraph"/>
        <w:rPr>
          <w:rFonts w:ascii="Calibri" w:hAnsi="Calibri" w:cs="Calibri"/>
          <w:kern w:val="2"/>
          <w:sz w:val="22"/>
          <w:szCs w:val="22"/>
          <w:lang w:eastAsia="en-US"/>
          <w14:ligatures w14:val="standardContextual"/>
        </w:rPr>
      </w:pPr>
    </w:p>
    <w:p w14:paraId="0D2F3EDC" w14:textId="2AC033FE" w:rsidR="00DB7B72" w:rsidRPr="00C0412C" w:rsidRDefault="00412092" w:rsidP="00DB7B72">
      <w:pPr>
        <w:pStyle w:val="ListParagraph"/>
        <w:rPr>
          <w:rFonts w:ascii="Calibri" w:hAnsi="Calibri" w:cs="Calibri"/>
          <w:kern w:val="2"/>
          <w:sz w:val="22"/>
          <w:szCs w:val="22"/>
          <w:lang w:eastAsia="en-US"/>
          <w14:ligatures w14:val="standardContextual"/>
        </w:rPr>
      </w:pPr>
      <w:r w:rsidRPr="00412092">
        <w:rPr>
          <w:rFonts w:ascii="Calibri" w:hAnsi="Calibri" w:cs="Calibri"/>
          <w:kern w:val="2"/>
          <w:sz w:val="22"/>
          <w:szCs w:val="22"/>
          <w:lang w:eastAsia="en-US"/>
          <w14:ligatures w14:val="standardContextual"/>
        </w:rPr>
        <w:t xml:space="preserve">Turquía mantiene un enfoque exportador agresivo hacia la región del caribe y Centroamérica, utilizando nuestro país como punto de transbordo y de tránsito hacia otros destinos de la región. De hecho, los registros de las exportaciones turcas reportado </w:t>
      </w:r>
      <w:proofErr w:type="spellStart"/>
      <w:proofErr w:type="gramStart"/>
      <w:r w:rsidRPr="00412092">
        <w:rPr>
          <w:rFonts w:ascii="Calibri" w:hAnsi="Calibri" w:cs="Calibri"/>
          <w:kern w:val="2"/>
          <w:sz w:val="22"/>
          <w:szCs w:val="22"/>
          <w:lang w:eastAsia="en-US"/>
          <w14:ligatures w14:val="standardContextual"/>
        </w:rPr>
        <w:t>via</w:t>
      </w:r>
      <w:proofErr w:type="spellEnd"/>
      <w:r w:rsidRPr="00412092">
        <w:rPr>
          <w:rFonts w:ascii="Calibri" w:hAnsi="Calibri" w:cs="Calibri"/>
          <w:kern w:val="2"/>
          <w:sz w:val="22"/>
          <w:szCs w:val="22"/>
          <w:lang w:eastAsia="en-US"/>
          <w14:ligatures w14:val="standardContextual"/>
        </w:rPr>
        <w:t xml:space="preserve">  </w:t>
      </w:r>
      <w:proofErr w:type="spellStart"/>
      <w:r w:rsidRPr="00412092">
        <w:rPr>
          <w:rFonts w:ascii="Calibri" w:hAnsi="Calibri" w:cs="Calibri"/>
          <w:i/>
          <w:iCs/>
          <w:kern w:val="2"/>
          <w:sz w:val="22"/>
          <w:szCs w:val="22"/>
          <w:lang w:eastAsia="en-US"/>
          <w14:ligatures w14:val="standardContextual"/>
        </w:rPr>
        <w:t>trademap</w:t>
      </w:r>
      <w:proofErr w:type="spellEnd"/>
      <w:proofErr w:type="gramEnd"/>
      <w:r w:rsidRPr="00412092">
        <w:rPr>
          <w:rFonts w:ascii="Calibri" w:hAnsi="Calibri" w:cs="Calibri"/>
          <w:kern w:val="2"/>
          <w:sz w:val="22"/>
          <w:szCs w:val="22"/>
          <w:lang w:eastAsia="en-US"/>
          <w14:ligatures w14:val="standardContextual"/>
        </w:rPr>
        <w:t xml:space="preserve"> reflejan importantes volúmenes exportados a la Republica Dominicana, que discrepan </w:t>
      </w:r>
      <w:r w:rsidR="002D4E99" w:rsidRPr="00C0412C">
        <w:rPr>
          <w:rFonts w:ascii="Calibri" w:hAnsi="Calibri" w:cs="Calibri"/>
          <w:kern w:val="2"/>
          <w:sz w:val="22"/>
          <w:szCs w:val="22"/>
          <w:lang w:eastAsia="en-US"/>
          <w14:ligatures w14:val="standardContextual"/>
        </w:rPr>
        <w:t>de</w:t>
      </w:r>
      <w:r w:rsidRPr="00412092">
        <w:rPr>
          <w:rFonts w:ascii="Calibri" w:hAnsi="Calibri" w:cs="Calibri"/>
          <w:kern w:val="2"/>
          <w:sz w:val="22"/>
          <w:szCs w:val="22"/>
          <w:lang w:eastAsia="en-US"/>
          <w14:ligatures w14:val="standardContextual"/>
        </w:rPr>
        <w:t xml:space="preserve"> los reflejados hacia el régimen de consumo por la DGA, por lo que se deriva que dicha diferencia se destina a otros </w:t>
      </w:r>
      <w:proofErr w:type="spellStart"/>
      <w:r w:rsidRPr="00412092">
        <w:rPr>
          <w:rFonts w:ascii="Calibri" w:hAnsi="Calibri" w:cs="Calibri"/>
          <w:kern w:val="2"/>
          <w:sz w:val="22"/>
          <w:szCs w:val="22"/>
          <w:lang w:eastAsia="en-US"/>
          <w14:ligatures w14:val="standardContextual"/>
        </w:rPr>
        <w:t>paises</w:t>
      </w:r>
      <w:proofErr w:type="spellEnd"/>
      <w:r w:rsidRPr="00412092">
        <w:rPr>
          <w:rFonts w:ascii="Calibri" w:hAnsi="Calibri" w:cs="Calibri"/>
          <w:kern w:val="2"/>
          <w:sz w:val="22"/>
          <w:szCs w:val="22"/>
          <w:lang w:eastAsia="en-US"/>
          <w14:ligatures w14:val="standardContextual"/>
        </w:rPr>
        <w:t xml:space="preserve"> de la región del caribe, incluyendo Haití.  </w:t>
      </w:r>
    </w:p>
    <w:p w14:paraId="419F08F2" w14:textId="77777777" w:rsidR="00DB7B72" w:rsidRPr="00C0412C" w:rsidRDefault="00DB7B72" w:rsidP="00DB7B72">
      <w:pPr>
        <w:pStyle w:val="ListParagraph"/>
        <w:rPr>
          <w:rFonts w:ascii="Calibri" w:hAnsi="Calibri" w:cs="Calibri"/>
          <w:kern w:val="2"/>
          <w:sz w:val="22"/>
          <w:szCs w:val="22"/>
          <w:lang w:eastAsia="en-US"/>
          <w14:ligatures w14:val="standardContextual"/>
        </w:rPr>
      </w:pPr>
    </w:p>
    <w:p w14:paraId="3210D216" w14:textId="77777777" w:rsidR="00DB7B72" w:rsidRPr="00C0412C" w:rsidRDefault="00DB7B72" w:rsidP="00DB7B72">
      <w:pPr>
        <w:pStyle w:val="ListParagraph"/>
        <w:rPr>
          <w:rFonts w:ascii="Calibri" w:hAnsi="Calibri" w:cs="Calibri"/>
          <w:kern w:val="2"/>
          <w:sz w:val="22"/>
          <w:szCs w:val="22"/>
          <w:lang w:eastAsia="en-US"/>
          <w14:ligatures w14:val="standardContextual"/>
        </w:rPr>
      </w:pPr>
      <w:r w:rsidRPr="00C0412C">
        <w:rPr>
          <w:rFonts w:ascii="Calibri" w:hAnsi="Calibri" w:cs="Calibri"/>
          <w:kern w:val="2"/>
          <w:sz w:val="22"/>
          <w:szCs w:val="22"/>
          <w:lang w:eastAsia="en-US"/>
          <w14:ligatures w14:val="standardContextual"/>
        </w:rPr>
        <w:t>D</w:t>
      </w:r>
      <w:r w:rsidR="00412092" w:rsidRPr="00412092">
        <w:rPr>
          <w:rFonts w:ascii="Calibri" w:hAnsi="Calibri" w:cs="Calibri"/>
          <w:kern w:val="2"/>
          <w:sz w:val="22"/>
          <w:szCs w:val="22"/>
          <w:lang w:eastAsia="en-US"/>
          <w14:ligatures w14:val="standardContextual"/>
        </w:rPr>
        <w:t>e acuerdo</w:t>
      </w:r>
      <w:r w:rsidRPr="00C0412C">
        <w:rPr>
          <w:rFonts w:ascii="Calibri" w:hAnsi="Calibri" w:cs="Calibri"/>
          <w:kern w:val="2"/>
          <w:sz w:val="22"/>
          <w:szCs w:val="22"/>
          <w:lang w:eastAsia="en-US"/>
          <w14:ligatures w14:val="standardContextual"/>
        </w:rPr>
        <w:t xml:space="preserve"> con </w:t>
      </w:r>
      <w:proofErr w:type="spellStart"/>
      <w:r w:rsidRPr="00C0412C">
        <w:rPr>
          <w:rFonts w:ascii="Calibri" w:hAnsi="Calibri" w:cs="Calibri"/>
          <w:kern w:val="2"/>
          <w:sz w:val="22"/>
          <w:szCs w:val="22"/>
          <w:lang w:eastAsia="en-US"/>
          <w14:ligatures w14:val="standardContextual"/>
        </w:rPr>
        <w:t>Trademap</w:t>
      </w:r>
      <w:proofErr w:type="spellEnd"/>
      <w:r w:rsidRPr="00C0412C">
        <w:rPr>
          <w:rFonts w:ascii="Calibri" w:hAnsi="Calibri" w:cs="Calibri"/>
          <w:kern w:val="2"/>
          <w:sz w:val="22"/>
          <w:szCs w:val="22"/>
          <w:lang w:eastAsia="en-US"/>
          <w14:ligatures w14:val="standardContextual"/>
        </w:rPr>
        <w:t xml:space="preserve">, </w:t>
      </w:r>
      <w:r w:rsidR="00412092" w:rsidRPr="00412092">
        <w:rPr>
          <w:rFonts w:ascii="Calibri" w:hAnsi="Calibri" w:cs="Calibri"/>
          <w:kern w:val="2"/>
          <w:sz w:val="22"/>
          <w:szCs w:val="22"/>
          <w:lang w:eastAsia="en-US"/>
          <w14:ligatures w14:val="standardContextual"/>
        </w:rPr>
        <w:t xml:space="preserve">en el 2024 Turquía exportó a la Republica Dominicana 104 mil TM de varillas (partida 7214.20). Esta cifra dista de forma importante de los registros oficiales de importación de la Republica Dominicana. </w:t>
      </w:r>
    </w:p>
    <w:p w14:paraId="3B574C1D" w14:textId="77777777" w:rsidR="00DB7B72" w:rsidRPr="00C0412C" w:rsidRDefault="00DB7B72" w:rsidP="00DB7B72">
      <w:pPr>
        <w:pStyle w:val="ListParagraph"/>
        <w:rPr>
          <w:rFonts w:ascii="Calibri" w:hAnsi="Calibri" w:cs="Calibri"/>
          <w:kern w:val="2"/>
          <w:sz w:val="22"/>
          <w:szCs w:val="22"/>
          <w:lang w:eastAsia="en-US"/>
          <w14:ligatures w14:val="standardContextual"/>
        </w:rPr>
      </w:pPr>
    </w:p>
    <w:p w14:paraId="34112D4E" w14:textId="3AAEA035" w:rsidR="00DB7B72" w:rsidRPr="00C0412C" w:rsidRDefault="00412092" w:rsidP="00DB7B72">
      <w:pPr>
        <w:pStyle w:val="ListParagraph"/>
        <w:rPr>
          <w:rFonts w:ascii="Calibri" w:hAnsi="Calibri" w:cs="Calibri"/>
          <w:kern w:val="2"/>
          <w:sz w:val="22"/>
          <w:szCs w:val="22"/>
          <w:lang w:eastAsia="en-US"/>
          <w14:ligatures w14:val="standardContextual"/>
        </w:rPr>
      </w:pPr>
      <w:r w:rsidRPr="00412092">
        <w:rPr>
          <w:rFonts w:ascii="Calibri" w:hAnsi="Calibri" w:cs="Calibri"/>
          <w:kern w:val="2"/>
          <w:sz w:val="22"/>
          <w:szCs w:val="22"/>
          <w:lang w:eastAsia="en-US"/>
          <w14:ligatures w14:val="standardContextual"/>
        </w:rPr>
        <w:t xml:space="preserve">Se trata de varillas que fueron reexportadas a otros destinos.   Si bien dichos productos no entraron a ser comercializados en el país, refleja la importancia que Turquía da al mercado dominicano, fruto de las ventajas logísticas que tenemos como centro del caribe, unido con el importante tamaño relativo de nuestra </w:t>
      </w:r>
      <w:r w:rsidR="00DB7B72" w:rsidRPr="00C0412C">
        <w:rPr>
          <w:rFonts w:ascii="Calibri" w:hAnsi="Calibri" w:cs="Calibri"/>
          <w:kern w:val="2"/>
          <w:sz w:val="22"/>
          <w:szCs w:val="22"/>
          <w:lang w:eastAsia="en-US"/>
          <w14:ligatures w14:val="standardContextual"/>
        </w:rPr>
        <w:t>economía y</w:t>
      </w:r>
      <w:r w:rsidRPr="00412092">
        <w:rPr>
          <w:rFonts w:ascii="Calibri" w:hAnsi="Calibri" w:cs="Calibri"/>
          <w:kern w:val="2"/>
          <w:sz w:val="22"/>
          <w:szCs w:val="22"/>
          <w:lang w:eastAsia="en-US"/>
          <w14:ligatures w14:val="standardContextual"/>
        </w:rPr>
        <w:t xml:space="preserve"> el sector de construcción</w:t>
      </w:r>
      <w:r w:rsidR="00DB7B72" w:rsidRPr="00C0412C">
        <w:rPr>
          <w:rFonts w:ascii="Calibri" w:hAnsi="Calibri" w:cs="Calibri"/>
          <w:kern w:val="2"/>
          <w:sz w:val="22"/>
          <w:szCs w:val="22"/>
          <w:lang w:eastAsia="en-US"/>
          <w14:ligatures w14:val="standardContextual"/>
        </w:rPr>
        <w:t xml:space="preserve">.  La aplicación de la medida antidumping no ha permitido la entrada de dichos productos al país. </w:t>
      </w:r>
    </w:p>
    <w:p w14:paraId="3785C5AC" w14:textId="77777777" w:rsidR="00DB7B72" w:rsidRPr="00C0412C" w:rsidRDefault="00DB7B72" w:rsidP="00DB7B72">
      <w:pPr>
        <w:pStyle w:val="ListParagraph"/>
        <w:rPr>
          <w:rFonts w:ascii="Calibri" w:hAnsi="Calibri" w:cs="Calibri"/>
          <w:kern w:val="2"/>
          <w:sz w:val="22"/>
          <w:szCs w:val="22"/>
          <w:lang w:eastAsia="en-US"/>
          <w14:ligatures w14:val="standardContextual"/>
        </w:rPr>
      </w:pPr>
    </w:p>
    <w:p w14:paraId="2ACB5C23" w14:textId="77777777" w:rsidR="002D4E99" w:rsidRPr="00C0412C" w:rsidRDefault="002D4E99" w:rsidP="002D4E99">
      <w:pPr>
        <w:pStyle w:val="ListParagraph"/>
        <w:numPr>
          <w:ilvl w:val="0"/>
          <w:numId w:val="4"/>
        </w:numPr>
        <w:jc w:val="both"/>
        <w:rPr>
          <w:rFonts w:ascii="Calibri" w:hAnsi="Calibri" w:cs="Calibri"/>
          <w:sz w:val="22"/>
          <w:szCs w:val="22"/>
        </w:rPr>
      </w:pPr>
      <w:bookmarkStart w:id="0" w:name="_Hlk208828399"/>
      <w:r w:rsidRPr="00C0412C">
        <w:rPr>
          <w:rFonts w:ascii="Calibri" w:hAnsi="Calibri" w:cs="Calibri"/>
          <w:b/>
          <w:bCs/>
          <w:sz w:val="22"/>
          <w:szCs w:val="22"/>
        </w:rPr>
        <w:t>Exceso de Capacidad Ociosa que preciosa a ser utilizada vía Exportaciones:</w:t>
      </w:r>
      <w:r w:rsidRPr="00C0412C">
        <w:rPr>
          <w:rFonts w:ascii="Calibri" w:hAnsi="Calibri" w:cs="Calibri"/>
          <w:sz w:val="22"/>
          <w:szCs w:val="22"/>
        </w:rPr>
        <w:t xml:space="preserve"> </w:t>
      </w:r>
    </w:p>
    <w:bookmarkEnd w:id="0"/>
    <w:p w14:paraId="006352B2" w14:textId="77777777" w:rsidR="002D4E99" w:rsidRPr="00C0412C" w:rsidRDefault="002D4E99" w:rsidP="002D4E99">
      <w:pPr>
        <w:pStyle w:val="ListParagraph"/>
        <w:jc w:val="both"/>
        <w:rPr>
          <w:rFonts w:ascii="Calibri" w:hAnsi="Calibri" w:cs="Calibri"/>
          <w:sz w:val="22"/>
          <w:szCs w:val="22"/>
        </w:rPr>
      </w:pPr>
    </w:p>
    <w:p w14:paraId="72838B97" w14:textId="77777777" w:rsidR="002D4E99" w:rsidRPr="00C0412C" w:rsidRDefault="00DB7B72" w:rsidP="002D4E99">
      <w:pPr>
        <w:pStyle w:val="ListParagraph"/>
        <w:jc w:val="both"/>
        <w:rPr>
          <w:rFonts w:ascii="Calibri" w:hAnsi="Calibri" w:cs="Calibri"/>
          <w:sz w:val="22"/>
          <w:szCs w:val="22"/>
        </w:rPr>
      </w:pPr>
      <w:r w:rsidRPr="00C0412C">
        <w:rPr>
          <w:rFonts w:ascii="Calibri" w:hAnsi="Calibri" w:cs="Calibri"/>
          <w:sz w:val="22"/>
          <w:szCs w:val="22"/>
        </w:rPr>
        <w:t xml:space="preserve">El exceso de capacidad global de acero no es un problema nuevo ni temporal. Ha sido, y sigue siendo, un desafío estructural y crónico que ha afectado a la industria del acero en todo el mundo, impactando a los productores de nuestro país, durante más de una década. Desde al menos 2013, e incluso antes, organismos internacionales y diversos gobiernos han reconocido e intentado abordar esta sobrecapacidad. Iniciativas como el Foro Global sobre el Exceso de Capacidad de Acero (GFSEC) se establecieron en 2016 precisamente para abordar este problema. Sin embargo, a pesar de numerosas discusiones, compromisos e incluso políticas nacionales destinadas a frenar la capacidad, el problema ha persistido en gran medida y, en muchos períodos, ha empeorado. Actualmente, la industria del acero global enfrenta un desequilibrio estructural significativo como resultado de una creciente capacidad excedente que no se corresponde con el crecimiento de la demanda mundial. </w:t>
      </w:r>
    </w:p>
    <w:p w14:paraId="71AC1C29" w14:textId="56522520" w:rsidR="002D4E99" w:rsidRPr="00C0412C" w:rsidRDefault="002D4E99" w:rsidP="002D4E99">
      <w:pPr>
        <w:pStyle w:val="ListParagraph"/>
        <w:jc w:val="both"/>
        <w:rPr>
          <w:rFonts w:ascii="Calibri" w:hAnsi="Calibri" w:cs="Calibri"/>
          <w:sz w:val="22"/>
          <w:szCs w:val="22"/>
        </w:rPr>
      </w:pPr>
      <w:r w:rsidRPr="00C0412C">
        <w:rPr>
          <w:rFonts w:ascii="Calibri" w:hAnsi="Calibri" w:cs="Calibri"/>
          <w:sz w:val="22"/>
          <w:szCs w:val="22"/>
        </w:rPr>
        <w:br/>
      </w:r>
      <w:r w:rsidR="00DB7B72" w:rsidRPr="00C0412C">
        <w:rPr>
          <w:rFonts w:ascii="Calibri" w:hAnsi="Calibri" w:cs="Calibri"/>
          <w:sz w:val="22"/>
          <w:szCs w:val="22"/>
        </w:rPr>
        <w:t>La sobreoferta global ha provocado una reducción significativa en los precios internacionales del acero, lo que ha reducido los márgenes de ganancia de las empresas más eficientes y sostenibles</w:t>
      </w:r>
      <w:r w:rsidRPr="00C0412C">
        <w:rPr>
          <w:rFonts w:ascii="Calibri" w:hAnsi="Calibri" w:cs="Calibri"/>
          <w:sz w:val="22"/>
          <w:szCs w:val="22"/>
        </w:rPr>
        <w:t xml:space="preserve">. </w:t>
      </w:r>
      <w:r w:rsidR="00DB7B72" w:rsidRPr="00C0412C">
        <w:rPr>
          <w:rFonts w:ascii="Calibri" w:hAnsi="Calibri" w:cs="Calibri"/>
          <w:sz w:val="22"/>
          <w:szCs w:val="22"/>
        </w:rPr>
        <w:t>Esto ha generado un entorno de competencia desleal que penaliza a los productores que no reciben subsidios ni apoyo estatal.</w:t>
      </w:r>
    </w:p>
    <w:p w14:paraId="7DE1A4C7" w14:textId="77777777" w:rsidR="002D4E99" w:rsidRPr="00C0412C" w:rsidRDefault="002D4E99" w:rsidP="002D4E99">
      <w:pPr>
        <w:pStyle w:val="ListParagraph"/>
        <w:jc w:val="both"/>
        <w:rPr>
          <w:rFonts w:ascii="Calibri" w:hAnsi="Calibri" w:cs="Calibri"/>
          <w:sz w:val="22"/>
          <w:szCs w:val="22"/>
        </w:rPr>
      </w:pPr>
    </w:p>
    <w:p w14:paraId="35061219" w14:textId="77777777" w:rsidR="002D4E99" w:rsidRPr="00C0412C" w:rsidRDefault="00DB7B72" w:rsidP="002D4E99">
      <w:pPr>
        <w:pStyle w:val="ListParagraph"/>
        <w:jc w:val="both"/>
        <w:rPr>
          <w:rFonts w:ascii="Calibri" w:hAnsi="Calibri" w:cs="Calibri"/>
          <w:sz w:val="22"/>
          <w:szCs w:val="22"/>
        </w:rPr>
      </w:pPr>
      <w:r w:rsidRPr="00C0412C">
        <w:rPr>
          <w:rFonts w:ascii="Calibri" w:hAnsi="Calibri" w:cs="Calibri"/>
          <w:sz w:val="22"/>
          <w:szCs w:val="22"/>
        </w:rPr>
        <w:t xml:space="preserve">Como respuesta a esta problemática, los países han optado por diferentes medidas para contrarrestar el efecto de la sobrecapacidad. Varios han incrementado aranceles generales como </w:t>
      </w:r>
      <w:r w:rsidRPr="00C0412C">
        <w:rPr>
          <w:rFonts w:ascii="Calibri" w:hAnsi="Calibri" w:cs="Calibri"/>
          <w:sz w:val="22"/>
          <w:szCs w:val="22"/>
        </w:rPr>
        <w:lastRenderedPageBreak/>
        <w:t xml:space="preserve">herramienta de política comercial soberana para proteger su industria nacional. Un precedente relevante es el de Estados Unidos, que en 2018 impuso un arancel del 25% sobre todas las importaciones de acero bajo la Sección 232 del </w:t>
      </w:r>
      <w:proofErr w:type="spellStart"/>
      <w:r w:rsidRPr="00C0412C">
        <w:rPr>
          <w:rFonts w:ascii="Calibri" w:hAnsi="Calibri" w:cs="Calibri"/>
          <w:i/>
          <w:sz w:val="22"/>
          <w:szCs w:val="22"/>
        </w:rPr>
        <w:t>Trade</w:t>
      </w:r>
      <w:proofErr w:type="spellEnd"/>
      <w:r w:rsidRPr="00C0412C">
        <w:rPr>
          <w:rFonts w:ascii="Calibri" w:hAnsi="Calibri" w:cs="Calibri"/>
          <w:i/>
          <w:sz w:val="22"/>
          <w:szCs w:val="22"/>
        </w:rPr>
        <w:t xml:space="preserve"> </w:t>
      </w:r>
      <w:proofErr w:type="spellStart"/>
      <w:r w:rsidRPr="00C0412C">
        <w:rPr>
          <w:rFonts w:ascii="Calibri" w:hAnsi="Calibri" w:cs="Calibri"/>
          <w:i/>
          <w:sz w:val="22"/>
          <w:szCs w:val="22"/>
        </w:rPr>
        <w:t>Expansion</w:t>
      </w:r>
      <w:proofErr w:type="spellEnd"/>
      <w:r w:rsidRPr="00C0412C">
        <w:rPr>
          <w:rFonts w:ascii="Calibri" w:hAnsi="Calibri" w:cs="Calibri"/>
          <w:i/>
          <w:sz w:val="22"/>
          <w:szCs w:val="22"/>
        </w:rPr>
        <w:t xml:space="preserve"> </w:t>
      </w:r>
      <w:proofErr w:type="spellStart"/>
      <w:r w:rsidRPr="00C0412C">
        <w:rPr>
          <w:rFonts w:ascii="Calibri" w:hAnsi="Calibri" w:cs="Calibri"/>
          <w:i/>
          <w:sz w:val="22"/>
          <w:szCs w:val="22"/>
        </w:rPr>
        <w:t>Act</w:t>
      </w:r>
      <w:proofErr w:type="spellEnd"/>
      <w:r w:rsidRPr="00C0412C">
        <w:rPr>
          <w:rFonts w:ascii="Calibri" w:hAnsi="Calibri" w:cs="Calibri"/>
          <w:i/>
          <w:sz w:val="22"/>
          <w:szCs w:val="22"/>
        </w:rPr>
        <w:t xml:space="preserve"> </w:t>
      </w:r>
      <w:proofErr w:type="spellStart"/>
      <w:r w:rsidRPr="00C0412C">
        <w:rPr>
          <w:rFonts w:ascii="Calibri" w:hAnsi="Calibri" w:cs="Calibri"/>
          <w:i/>
          <w:sz w:val="22"/>
          <w:szCs w:val="22"/>
        </w:rPr>
        <w:t>of</w:t>
      </w:r>
      <w:proofErr w:type="spellEnd"/>
      <w:r w:rsidRPr="00C0412C">
        <w:rPr>
          <w:rFonts w:ascii="Calibri" w:hAnsi="Calibri" w:cs="Calibri"/>
          <w:i/>
          <w:sz w:val="22"/>
          <w:szCs w:val="22"/>
        </w:rPr>
        <w:t xml:space="preserve"> 1962</w:t>
      </w:r>
      <w:r w:rsidRPr="00C0412C">
        <w:rPr>
          <w:rFonts w:ascii="Calibri" w:hAnsi="Calibri" w:cs="Calibri"/>
          <w:sz w:val="22"/>
          <w:szCs w:val="22"/>
        </w:rPr>
        <w:t xml:space="preserve">, por motivos de seguridad nacional. Esto fue resultado de una investigación del Departamento de Comercio que concluyó que las importaciones representaban una amenaza para la seguridad nacional del país. Estas tarifas buscan preservar la base industrial en sectores estratégicos como el acero, garantizar el empleo y proteger la soberanía productiva frente a prácticas desleales.  Mas recientemente esta decisión fue enmendada, eliminando exclusiones y aumento el arancel a un 50%.  Esto provoca mucho mayor agresividad de los exportadores tradicionales a los Estados Unidos a buscar otros mercados. </w:t>
      </w:r>
      <w:r w:rsidR="002D4E99" w:rsidRPr="00C0412C">
        <w:rPr>
          <w:rFonts w:ascii="Calibri" w:hAnsi="Calibri" w:cs="Calibri"/>
          <w:sz w:val="22"/>
          <w:szCs w:val="22"/>
        </w:rPr>
        <w:t xml:space="preserve">Esto es importante pues reduce las exportaciones turcas de varillas a Estados Unidos en más de un 1millon de toneladas entre el 2017 y el 2024.  </w:t>
      </w:r>
      <w:r w:rsidRPr="00C0412C">
        <w:rPr>
          <w:rFonts w:ascii="Calibri" w:hAnsi="Calibri" w:cs="Calibri"/>
          <w:sz w:val="22"/>
          <w:szCs w:val="22"/>
        </w:rPr>
        <w:t xml:space="preserve">Países como Turquía, que ha sido de los principales exportadores de varillas (partida 7214.20), de acuerdo con datos de </w:t>
      </w:r>
      <w:proofErr w:type="spellStart"/>
      <w:r w:rsidRPr="00C0412C">
        <w:rPr>
          <w:rFonts w:ascii="Calibri" w:hAnsi="Calibri" w:cs="Calibri"/>
          <w:sz w:val="22"/>
          <w:szCs w:val="22"/>
        </w:rPr>
        <w:t>Trademap</w:t>
      </w:r>
      <w:proofErr w:type="spellEnd"/>
      <w:r w:rsidRPr="00C0412C">
        <w:rPr>
          <w:rFonts w:ascii="Calibri" w:hAnsi="Calibri" w:cs="Calibri"/>
          <w:sz w:val="22"/>
          <w:szCs w:val="22"/>
        </w:rPr>
        <w:t xml:space="preserve">, impuso una medida de salvaguardia que incluye un 15% de impuestos a los productos de la partida HS4 7214 en 2020. Esta medida fue aplicada a la Unión Europea y otros países cercanos. Esta medida se puso como contrapeso a la medida de seguridad nacional interpuesta por Estados Unidos, ya que se esperaba una desviación de las exportaciones europeas hacia otros mercados, incluyendo el turco. </w:t>
      </w:r>
      <w:r w:rsidR="002D4E99" w:rsidRPr="00C0412C">
        <w:rPr>
          <w:rFonts w:ascii="Calibri" w:hAnsi="Calibri" w:cs="Calibri"/>
          <w:sz w:val="22"/>
          <w:szCs w:val="22"/>
        </w:rPr>
        <w:t xml:space="preserve"> </w:t>
      </w:r>
      <w:r w:rsidRPr="00C0412C">
        <w:rPr>
          <w:rFonts w:ascii="Calibri" w:hAnsi="Calibri" w:cs="Calibri"/>
          <w:sz w:val="22"/>
          <w:szCs w:val="22"/>
        </w:rPr>
        <w:t xml:space="preserve">Es importante destacar que Turquía aumentó el arancel NMF de importación de varillas corrugadas del 10 % al 30 % desde el 1 de enero de 2020.  </w:t>
      </w:r>
    </w:p>
    <w:p w14:paraId="1C461167" w14:textId="77777777" w:rsidR="002D4E99" w:rsidRPr="00C0412C" w:rsidRDefault="002D4E99" w:rsidP="002D4E99">
      <w:pPr>
        <w:pStyle w:val="ListParagraph"/>
        <w:jc w:val="both"/>
        <w:rPr>
          <w:rFonts w:ascii="Calibri" w:hAnsi="Calibri" w:cs="Calibri"/>
          <w:sz w:val="22"/>
          <w:szCs w:val="22"/>
        </w:rPr>
      </w:pPr>
    </w:p>
    <w:p w14:paraId="15D4B525" w14:textId="1CBD37AA" w:rsidR="00DB7B72" w:rsidRPr="00C0412C" w:rsidRDefault="00DB7B72" w:rsidP="002D4E99">
      <w:pPr>
        <w:pStyle w:val="ListParagraph"/>
        <w:jc w:val="both"/>
        <w:rPr>
          <w:rFonts w:ascii="Calibri" w:hAnsi="Calibri" w:cs="Calibri"/>
          <w:sz w:val="22"/>
          <w:szCs w:val="22"/>
        </w:rPr>
      </w:pPr>
      <w:r w:rsidRPr="00C0412C">
        <w:rPr>
          <w:rFonts w:ascii="Calibri" w:hAnsi="Calibri" w:cs="Calibri"/>
          <w:sz w:val="22"/>
          <w:szCs w:val="22"/>
        </w:rPr>
        <w:t xml:space="preserve">Se trata pues de un entorno de desbalance entre la capacidad instalada global de acero y la demanda agregada de los países, lo que ha empujado hacia una mayor agresividad exportadora y la consecuente proliferación de medidas de defensa comercial. </w:t>
      </w:r>
      <w:r w:rsidR="002D4E99" w:rsidRPr="00C0412C">
        <w:rPr>
          <w:rFonts w:ascii="Calibri" w:hAnsi="Calibri" w:cs="Calibri"/>
          <w:sz w:val="22"/>
          <w:szCs w:val="22"/>
        </w:rPr>
        <w:t xml:space="preserve"> Esto se aplica a Turquía y sus exportaciones de varillas. </w:t>
      </w:r>
    </w:p>
    <w:p w14:paraId="619460F5" w14:textId="220D2AC9" w:rsidR="00DB7B72" w:rsidRPr="00C0412C" w:rsidRDefault="00DB7B72" w:rsidP="00DB7B72">
      <w:pPr>
        <w:jc w:val="both"/>
        <w:rPr>
          <w:rFonts w:ascii="Calibri" w:hAnsi="Calibri" w:cs="Calibri"/>
          <w:sz w:val="22"/>
          <w:szCs w:val="22"/>
        </w:rPr>
      </w:pPr>
    </w:p>
    <w:p w14:paraId="0449B727" w14:textId="77777777" w:rsidR="002D4E99" w:rsidRPr="00C0412C" w:rsidRDefault="00DB7B72" w:rsidP="002D4E99">
      <w:pPr>
        <w:pStyle w:val="ListParagraph"/>
        <w:rPr>
          <w:rFonts w:ascii="Calibri" w:hAnsi="Calibri" w:cs="Calibri"/>
          <w:sz w:val="22"/>
          <w:szCs w:val="22"/>
        </w:rPr>
      </w:pPr>
      <w:r w:rsidRPr="00C0412C">
        <w:rPr>
          <w:rFonts w:ascii="Calibri" w:hAnsi="Calibri" w:cs="Calibri"/>
          <w:sz w:val="22"/>
          <w:szCs w:val="22"/>
        </w:rPr>
        <w:t xml:space="preserve">En los últimos años, el comercio internacional del acero ha estado marcado por un resurgimiento de acciones hacia la protección de la producción nacional.  De acuerdo con </w:t>
      </w:r>
      <w:bookmarkStart w:id="1" w:name="_Hlk207642111"/>
      <w:r w:rsidRPr="00C0412C">
        <w:rPr>
          <w:rFonts w:ascii="Calibri" w:hAnsi="Calibri" w:cs="Calibri"/>
          <w:i/>
          <w:iCs/>
          <w:sz w:val="22"/>
          <w:szCs w:val="22"/>
        </w:rPr>
        <w:t xml:space="preserve">Global </w:t>
      </w:r>
      <w:proofErr w:type="spellStart"/>
      <w:r w:rsidRPr="00C0412C">
        <w:rPr>
          <w:rFonts w:ascii="Calibri" w:hAnsi="Calibri" w:cs="Calibri"/>
          <w:i/>
          <w:iCs/>
          <w:sz w:val="22"/>
          <w:szCs w:val="22"/>
        </w:rPr>
        <w:t>Trade</w:t>
      </w:r>
      <w:proofErr w:type="spellEnd"/>
      <w:r w:rsidRPr="00C0412C">
        <w:rPr>
          <w:rFonts w:ascii="Calibri" w:hAnsi="Calibri" w:cs="Calibri"/>
          <w:i/>
          <w:iCs/>
          <w:sz w:val="22"/>
          <w:szCs w:val="22"/>
        </w:rPr>
        <w:t xml:space="preserve"> </w:t>
      </w:r>
      <w:proofErr w:type="spellStart"/>
      <w:r w:rsidRPr="00C0412C">
        <w:rPr>
          <w:rFonts w:ascii="Calibri" w:hAnsi="Calibri" w:cs="Calibri"/>
          <w:i/>
          <w:iCs/>
          <w:sz w:val="22"/>
          <w:szCs w:val="22"/>
        </w:rPr>
        <w:t>Alert</w:t>
      </w:r>
      <w:proofErr w:type="spellEnd"/>
      <w:r w:rsidRPr="00C0412C">
        <w:rPr>
          <w:rFonts w:ascii="Calibri" w:hAnsi="Calibri" w:cs="Calibri"/>
          <w:i/>
          <w:iCs/>
          <w:sz w:val="22"/>
          <w:szCs w:val="22"/>
        </w:rPr>
        <w:t xml:space="preserve"> (GTA)</w:t>
      </w:r>
      <w:r w:rsidRPr="00C0412C">
        <w:rPr>
          <w:rFonts w:ascii="Calibri" w:hAnsi="Calibri" w:cs="Calibri"/>
          <w:sz w:val="22"/>
          <w:szCs w:val="22"/>
        </w:rPr>
        <w:t>,</w:t>
      </w:r>
      <w:bookmarkEnd w:id="1"/>
      <w:r w:rsidRPr="00C0412C">
        <w:rPr>
          <w:rFonts w:ascii="Calibri" w:hAnsi="Calibri" w:cs="Calibri"/>
          <w:sz w:val="22"/>
          <w:szCs w:val="22"/>
        </w:rPr>
        <w:t xml:space="preserve"> el número de intervenciones estatales que afectan este sector ha crecido de manera considerable desde 2009, en un contexto de sobrecapacidad mundial y de políticas comerciales cada vez más restrictivas en economías avanzadas. Estados Unidos y la Unión Europea, entre otros, han adoptado medidas destinadas a proteger sus industrias locales, lo que ha generado un ambiente de mayor rivalidad en los mercados internacionales. </w:t>
      </w:r>
    </w:p>
    <w:p w14:paraId="54EA34E6" w14:textId="77777777" w:rsidR="002D4E99" w:rsidRPr="00C0412C" w:rsidRDefault="00DB7B72" w:rsidP="002D4E99">
      <w:pPr>
        <w:pStyle w:val="ListParagraph"/>
        <w:rPr>
          <w:rFonts w:ascii="Calibri" w:hAnsi="Calibri" w:cs="Calibri"/>
          <w:sz w:val="22"/>
          <w:szCs w:val="22"/>
        </w:rPr>
      </w:pPr>
      <w:r w:rsidRPr="00C0412C">
        <w:rPr>
          <w:rFonts w:ascii="Calibri" w:hAnsi="Calibri" w:cs="Calibri"/>
          <w:sz w:val="22"/>
          <w:szCs w:val="22"/>
        </w:rPr>
        <w:t>Este escenario ha tenido un impacto directo en países exportadores como Turquía, que se ha convertido en uno de los principales objetivos de dichas restricciones.</w:t>
      </w:r>
    </w:p>
    <w:p w14:paraId="6406306E" w14:textId="77777777" w:rsidR="002D4E99" w:rsidRPr="00C0412C" w:rsidRDefault="002D4E99" w:rsidP="002D4E99">
      <w:pPr>
        <w:pStyle w:val="ListParagraph"/>
        <w:rPr>
          <w:rFonts w:ascii="Calibri" w:hAnsi="Calibri" w:cs="Calibri"/>
          <w:sz w:val="22"/>
          <w:szCs w:val="22"/>
        </w:rPr>
      </w:pPr>
    </w:p>
    <w:p w14:paraId="7473ACBF" w14:textId="77777777" w:rsidR="002D4E99" w:rsidRPr="00C0412C" w:rsidRDefault="00DB7B72" w:rsidP="002D4E99">
      <w:pPr>
        <w:pStyle w:val="ListParagraph"/>
        <w:rPr>
          <w:rFonts w:ascii="Calibri" w:hAnsi="Calibri" w:cs="Calibri"/>
          <w:sz w:val="22"/>
          <w:szCs w:val="22"/>
        </w:rPr>
      </w:pPr>
      <w:r w:rsidRPr="00C0412C">
        <w:rPr>
          <w:rFonts w:ascii="Calibri" w:hAnsi="Calibri" w:cs="Calibri"/>
          <w:sz w:val="22"/>
          <w:szCs w:val="22"/>
        </w:rPr>
        <w:t xml:space="preserve">El análisis de los datos de GTA permite constatar que entre 2009 y 2017 se registraron 1,368 medidas de protección la industria del acero (HS 72). Para el período 2018–2025, este número aumentó a 2,463 medidas, reflejando un crecimiento superior al 80%. </w:t>
      </w:r>
      <w:r w:rsidR="002D4E99" w:rsidRPr="00C0412C">
        <w:rPr>
          <w:rFonts w:ascii="Calibri" w:hAnsi="Calibri" w:cs="Calibri"/>
          <w:sz w:val="22"/>
          <w:szCs w:val="22"/>
        </w:rPr>
        <w:t xml:space="preserve"> </w:t>
      </w:r>
      <w:r w:rsidRPr="00C0412C">
        <w:rPr>
          <w:rFonts w:ascii="Calibri" w:hAnsi="Calibri" w:cs="Calibri"/>
          <w:sz w:val="22"/>
          <w:szCs w:val="22"/>
        </w:rPr>
        <w:t>Este incremento evidencia cómo el desbalance entre oferta y demanda de acero, fruto de la sobre capacidad instalada, y las presiones para colocar los excedentes en los mercados internacionales ha empujado hacia la protección de la industria nacional.  Por tales razones la protección en el sector no solo se ha consolidado, sino que también se ha intensificado en los últimos años, confirmando que la liberalización comercial ha cedido terreno ante políticas defensivas.</w:t>
      </w:r>
    </w:p>
    <w:p w14:paraId="4E00D4BE" w14:textId="77777777" w:rsidR="002D4E99" w:rsidRPr="00C0412C" w:rsidRDefault="002D4E99" w:rsidP="002D4E99">
      <w:pPr>
        <w:pStyle w:val="ListParagraph"/>
        <w:rPr>
          <w:rFonts w:ascii="Calibri" w:hAnsi="Calibri" w:cs="Calibri"/>
          <w:sz w:val="22"/>
          <w:szCs w:val="22"/>
        </w:rPr>
      </w:pPr>
    </w:p>
    <w:p w14:paraId="6F01EC79" w14:textId="14B71081" w:rsidR="00DB7B72" w:rsidRPr="00C0412C" w:rsidRDefault="00DB7B72" w:rsidP="002D4E99">
      <w:pPr>
        <w:pStyle w:val="ListParagraph"/>
        <w:rPr>
          <w:rFonts w:ascii="Calibri" w:hAnsi="Calibri" w:cs="Calibri"/>
          <w:sz w:val="22"/>
          <w:szCs w:val="22"/>
        </w:rPr>
      </w:pPr>
      <w:r w:rsidRPr="00C0412C">
        <w:rPr>
          <w:rFonts w:ascii="Calibri" w:hAnsi="Calibri" w:cs="Calibri"/>
          <w:sz w:val="22"/>
          <w:szCs w:val="22"/>
        </w:rPr>
        <w:t xml:space="preserve">Dentro de este contexto global, </w:t>
      </w:r>
      <w:r w:rsidRPr="00C0412C">
        <w:rPr>
          <w:rFonts w:ascii="Calibri" w:hAnsi="Calibri" w:cs="Calibri"/>
          <w:b/>
          <w:bCs/>
          <w:sz w:val="22"/>
          <w:szCs w:val="22"/>
          <w:u w:val="single"/>
        </w:rPr>
        <w:t>Turquía emerge como un caso particularmente relevante</w:t>
      </w:r>
      <w:r w:rsidRPr="00C0412C">
        <w:rPr>
          <w:rFonts w:ascii="Calibri" w:hAnsi="Calibri" w:cs="Calibri"/>
          <w:sz w:val="22"/>
          <w:szCs w:val="22"/>
        </w:rPr>
        <w:t xml:space="preserve">. El número de medidas dirigidas contra sus exportaciones pasó de </w:t>
      </w:r>
      <w:r w:rsidRPr="00C0412C">
        <w:rPr>
          <w:rFonts w:ascii="Calibri" w:hAnsi="Calibri" w:cs="Calibri"/>
          <w:b/>
          <w:bCs/>
          <w:sz w:val="22"/>
          <w:szCs w:val="22"/>
        </w:rPr>
        <w:t>793 entre el 2009 y el 2017 a 1,686 medidas entre el 2018 y el 2025, lo que implica un incremento del 113%</w:t>
      </w:r>
      <w:r w:rsidRPr="00C0412C">
        <w:rPr>
          <w:rFonts w:ascii="Calibri" w:hAnsi="Calibri" w:cs="Calibri"/>
          <w:sz w:val="22"/>
          <w:szCs w:val="22"/>
        </w:rPr>
        <w:t xml:space="preserve">. De ellas, más de la mitad están vinculadas directamente a las varillas de acero (HS 721420), con 934 medidas en el segundo período. Aún más importante, cerca del 80% de estas medidas siguen vigentes, lo </w:t>
      </w:r>
      <w:r w:rsidRPr="00C0412C">
        <w:rPr>
          <w:rFonts w:ascii="Calibri" w:hAnsi="Calibri" w:cs="Calibri"/>
          <w:sz w:val="22"/>
          <w:szCs w:val="22"/>
        </w:rPr>
        <w:lastRenderedPageBreak/>
        <w:t>que refuerza la percepción de Turquía como un exportador sujeto a un escrutinio constante en el comercio internacional.</w:t>
      </w:r>
    </w:p>
    <w:p w14:paraId="37D9C9C8" w14:textId="77777777" w:rsidR="00DB7B72" w:rsidRPr="00C0412C" w:rsidRDefault="00DB7B72" w:rsidP="00DB7B72">
      <w:pPr>
        <w:rPr>
          <w:rFonts w:ascii="Calibri" w:hAnsi="Calibri" w:cs="Calibri"/>
          <w:sz w:val="22"/>
          <w:szCs w:val="22"/>
        </w:rPr>
      </w:pPr>
      <w:bookmarkStart w:id="2" w:name="_Hlk207642072"/>
    </w:p>
    <w:bookmarkEnd w:id="2"/>
    <w:p w14:paraId="61E03E17" w14:textId="77777777" w:rsidR="002D4E99" w:rsidRPr="00C0412C" w:rsidRDefault="002D4E99" w:rsidP="00DB7B72">
      <w:pPr>
        <w:pStyle w:val="ListParagraph"/>
        <w:numPr>
          <w:ilvl w:val="0"/>
          <w:numId w:val="4"/>
        </w:numPr>
        <w:jc w:val="both"/>
        <w:rPr>
          <w:rFonts w:ascii="Calibri" w:hAnsi="Calibri" w:cs="Calibri"/>
          <w:sz w:val="22"/>
          <w:szCs w:val="22"/>
        </w:rPr>
      </w:pPr>
      <w:r w:rsidRPr="00C0412C">
        <w:rPr>
          <w:rFonts w:ascii="Calibri" w:hAnsi="Calibri" w:cs="Calibri"/>
          <w:b/>
          <w:bCs/>
          <w:sz w:val="22"/>
          <w:szCs w:val="22"/>
        </w:rPr>
        <w:t xml:space="preserve">Acciones Antidumping contra las exportaciones de varias turcas: </w:t>
      </w:r>
    </w:p>
    <w:p w14:paraId="03D6BD13" w14:textId="77777777" w:rsidR="002D4E99" w:rsidRPr="00C0412C" w:rsidRDefault="002D4E99" w:rsidP="002D4E99">
      <w:pPr>
        <w:pStyle w:val="ListParagraph"/>
        <w:jc w:val="both"/>
        <w:rPr>
          <w:rFonts w:ascii="Calibri" w:hAnsi="Calibri" w:cs="Calibri"/>
          <w:b/>
          <w:bCs/>
          <w:sz w:val="22"/>
          <w:szCs w:val="22"/>
        </w:rPr>
      </w:pPr>
    </w:p>
    <w:p w14:paraId="3F7BFD32" w14:textId="72BAD052" w:rsidR="00DB7B72" w:rsidRPr="00C0412C" w:rsidRDefault="00DB7B72" w:rsidP="002D4E99">
      <w:pPr>
        <w:pStyle w:val="ListParagraph"/>
        <w:jc w:val="both"/>
        <w:rPr>
          <w:rFonts w:ascii="Calibri" w:hAnsi="Calibri" w:cs="Calibri"/>
          <w:sz w:val="22"/>
          <w:szCs w:val="22"/>
        </w:rPr>
      </w:pPr>
      <w:r w:rsidRPr="00C0412C">
        <w:rPr>
          <w:rFonts w:ascii="Calibri" w:hAnsi="Calibri" w:cs="Calibri"/>
          <w:sz w:val="22"/>
          <w:szCs w:val="22"/>
        </w:rPr>
        <w:t>La misma base de datos del Gl</w:t>
      </w:r>
      <w:r w:rsidRPr="00C0412C">
        <w:rPr>
          <w:rFonts w:ascii="Calibri" w:hAnsi="Calibri" w:cs="Calibri"/>
          <w:i/>
          <w:iCs/>
          <w:sz w:val="22"/>
          <w:szCs w:val="22"/>
        </w:rPr>
        <w:t xml:space="preserve">obal </w:t>
      </w:r>
      <w:proofErr w:type="spellStart"/>
      <w:r w:rsidRPr="00C0412C">
        <w:rPr>
          <w:rFonts w:ascii="Calibri" w:hAnsi="Calibri" w:cs="Calibri"/>
          <w:i/>
          <w:iCs/>
          <w:sz w:val="22"/>
          <w:szCs w:val="22"/>
        </w:rPr>
        <w:t>Trade</w:t>
      </w:r>
      <w:proofErr w:type="spellEnd"/>
      <w:r w:rsidRPr="00C0412C">
        <w:rPr>
          <w:rFonts w:ascii="Calibri" w:hAnsi="Calibri" w:cs="Calibri"/>
          <w:i/>
          <w:iCs/>
          <w:sz w:val="22"/>
          <w:szCs w:val="22"/>
        </w:rPr>
        <w:t xml:space="preserve"> </w:t>
      </w:r>
      <w:proofErr w:type="spellStart"/>
      <w:r w:rsidRPr="00C0412C">
        <w:rPr>
          <w:rFonts w:ascii="Calibri" w:hAnsi="Calibri" w:cs="Calibri"/>
          <w:i/>
          <w:iCs/>
          <w:sz w:val="22"/>
          <w:szCs w:val="22"/>
        </w:rPr>
        <w:t>Alert</w:t>
      </w:r>
      <w:proofErr w:type="spellEnd"/>
      <w:r w:rsidRPr="00C0412C">
        <w:rPr>
          <w:rFonts w:ascii="Calibri" w:hAnsi="Calibri" w:cs="Calibri"/>
          <w:i/>
          <w:iCs/>
          <w:sz w:val="22"/>
          <w:szCs w:val="22"/>
        </w:rPr>
        <w:t xml:space="preserve"> (GTA)</w:t>
      </w:r>
      <w:r w:rsidRPr="00C0412C">
        <w:rPr>
          <w:rFonts w:ascii="Calibri" w:hAnsi="Calibri" w:cs="Calibri"/>
          <w:sz w:val="22"/>
          <w:szCs w:val="22"/>
        </w:rPr>
        <w:t xml:space="preserve">, señala una serie de medidas antidumping contra las varillas turcas, de las cuales 6 se encuentran vigentes, lo que evidencia la probabilidad de recurrencia de dumping.  A continuación, se presenta un resumen de dichas medidas: </w:t>
      </w:r>
    </w:p>
    <w:p w14:paraId="4CCF7161" w14:textId="77777777" w:rsidR="002D4E99" w:rsidRPr="00C0412C" w:rsidRDefault="002D4E99" w:rsidP="002D4E99">
      <w:pPr>
        <w:pStyle w:val="ListParagraph"/>
        <w:jc w:val="both"/>
        <w:rPr>
          <w:rFonts w:ascii="Calibri" w:hAnsi="Calibri" w:cs="Calibri"/>
          <w:sz w:val="22"/>
          <w:szCs w:val="22"/>
        </w:rPr>
      </w:pPr>
    </w:p>
    <w:tbl>
      <w:tblPr>
        <w:tblStyle w:val="TableGrid"/>
        <w:tblW w:w="8708" w:type="dxa"/>
        <w:tblInd w:w="715" w:type="dxa"/>
        <w:tblLook w:val="04A0" w:firstRow="1" w:lastRow="0" w:firstColumn="1" w:lastColumn="0" w:noHBand="0" w:noVBand="1"/>
      </w:tblPr>
      <w:tblGrid>
        <w:gridCol w:w="2785"/>
        <w:gridCol w:w="1488"/>
        <w:gridCol w:w="1980"/>
        <w:gridCol w:w="1195"/>
        <w:gridCol w:w="1260"/>
      </w:tblGrid>
      <w:tr w:rsidR="00DB7B72" w:rsidRPr="00C0412C" w14:paraId="548B1F96" w14:textId="77777777" w:rsidTr="002D4E99">
        <w:trPr>
          <w:trHeight w:val="290"/>
        </w:trPr>
        <w:tc>
          <w:tcPr>
            <w:tcW w:w="2785" w:type="dxa"/>
            <w:noWrap/>
            <w:hideMark/>
          </w:tcPr>
          <w:p w14:paraId="12AD2AC1"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Acto</w:t>
            </w:r>
          </w:p>
        </w:tc>
        <w:tc>
          <w:tcPr>
            <w:tcW w:w="1488" w:type="dxa"/>
            <w:noWrap/>
            <w:hideMark/>
          </w:tcPr>
          <w:p w14:paraId="184DDB73"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 xml:space="preserve">Implementado por </w:t>
            </w:r>
          </w:p>
        </w:tc>
        <w:tc>
          <w:tcPr>
            <w:tcW w:w="1980" w:type="dxa"/>
            <w:noWrap/>
            <w:hideMark/>
          </w:tcPr>
          <w:p w14:paraId="7DE87A21"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Productos Incluidos</w:t>
            </w:r>
          </w:p>
        </w:tc>
        <w:tc>
          <w:tcPr>
            <w:tcW w:w="1195" w:type="dxa"/>
            <w:noWrap/>
            <w:hideMark/>
          </w:tcPr>
          <w:p w14:paraId="5AA23C66"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países Afectados</w:t>
            </w:r>
          </w:p>
        </w:tc>
        <w:tc>
          <w:tcPr>
            <w:tcW w:w="1260" w:type="dxa"/>
            <w:noWrap/>
            <w:hideMark/>
          </w:tcPr>
          <w:p w14:paraId="1CF3EB00"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Fecha Anuncio</w:t>
            </w:r>
          </w:p>
        </w:tc>
      </w:tr>
      <w:tr w:rsidR="00DB7B72" w:rsidRPr="00C0412C" w14:paraId="4F42BB14" w14:textId="77777777" w:rsidTr="002D4E99">
        <w:trPr>
          <w:trHeight w:val="290"/>
        </w:trPr>
        <w:tc>
          <w:tcPr>
            <w:tcW w:w="2785" w:type="dxa"/>
            <w:noWrap/>
            <w:hideMark/>
          </w:tcPr>
          <w:p w14:paraId="7847AD5B"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República Dominicana: Prórroga del derecho antidumping definitivo sobre las importaciones de varillas y barras de acero para refuerzo de hormigón procedentes de Turquía</w:t>
            </w:r>
          </w:p>
        </w:tc>
        <w:tc>
          <w:tcPr>
            <w:tcW w:w="1488" w:type="dxa"/>
            <w:noWrap/>
            <w:hideMark/>
          </w:tcPr>
          <w:p w14:paraId="70D28387"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República Dominicana</w:t>
            </w:r>
          </w:p>
        </w:tc>
        <w:tc>
          <w:tcPr>
            <w:tcW w:w="1980" w:type="dxa"/>
            <w:noWrap/>
            <w:hideMark/>
          </w:tcPr>
          <w:p w14:paraId="570CBB77"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721320, 721410, 721420</w:t>
            </w:r>
          </w:p>
        </w:tc>
        <w:tc>
          <w:tcPr>
            <w:tcW w:w="1195" w:type="dxa"/>
            <w:noWrap/>
            <w:hideMark/>
          </w:tcPr>
          <w:p w14:paraId="1E80B3F3"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Turquía</w:t>
            </w:r>
          </w:p>
        </w:tc>
        <w:tc>
          <w:tcPr>
            <w:tcW w:w="1260" w:type="dxa"/>
            <w:noWrap/>
            <w:hideMark/>
          </w:tcPr>
          <w:p w14:paraId="4A844473"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2010-06-18</w:t>
            </w:r>
          </w:p>
        </w:tc>
      </w:tr>
      <w:tr w:rsidR="00DB7B72" w:rsidRPr="00C0412C" w14:paraId="0E857AB7" w14:textId="77777777" w:rsidTr="002D4E99">
        <w:trPr>
          <w:trHeight w:val="290"/>
        </w:trPr>
        <w:tc>
          <w:tcPr>
            <w:tcW w:w="2785" w:type="dxa"/>
            <w:noWrap/>
            <w:hideMark/>
          </w:tcPr>
          <w:p w14:paraId="4E0FDD29"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Canadá: Órdenes antidumping y compensatorias contra barras de refuerzo de hormigón importadas de China, Corea y Turquía</w:t>
            </w:r>
          </w:p>
        </w:tc>
        <w:tc>
          <w:tcPr>
            <w:tcW w:w="1488" w:type="dxa"/>
            <w:noWrap/>
            <w:hideMark/>
          </w:tcPr>
          <w:p w14:paraId="51A44124"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Canadá</w:t>
            </w:r>
          </w:p>
        </w:tc>
        <w:tc>
          <w:tcPr>
            <w:tcW w:w="1980" w:type="dxa"/>
            <w:noWrap/>
            <w:hideMark/>
          </w:tcPr>
          <w:p w14:paraId="2563D45A"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721310, 721420</w:t>
            </w:r>
          </w:p>
        </w:tc>
        <w:tc>
          <w:tcPr>
            <w:tcW w:w="1195" w:type="dxa"/>
            <w:noWrap/>
            <w:hideMark/>
          </w:tcPr>
          <w:p w14:paraId="01D6451C"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China, República de Corea, Turquía</w:t>
            </w:r>
          </w:p>
        </w:tc>
        <w:tc>
          <w:tcPr>
            <w:tcW w:w="1260" w:type="dxa"/>
            <w:noWrap/>
            <w:hideMark/>
          </w:tcPr>
          <w:p w14:paraId="1425F06E"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2014-06-13</w:t>
            </w:r>
          </w:p>
        </w:tc>
      </w:tr>
      <w:tr w:rsidR="00DB7B72" w:rsidRPr="00C0412C" w14:paraId="1DB7CEAF" w14:textId="77777777" w:rsidTr="002D4E99">
        <w:trPr>
          <w:trHeight w:val="290"/>
        </w:trPr>
        <w:tc>
          <w:tcPr>
            <w:tcW w:w="2785" w:type="dxa"/>
            <w:noWrap/>
            <w:hideMark/>
          </w:tcPr>
          <w:p w14:paraId="31C1854A"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 xml:space="preserve">Australia: Prórroga del derecho antidumping definitivo sobre las importaciones de barras de refuerzo de acero procedentes del </w:t>
            </w:r>
            <w:proofErr w:type="spellStart"/>
            <w:r w:rsidRPr="00C0412C">
              <w:rPr>
                <w:rFonts w:ascii="Calibri" w:hAnsi="Calibri" w:cs="Calibri"/>
                <w:sz w:val="20"/>
                <w:szCs w:val="20"/>
                <w:lang w:val="es-DO"/>
              </w:rPr>
              <w:t>Taipei</w:t>
            </w:r>
            <w:proofErr w:type="spellEnd"/>
            <w:r w:rsidRPr="00C0412C">
              <w:rPr>
                <w:rFonts w:ascii="Calibri" w:hAnsi="Calibri" w:cs="Calibri"/>
                <w:sz w:val="20"/>
                <w:szCs w:val="20"/>
                <w:lang w:val="es-DO"/>
              </w:rPr>
              <w:t xml:space="preserve"> </w:t>
            </w:r>
            <w:proofErr w:type="gramStart"/>
            <w:r w:rsidRPr="00C0412C">
              <w:rPr>
                <w:rFonts w:ascii="Calibri" w:hAnsi="Calibri" w:cs="Calibri"/>
                <w:sz w:val="20"/>
                <w:szCs w:val="20"/>
                <w:lang w:val="es-DO"/>
              </w:rPr>
              <w:t>Chino</w:t>
            </w:r>
            <w:proofErr w:type="gramEnd"/>
            <w:r w:rsidRPr="00C0412C">
              <w:rPr>
                <w:rFonts w:ascii="Calibri" w:hAnsi="Calibri" w:cs="Calibri"/>
                <w:sz w:val="20"/>
                <w:szCs w:val="20"/>
                <w:lang w:val="es-DO"/>
              </w:rPr>
              <w:t>, Singapur, la República de Corea y España (Conclusión de la investigación después de que se estableciera un derecho provisional para Malasia, Tailandia y Turquía)</w:t>
            </w:r>
          </w:p>
        </w:tc>
        <w:tc>
          <w:tcPr>
            <w:tcW w:w="1488" w:type="dxa"/>
            <w:noWrap/>
            <w:hideMark/>
          </w:tcPr>
          <w:p w14:paraId="6823344F"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Australia</w:t>
            </w:r>
          </w:p>
        </w:tc>
        <w:tc>
          <w:tcPr>
            <w:tcW w:w="1980" w:type="dxa"/>
            <w:noWrap/>
            <w:hideMark/>
          </w:tcPr>
          <w:p w14:paraId="299A9F08"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721310, 721420, 722790, 722830</w:t>
            </w:r>
          </w:p>
        </w:tc>
        <w:tc>
          <w:tcPr>
            <w:tcW w:w="1195" w:type="dxa"/>
            <w:noWrap/>
            <w:hideMark/>
          </w:tcPr>
          <w:p w14:paraId="2BD3B1B3" w14:textId="77777777" w:rsidR="00DB7B72" w:rsidRPr="00C0412C" w:rsidRDefault="00DB7B72" w:rsidP="002400A4">
            <w:pPr>
              <w:rPr>
                <w:rFonts w:ascii="Calibri" w:hAnsi="Calibri" w:cs="Calibri"/>
                <w:sz w:val="20"/>
                <w:szCs w:val="20"/>
                <w:lang w:val="es-DO"/>
              </w:rPr>
            </w:pPr>
            <w:proofErr w:type="spellStart"/>
            <w:r w:rsidRPr="00C0412C">
              <w:rPr>
                <w:rFonts w:ascii="Calibri" w:hAnsi="Calibri" w:cs="Calibri"/>
                <w:sz w:val="20"/>
                <w:szCs w:val="20"/>
                <w:lang w:val="es-DO"/>
              </w:rPr>
              <w:t>Taipei</w:t>
            </w:r>
            <w:proofErr w:type="spellEnd"/>
            <w:r w:rsidRPr="00C0412C">
              <w:rPr>
                <w:rFonts w:ascii="Calibri" w:hAnsi="Calibri" w:cs="Calibri"/>
                <w:sz w:val="20"/>
                <w:szCs w:val="20"/>
                <w:lang w:val="es-DO"/>
              </w:rPr>
              <w:t xml:space="preserve"> </w:t>
            </w:r>
            <w:proofErr w:type="gramStart"/>
            <w:r w:rsidRPr="00C0412C">
              <w:rPr>
                <w:rFonts w:ascii="Calibri" w:hAnsi="Calibri" w:cs="Calibri"/>
                <w:sz w:val="20"/>
                <w:szCs w:val="20"/>
                <w:lang w:val="es-DO"/>
              </w:rPr>
              <w:t>Chino</w:t>
            </w:r>
            <w:proofErr w:type="gramEnd"/>
            <w:r w:rsidRPr="00C0412C">
              <w:rPr>
                <w:rFonts w:ascii="Calibri" w:hAnsi="Calibri" w:cs="Calibri"/>
                <w:sz w:val="20"/>
                <w:szCs w:val="20"/>
                <w:lang w:val="es-DO"/>
              </w:rPr>
              <w:t>, Malasia, Singapur, Tailandia, Turquía</w:t>
            </w:r>
          </w:p>
        </w:tc>
        <w:tc>
          <w:tcPr>
            <w:tcW w:w="1260" w:type="dxa"/>
            <w:noWrap/>
            <w:hideMark/>
          </w:tcPr>
          <w:p w14:paraId="7354F7EA"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2014-10-17</w:t>
            </w:r>
          </w:p>
        </w:tc>
      </w:tr>
      <w:tr w:rsidR="00DB7B72" w:rsidRPr="00C0412C" w14:paraId="54B30881" w14:textId="77777777" w:rsidTr="002D4E99">
        <w:trPr>
          <w:trHeight w:val="290"/>
        </w:trPr>
        <w:tc>
          <w:tcPr>
            <w:tcW w:w="2785" w:type="dxa"/>
            <w:noWrap/>
            <w:hideMark/>
          </w:tcPr>
          <w:p w14:paraId="2F80E106"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Egipto: Prórroga del derecho antidumping definitivo sobre las importaciones de determinadas barras de barras de refuerzo de acero aleado o sin alear procedentes de China, Ucrania y Turquía</w:t>
            </w:r>
          </w:p>
        </w:tc>
        <w:tc>
          <w:tcPr>
            <w:tcW w:w="1488" w:type="dxa"/>
            <w:noWrap/>
            <w:hideMark/>
          </w:tcPr>
          <w:p w14:paraId="7E4567A9"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Egipto</w:t>
            </w:r>
          </w:p>
        </w:tc>
        <w:tc>
          <w:tcPr>
            <w:tcW w:w="1980" w:type="dxa"/>
            <w:noWrap/>
            <w:hideMark/>
          </w:tcPr>
          <w:p w14:paraId="47A6BF59"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721310, 721320, 721391, 721399, 721410, 721420, 721430, 721491, 721499</w:t>
            </w:r>
          </w:p>
        </w:tc>
        <w:tc>
          <w:tcPr>
            <w:tcW w:w="1195" w:type="dxa"/>
            <w:noWrap/>
            <w:hideMark/>
          </w:tcPr>
          <w:p w14:paraId="63078409"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China, Turquía, Ucrania</w:t>
            </w:r>
          </w:p>
        </w:tc>
        <w:tc>
          <w:tcPr>
            <w:tcW w:w="1260" w:type="dxa"/>
            <w:noWrap/>
            <w:hideMark/>
          </w:tcPr>
          <w:p w14:paraId="32612AC8"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2016-12-22</w:t>
            </w:r>
          </w:p>
        </w:tc>
      </w:tr>
      <w:tr w:rsidR="00DB7B72" w:rsidRPr="00C0412C" w14:paraId="62467023" w14:textId="77777777" w:rsidTr="002D4E99">
        <w:trPr>
          <w:trHeight w:val="290"/>
        </w:trPr>
        <w:tc>
          <w:tcPr>
            <w:tcW w:w="2785" w:type="dxa"/>
            <w:noWrap/>
            <w:hideMark/>
          </w:tcPr>
          <w:p w14:paraId="735A327F"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Malasia: Derecho antidumping definitivo sobre las importaciones de productos de barras de acero para hormigón armado procedentes de Singapur y Turquía</w:t>
            </w:r>
          </w:p>
        </w:tc>
        <w:tc>
          <w:tcPr>
            <w:tcW w:w="1488" w:type="dxa"/>
            <w:noWrap/>
            <w:hideMark/>
          </w:tcPr>
          <w:p w14:paraId="66503915"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Malasia</w:t>
            </w:r>
          </w:p>
        </w:tc>
        <w:tc>
          <w:tcPr>
            <w:tcW w:w="1980" w:type="dxa"/>
            <w:noWrap/>
            <w:hideMark/>
          </w:tcPr>
          <w:p w14:paraId="2EAAB9B7"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721410, 721420, 721430, 721499, 722810, 722820, 722830, 722840, 722850, 722860, 722880</w:t>
            </w:r>
          </w:p>
        </w:tc>
        <w:tc>
          <w:tcPr>
            <w:tcW w:w="1195" w:type="dxa"/>
            <w:noWrap/>
            <w:hideMark/>
          </w:tcPr>
          <w:p w14:paraId="66A36836"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Singapur, Turquía</w:t>
            </w:r>
          </w:p>
        </w:tc>
        <w:tc>
          <w:tcPr>
            <w:tcW w:w="1260" w:type="dxa"/>
            <w:noWrap/>
            <w:hideMark/>
          </w:tcPr>
          <w:p w14:paraId="25E1CB71"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2019-04-26</w:t>
            </w:r>
          </w:p>
        </w:tc>
      </w:tr>
      <w:tr w:rsidR="00DB7B72" w:rsidRPr="00C0412C" w14:paraId="73E75C49" w14:textId="77777777" w:rsidTr="002D4E99">
        <w:trPr>
          <w:trHeight w:val="290"/>
        </w:trPr>
        <w:tc>
          <w:tcPr>
            <w:tcW w:w="2785" w:type="dxa"/>
            <w:noWrap/>
            <w:hideMark/>
          </w:tcPr>
          <w:p w14:paraId="4348D07F"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 xml:space="preserve">Estados Unidos de América: Prórroga de los derechos antidumping definitivos sobre las importaciones de barras de acero para hormigón armado </w:t>
            </w:r>
            <w:r w:rsidRPr="00C0412C">
              <w:rPr>
                <w:rFonts w:ascii="Calibri" w:hAnsi="Calibri" w:cs="Calibri"/>
                <w:sz w:val="20"/>
                <w:szCs w:val="20"/>
                <w:lang w:val="es-DO"/>
              </w:rPr>
              <w:lastRenderedPageBreak/>
              <w:t xml:space="preserve">procedentes del Japón, el </w:t>
            </w:r>
            <w:proofErr w:type="spellStart"/>
            <w:r w:rsidRPr="00C0412C">
              <w:rPr>
                <w:rFonts w:ascii="Calibri" w:hAnsi="Calibri" w:cs="Calibri"/>
                <w:sz w:val="20"/>
                <w:szCs w:val="20"/>
                <w:lang w:val="es-DO"/>
              </w:rPr>
              <w:t>Taipei</w:t>
            </w:r>
            <w:proofErr w:type="spellEnd"/>
            <w:r w:rsidRPr="00C0412C">
              <w:rPr>
                <w:rFonts w:ascii="Calibri" w:hAnsi="Calibri" w:cs="Calibri"/>
                <w:sz w:val="20"/>
                <w:szCs w:val="20"/>
                <w:lang w:val="es-DO"/>
              </w:rPr>
              <w:t xml:space="preserve"> </w:t>
            </w:r>
            <w:proofErr w:type="gramStart"/>
            <w:r w:rsidRPr="00C0412C">
              <w:rPr>
                <w:rFonts w:ascii="Calibri" w:hAnsi="Calibri" w:cs="Calibri"/>
                <w:sz w:val="20"/>
                <w:szCs w:val="20"/>
                <w:lang w:val="es-DO"/>
              </w:rPr>
              <w:t>Chino</w:t>
            </w:r>
            <w:proofErr w:type="gramEnd"/>
            <w:r w:rsidRPr="00C0412C">
              <w:rPr>
                <w:rFonts w:ascii="Calibri" w:hAnsi="Calibri" w:cs="Calibri"/>
                <w:sz w:val="20"/>
                <w:szCs w:val="20"/>
                <w:lang w:val="es-DO"/>
              </w:rPr>
              <w:t xml:space="preserve"> y Turquía</w:t>
            </w:r>
          </w:p>
        </w:tc>
        <w:tc>
          <w:tcPr>
            <w:tcW w:w="1488" w:type="dxa"/>
            <w:noWrap/>
            <w:hideMark/>
          </w:tcPr>
          <w:p w14:paraId="5B73738C"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lastRenderedPageBreak/>
              <w:t>Estados Unidos de América</w:t>
            </w:r>
          </w:p>
        </w:tc>
        <w:tc>
          <w:tcPr>
            <w:tcW w:w="1980" w:type="dxa"/>
            <w:noWrap/>
            <w:hideMark/>
          </w:tcPr>
          <w:p w14:paraId="7724B2C6"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 xml:space="preserve">721310, 721420, 721590, 722100, 722211, 722230, 722720, 722790, </w:t>
            </w:r>
            <w:r w:rsidRPr="00C0412C">
              <w:rPr>
                <w:rFonts w:ascii="Calibri" w:hAnsi="Calibri" w:cs="Calibri"/>
                <w:sz w:val="20"/>
                <w:szCs w:val="20"/>
                <w:lang w:val="es-DO"/>
              </w:rPr>
              <w:lastRenderedPageBreak/>
              <w:t>722820, 722830, 722860</w:t>
            </w:r>
          </w:p>
        </w:tc>
        <w:tc>
          <w:tcPr>
            <w:tcW w:w="1195" w:type="dxa"/>
            <w:noWrap/>
            <w:hideMark/>
          </w:tcPr>
          <w:p w14:paraId="55EB4BDE"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lastRenderedPageBreak/>
              <w:t>China Taipéi, Japón, Turquía</w:t>
            </w:r>
          </w:p>
        </w:tc>
        <w:tc>
          <w:tcPr>
            <w:tcW w:w="1260" w:type="dxa"/>
            <w:noWrap/>
            <w:hideMark/>
          </w:tcPr>
          <w:p w14:paraId="3ECA59E4" w14:textId="77777777" w:rsidR="00DB7B72" w:rsidRPr="00C0412C" w:rsidRDefault="00DB7B72" w:rsidP="002400A4">
            <w:pPr>
              <w:rPr>
                <w:rFonts w:ascii="Calibri" w:hAnsi="Calibri" w:cs="Calibri"/>
                <w:sz w:val="20"/>
                <w:szCs w:val="20"/>
                <w:lang w:val="es-DO"/>
              </w:rPr>
            </w:pPr>
            <w:r w:rsidRPr="00C0412C">
              <w:rPr>
                <w:rFonts w:ascii="Calibri" w:hAnsi="Calibri" w:cs="Calibri"/>
                <w:sz w:val="20"/>
                <w:szCs w:val="20"/>
                <w:lang w:val="es-DO"/>
              </w:rPr>
              <w:t>2016-10-18</w:t>
            </w:r>
          </w:p>
        </w:tc>
      </w:tr>
    </w:tbl>
    <w:p w14:paraId="0DCC6245" w14:textId="77777777" w:rsidR="00DB7B72" w:rsidRPr="00C0412C" w:rsidRDefault="00DB7B72" w:rsidP="00DB7B72">
      <w:pPr>
        <w:rPr>
          <w:rFonts w:ascii="Calibri" w:hAnsi="Calibri" w:cs="Calibri"/>
          <w:sz w:val="22"/>
          <w:szCs w:val="22"/>
        </w:rPr>
      </w:pPr>
    </w:p>
    <w:p w14:paraId="2A257C8E" w14:textId="62F6A17F" w:rsidR="002D4E99" w:rsidRPr="00C0412C" w:rsidRDefault="002D4E99" w:rsidP="002D4E99">
      <w:pPr>
        <w:pStyle w:val="ListParagraph"/>
        <w:numPr>
          <w:ilvl w:val="0"/>
          <w:numId w:val="4"/>
        </w:numPr>
        <w:jc w:val="both"/>
        <w:rPr>
          <w:rFonts w:ascii="Calibri" w:hAnsi="Calibri" w:cs="Calibri"/>
          <w:sz w:val="22"/>
          <w:szCs w:val="22"/>
        </w:rPr>
      </w:pPr>
      <w:r w:rsidRPr="00C0412C">
        <w:rPr>
          <w:rFonts w:ascii="Calibri" w:hAnsi="Calibri" w:cs="Calibri"/>
          <w:b/>
          <w:bCs/>
          <w:sz w:val="22"/>
          <w:szCs w:val="22"/>
        </w:rPr>
        <w:t xml:space="preserve">Sobre capacidad Ociosa de los productores turcos, aumenta las presiones para exportar a precios de dumping:  </w:t>
      </w:r>
    </w:p>
    <w:p w14:paraId="0F0D0B8E" w14:textId="77777777" w:rsidR="002D4E99" w:rsidRPr="00C0412C" w:rsidRDefault="002D4E99" w:rsidP="00DB7B72">
      <w:pPr>
        <w:rPr>
          <w:rFonts w:ascii="Calibri" w:hAnsi="Calibri" w:cs="Calibri"/>
          <w:sz w:val="22"/>
          <w:szCs w:val="22"/>
        </w:rPr>
      </w:pPr>
    </w:p>
    <w:p w14:paraId="3D529752" w14:textId="77777777" w:rsidR="002D4E99" w:rsidRPr="00C0412C" w:rsidRDefault="00DB7B72" w:rsidP="002D4E99">
      <w:pPr>
        <w:ind w:left="708"/>
        <w:rPr>
          <w:rFonts w:ascii="Calibri" w:hAnsi="Calibri" w:cs="Calibri"/>
          <w:sz w:val="22"/>
          <w:szCs w:val="22"/>
        </w:rPr>
      </w:pPr>
      <w:r w:rsidRPr="00C0412C">
        <w:rPr>
          <w:rFonts w:ascii="Calibri" w:hAnsi="Calibri" w:cs="Calibri"/>
          <w:sz w:val="22"/>
          <w:szCs w:val="22"/>
        </w:rPr>
        <w:t xml:space="preserve">De acuerdo con los datos de </w:t>
      </w:r>
      <w:proofErr w:type="spellStart"/>
      <w:r w:rsidRPr="00C0412C">
        <w:rPr>
          <w:rFonts w:ascii="Calibri" w:hAnsi="Calibri" w:cs="Calibri"/>
          <w:i/>
          <w:iCs/>
          <w:sz w:val="22"/>
          <w:szCs w:val="22"/>
        </w:rPr>
        <w:t>WorldSteel</w:t>
      </w:r>
      <w:proofErr w:type="spellEnd"/>
      <w:r w:rsidRPr="00C0412C">
        <w:rPr>
          <w:rFonts w:ascii="Calibri" w:hAnsi="Calibri" w:cs="Calibri"/>
          <w:i/>
          <w:iCs/>
          <w:sz w:val="22"/>
          <w:szCs w:val="22"/>
        </w:rPr>
        <w:t xml:space="preserve"> </w:t>
      </w:r>
      <w:proofErr w:type="spellStart"/>
      <w:r w:rsidRPr="00C0412C">
        <w:rPr>
          <w:rFonts w:ascii="Calibri" w:hAnsi="Calibri" w:cs="Calibri"/>
          <w:i/>
          <w:iCs/>
          <w:sz w:val="22"/>
          <w:szCs w:val="22"/>
        </w:rPr>
        <w:t>Association</w:t>
      </w:r>
      <w:proofErr w:type="spellEnd"/>
      <w:r w:rsidRPr="00C0412C">
        <w:rPr>
          <w:rFonts w:ascii="Calibri" w:hAnsi="Calibri" w:cs="Calibri"/>
          <w:sz w:val="22"/>
          <w:szCs w:val="22"/>
        </w:rPr>
        <w:t xml:space="preserve">, Turquía representa el </w:t>
      </w:r>
      <w:r w:rsidRPr="00C0412C">
        <w:rPr>
          <w:rFonts w:ascii="Calibri" w:hAnsi="Calibri" w:cs="Calibri"/>
          <w:b/>
          <w:bCs/>
          <w:sz w:val="22"/>
          <w:szCs w:val="22"/>
        </w:rPr>
        <w:t>octavo productor</w:t>
      </w:r>
      <w:r w:rsidRPr="00C0412C">
        <w:rPr>
          <w:rFonts w:ascii="Calibri" w:hAnsi="Calibri" w:cs="Calibri"/>
          <w:sz w:val="22"/>
          <w:szCs w:val="22"/>
        </w:rPr>
        <w:t xml:space="preserve"> mundial de acero, con </w:t>
      </w:r>
      <w:r w:rsidRPr="00C0412C">
        <w:rPr>
          <w:rFonts w:ascii="Calibri" w:hAnsi="Calibri" w:cs="Calibri"/>
          <w:b/>
          <w:bCs/>
          <w:sz w:val="22"/>
          <w:szCs w:val="22"/>
        </w:rPr>
        <w:t>36.9 millones de toneladas producidas en el 2024</w:t>
      </w:r>
      <w:r w:rsidRPr="00C0412C">
        <w:rPr>
          <w:rFonts w:ascii="Calibri" w:hAnsi="Calibri" w:cs="Calibri"/>
          <w:sz w:val="22"/>
          <w:szCs w:val="22"/>
        </w:rPr>
        <w:t xml:space="preserve">, en comparación con 33.7 millones de toneladas en el 2023.  Turquía es además un importante exportador de acero, ocupando </w:t>
      </w:r>
      <w:r w:rsidRPr="00C0412C">
        <w:rPr>
          <w:rFonts w:ascii="Calibri" w:hAnsi="Calibri" w:cs="Calibri"/>
          <w:b/>
          <w:bCs/>
          <w:sz w:val="22"/>
          <w:szCs w:val="22"/>
        </w:rPr>
        <w:t>la sexta posición mundial con 17 millones de toneladas de productos exportados</w:t>
      </w:r>
      <w:r w:rsidRPr="00C0412C">
        <w:rPr>
          <w:rFonts w:ascii="Calibri" w:hAnsi="Calibri" w:cs="Calibri"/>
          <w:sz w:val="22"/>
          <w:szCs w:val="22"/>
        </w:rPr>
        <w:t xml:space="preserve">.   De igual manera es un importante importador de acero ocupando la tercera posición mundial, con 19.7 millones de toneladas en el 2024. </w:t>
      </w:r>
    </w:p>
    <w:p w14:paraId="60FCC1BE" w14:textId="77777777" w:rsidR="002D4E99" w:rsidRPr="00C0412C" w:rsidRDefault="00DB7B72" w:rsidP="002D4E99">
      <w:pPr>
        <w:ind w:left="708"/>
        <w:rPr>
          <w:rFonts w:ascii="Calibri" w:hAnsi="Calibri" w:cs="Calibri"/>
          <w:sz w:val="22"/>
          <w:szCs w:val="22"/>
        </w:rPr>
      </w:pPr>
      <w:r w:rsidRPr="00C0412C">
        <w:rPr>
          <w:rFonts w:ascii="Calibri" w:hAnsi="Calibri" w:cs="Calibri"/>
          <w:sz w:val="22"/>
          <w:szCs w:val="22"/>
        </w:rPr>
        <w:t xml:space="preserve">Turquía cuenta con una industria de acero importante, con una alta capacidad instalada, con alto niveles de integración vertical, son importantes importadores de chatarra así también de productos semielaborados para su transformación industrial para suplir el mercado doméstico y el mercado de exportaciones.   </w:t>
      </w:r>
    </w:p>
    <w:p w14:paraId="5B8F5FFB" w14:textId="77777777" w:rsidR="002D4E99" w:rsidRPr="00C0412C" w:rsidRDefault="002D4E99" w:rsidP="002D4E99">
      <w:pPr>
        <w:ind w:left="708"/>
        <w:rPr>
          <w:rFonts w:ascii="Calibri" w:hAnsi="Calibri" w:cs="Calibri"/>
          <w:sz w:val="22"/>
          <w:szCs w:val="22"/>
        </w:rPr>
      </w:pPr>
    </w:p>
    <w:p w14:paraId="665CD373" w14:textId="77777777" w:rsidR="002D4E99" w:rsidRPr="00C0412C" w:rsidRDefault="00DB7B72" w:rsidP="002D4E99">
      <w:pPr>
        <w:ind w:left="708"/>
        <w:rPr>
          <w:rFonts w:ascii="Calibri" w:hAnsi="Calibri" w:cs="Calibri"/>
          <w:sz w:val="22"/>
          <w:szCs w:val="22"/>
        </w:rPr>
      </w:pPr>
      <w:r w:rsidRPr="00C0412C">
        <w:rPr>
          <w:rFonts w:ascii="Calibri" w:hAnsi="Calibri" w:cs="Calibri"/>
          <w:sz w:val="22"/>
          <w:szCs w:val="22"/>
        </w:rPr>
        <w:t xml:space="preserve">De acuerdo con las cifras publicadas por la Asociación Turca de Exportadores, en el 2023 Turquía exporto </w:t>
      </w:r>
      <w:r w:rsidRPr="00C0412C">
        <w:rPr>
          <w:rFonts w:ascii="Calibri" w:hAnsi="Calibri" w:cs="Calibri"/>
          <w:b/>
          <w:bCs/>
          <w:sz w:val="22"/>
          <w:szCs w:val="22"/>
        </w:rPr>
        <w:t>14.5 millones de toneladas</w:t>
      </w:r>
      <w:r w:rsidRPr="00C0412C">
        <w:rPr>
          <w:rFonts w:ascii="Calibri" w:hAnsi="Calibri" w:cs="Calibri"/>
          <w:sz w:val="22"/>
          <w:szCs w:val="22"/>
        </w:rPr>
        <w:t xml:space="preserve">, de las cuales </w:t>
      </w:r>
      <w:r w:rsidRPr="00C0412C">
        <w:rPr>
          <w:rFonts w:ascii="Calibri" w:hAnsi="Calibri" w:cs="Calibri"/>
          <w:b/>
          <w:bCs/>
          <w:sz w:val="22"/>
          <w:szCs w:val="22"/>
        </w:rPr>
        <w:t>6.7 millones correspondieron a productos largos</w:t>
      </w:r>
      <w:r w:rsidRPr="00C0412C">
        <w:rPr>
          <w:rFonts w:ascii="Calibri" w:hAnsi="Calibri" w:cs="Calibri"/>
          <w:sz w:val="22"/>
          <w:szCs w:val="22"/>
        </w:rPr>
        <w:t xml:space="preserve">, y de estos el </w:t>
      </w:r>
      <w:r w:rsidRPr="00C0412C">
        <w:rPr>
          <w:rFonts w:ascii="Calibri" w:hAnsi="Calibri" w:cs="Calibri"/>
          <w:b/>
          <w:bCs/>
          <w:sz w:val="22"/>
          <w:szCs w:val="22"/>
        </w:rPr>
        <w:t>50% recayeron en varillas</w:t>
      </w:r>
      <w:r w:rsidRPr="00C0412C">
        <w:rPr>
          <w:rFonts w:ascii="Calibri" w:hAnsi="Calibri" w:cs="Calibri"/>
          <w:sz w:val="22"/>
          <w:szCs w:val="22"/>
        </w:rPr>
        <w:t xml:space="preserve">.  Estas cifras reflejan la fortaleza diversificada de la industria turca, y su enfoque en la producción de varillas, con una alta dependencia en las exportaciones.  </w:t>
      </w:r>
    </w:p>
    <w:p w14:paraId="419C16C4" w14:textId="77777777" w:rsidR="002D4E99" w:rsidRPr="00C0412C" w:rsidRDefault="002D4E99" w:rsidP="002D4E99">
      <w:pPr>
        <w:ind w:left="708"/>
        <w:rPr>
          <w:rFonts w:ascii="Calibri" w:hAnsi="Calibri" w:cs="Calibri"/>
          <w:sz w:val="22"/>
          <w:szCs w:val="22"/>
        </w:rPr>
      </w:pPr>
    </w:p>
    <w:p w14:paraId="1ADDF2A0" w14:textId="77777777" w:rsidR="002D4E99" w:rsidRPr="00C0412C" w:rsidRDefault="00DB7B72" w:rsidP="002D4E99">
      <w:pPr>
        <w:ind w:left="708"/>
        <w:rPr>
          <w:rFonts w:ascii="Calibri" w:hAnsi="Calibri" w:cs="Calibri"/>
          <w:sz w:val="22"/>
          <w:szCs w:val="22"/>
        </w:rPr>
      </w:pPr>
      <w:r w:rsidRPr="00C0412C">
        <w:rPr>
          <w:rFonts w:ascii="Calibri" w:hAnsi="Calibri" w:cs="Calibri"/>
          <w:sz w:val="22"/>
          <w:szCs w:val="22"/>
        </w:rPr>
        <w:t xml:space="preserve">Sin embargo, los mercados tradicionales de exportación de varillas de Turquía han tomado una serie de acciones internas, incluyendo medidas de defensa comercial, que han afectado su comportamiento, desplazando las exportaciones turcas, provocando que deba ser más agresivo en reenfocar sus exportaciones hacia otros destinos, donde la región de Centroamérica y el caribe es un área de importancia. Esta zona geográfica se caracteriza por una alta demanda importadora de varillas, donde existen únicamente dos productores en la región con capacidad de producir tanto para la demanda interna de sus respectivos países como la demanda de países vecinos (exportación), estos dos países son la Republica Dominicana y Costa Rica.  </w:t>
      </w:r>
      <w:bookmarkStart w:id="3" w:name="_Hlk207641747"/>
    </w:p>
    <w:p w14:paraId="6CDDABEC" w14:textId="77777777" w:rsidR="002D4E99" w:rsidRPr="00C0412C" w:rsidRDefault="002D4E99" w:rsidP="002D4E99">
      <w:pPr>
        <w:ind w:left="708"/>
        <w:rPr>
          <w:rFonts w:ascii="Calibri" w:hAnsi="Calibri" w:cs="Calibri"/>
          <w:sz w:val="22"/>
          <w:szCs w:val="22"/>
        </w:rPr>
      </w:pPr>
    </w:p>
    <w:p w14:paraId="6F8E73FC" w14:textId="4FB1A397" w:rsidR="00DB7B72" w:rsidRPr="00C0412C" w:rsidRDefault="00DB7B72" w:rsidP="002D4E99">
      <w:pPr>
        <w:ind w:left="708"/>
        <w:rPr>
          <w:rFonts w:ascii="Calibri" w:hAnsi="Calibri" w:cs="Calibri"/>
          <w:sz w:val="22"/>
          <w:szCs w:val="22"/>
        </w:rPr>
      </w:pPr>
      <w:r w:rsidRPr="00C0412C">
        <w:rPr>
          <w:rFonts w:ascii="Calibri" w:hAnsi="Calibri" w:cs="Calibri"/>
          <w:sz w:val="22"/>
          <w:szCs w:val="22"/>
        </w:rPr>
        <w:t xml:space="preserve">Las medidas de defensa comercial interpuesta por el mundo están afectando las exportaciones turcas de varillas. La industria de acero turca cuenta con una alta capacidad ociosa, lo que pode mayor presión para colocar los productos en los mercados internacionales.  De acuerdo con un informe reciente de la OCDE (junio 2024), la industria de acero turca cuenta con una capacidad instalada de </w:t>
      </w:r>
      <w:r w:rsidRPr="00C0412C">
        <w:rPr>
          <w:rFonts w:ascii="Calibri" w:hAnsi="Calibri" w:cs="Calibri"/>
          <w:b/>
          <w:bCs/>
          <w:sz w:val="22"/>
          <w:szCs w:val="22"/>
        </w:rPr>
        <w:t>57.4 millones de toneladas</w:t>
      </w:r>
      <w:r w:rsidRPr="00C0412C">
        <w:rPr>
          <w:rFonts w:ascii="Calibri" w:hAnsi="Calibri" w:cs="Calibri"/>
          <w:sz w:val="22"/>
          <w:szCs w:val="22"/>
        </w:rPr>
        <w:t xml:space="preserve"> al año (2023).  Sin embargo, según el </w:t>
      </w:r>
      <w:proofErr w:type="spellStart"/>
      <w:r w:rsidRPr="00C0412C">
        <w:rPr>
          <w:rFonts w:ascii="Calibri" w:hAnsi="Calibri" w:cs="Calibri"/>
          <w:i/>
          <w:iCs/>
          <w:sz w:val="22"/>
          <w:szCs w:val="22"/>
        </w:rPr>
        <w:t>wordsteel</w:t>
      </w:r>
      <w:proofErr w:type="spellEnd"/>
      <w:r w:rsidRPr="00C0412C">
        <w:rPr>
          <w:rFonts w:ascii="Calibri" w:hAnsi="Calibri" w:cs="Calibri"/>
          <w:i/>
          <w:iCs/>
          <w:sz w:val="22"/>
          <w:szCs w:val="22"/>
        </w:rPr>
        <w:t xml:space="preserve"> </w:t>
      </w:r>
      <w:proofErr w:type="spellStart"/>
      <w:r w:rsidRPr="00C0412C">
        <w:rPr>
          <w:rFonts w:ascii="Calibri" w:hAnsi="Calibri" w:cs="Calibri"/>
          <w:i/>
          <w:iCs/>
          <w:sz w:val="22"/>
          <w:szCs w:val="22"/>
        </w:rPr>
        <w:t>association</w:t>
      </w:r>
      <w:proofErr w:type="spellEnd"/>
      <w:r w:rsidRPr="00C0412C">
        <w:rPr>
          <w:rFonts w:ascii="Calibri" w:hAnsi="Calibri" w:cs="Calibri"/>
          <w:sz w:val="22"/>
          <w:szCs w:val="22"/>
        </w:rPr>
        <w:t xml:space="preserve">, indica que en dicho anno producción turca fue de 33.7 millones de TM, arrojando un 56% de utilización, lo que resulta en una capacidad ociosa del </w:t>
      </w:r>
      <w:r w:rsidRPr="00C0412C">
        <w:rPr>
          <w:rFonts w:ascii="Calibri" w:hAnsi="Calibri" w:cs="Calibri"/>
          <w:b/>
          <w:bCs/>
          <w:sz w:val="22"/>
          <w:szCs w:val="22"/>
        </w:rPr>
        <w:t xml:space="preserve">44%. </w:t>
      </w:r>
    </w:p>
    <w:p w14:paraId="470474A6" w14:textId="0F19754C" w:rsidR="00DB7B72" w:rsidRPr="00C0412C" w:rsidRDefault="00DB7B72" w:rsidP="00DB7B72">
      <w:pPr>
        <w:rPr>
          <w:rFonts w:ascii="Calibri" w:hAnsi="Calibri" w:cs="Calibri"/>
          <w:sz w:val="22"/>
          <w:szCs w:val="22"/>
        </w:rPr>
      </w:pPr>
    </w:p>
    <w:p w14:paraId="18B9EDFA" w14:textId="1C438D46" w:rsidR="002D4E99" w:rsidRPr="00C0412C" w:rsidRDefault="002D4E99" w:rsidP="002D4E99">
      <w:pPr>
        <w:pStyle w:val="ListParagraph"/>
        <w:numPr>
          <w:ilvl w:val="0"/>
          <w:numId w:val="4"/>
        </w:numPr>
        <w:jc w:val="both"/>
        <w:rPr>
          <w:rFonts w:ascii="Calibri" w:hAnsi="Calibri" w:cs="Calibri"/>
          <w:sz w:val="22"/>
          <w:szCs w:val="22"/>
        </w:rPr>
      </w:pPr>
      <w:r w:rsidRPr="00C0412C">
        <w:rPr>
          <w:rFonts w:ascii="Calibri" w:hAnsi="Calibri" w:cs="Calibri"/>
          <w:b/>
          <w:bCs/>
          <w:sz w:val="22"/>
          <w:szCs w:val="22"/>
        </w:rPr>
        <w:t xml:space="preserve">Reducciones de las exportaciones de varillas turcas a </w:t>
      </w:r>
      <w:r w:rsidR="00C0412C" w:rsidRPr="00C0412C">
        <w:rPr>
          <w:rFonts w:ascii="Calibri" w:hAnsi="Calibri" w:cs="Calibri"/>
          <w:b/>
          <w:bCs/>
          <w:sz w:val="22"/>
          <w:szCs w:val="22"/>
        </w:rPr>
        <w:t>varios destinos importantes, presionan a encontrar mercados alternos de sus productos</w:t>
      </w:r>
      <w:r w:rsidRPr="00C0412C">
        <w:rPr>
          <w:rFonts w:ascii="Calibri" w:hAnsi="Calibri" w:cs="Calibri"/>
          <w:b/>
          <w:bCs/>
          <w:sz w:val="22"/>
          <w:szCs w:val="22"/>
        </w:rPr>
        <w:t xml:space="preserve">:  </w:t>
      </w:r>
    </w:p>
    <w:p w14:paraId="10FBD6A7" w14:textId="5EB5A220" w:rsidR="00DB7B72" w:rsidRPr="00C0412C" w:rsidRDefault="00DB7B72" w:rsidP="00DB7B72">
      <w:pPr>
        <w:rPr>
          <w:rFonts w:ascii="Calibri" w:hAnsi="Calibri" w:cs="Calibri"/>
          <w:sz w:val="22"/>
          <w:szCs w:val="22"/>
        </w:rPr>
      </w:pPr>
    </w:p>
    <w:p w14:paraId="328B33F7" w14:textId="77777777" w:rsidR="00C0412C" w:rsidRPr="00C0412C" w:rsidRDefault="00DB7B72" w:rsidP="00C0412C">
      <w:pPr>
        <w:ind w:left="708"/>
        <w:rPr>
          <w:rFonts w:ascii="Calibri" w:hAnsi="Calibri" w:cs="Calibri"/>
          <w:sz w:val="22"/>
          <w:szCs w:val="22"/>
        </w:rPr>
      </w:pPr>
      <w:bookmarkStart w:id="4" w:name="_Hlk207641896"/>
      <w:bookmarkEnd w:id="3"/>
      <w:r w:rsidRPr="00C0412C">
        <w:rPr>
          <w:rFonts w:ascii="Calibri" w:hAnsi="Calibri" w:cs="Calibri"/>
          <w:sz w:val="22"/>
          <w:szCs w:val="22"/>
        </w:rPr>
        <w:t xml:space="preserve">En el periodo del 2021 al 2024, Turquía representó el 21% de todas las exportaciones de varillas mundiales, lo que refleja su alta capacidad de generar daño a la RPN a la Republica Dominicana.  Ha ocupado de forma consistente el posicionamiento como el principal exportador de varillas del mundo, sin embargo, a raíz de los cambios que ha tenido el mercado mundial del acero, y las reacciones de los países productores, incluyendo medidas de defensa comercial y de seguridad </w:t>
      </w:r>
      <w:r w:rsidRPr="00C0412C">
        <w:rPr>
          <w:rFonts w:ascii="Calibri" w:hAnsi="Calibri" w:cs="Calibri"/>
          <w:sz w:val="22"/>
          <w:szCs w:val="22"/>
        </w:rPr>
        <w:lastRenderedPageBreak/>
        <w:t xml:space="preserve">nacional, Turquía ha visto reducir sus exportaciones y ha sufrido un cambio importante al destino de estas.   Mientras en el 2021 logro exportar 7.1 millones de Tm para el 2024 dicha cifra se había reducido a 3.4 millones de TM.  Esto corresponde a una contracción 3.7 millones de TM entre el 2021 y el 2022, lo que refleja una importante capacidad ociosa para fines de exportar. </w:t>
      </w:r>
      <w:bookmarkEnd w:id="4"/>
    </w:p>
    <w:p w14:paraId="651C99E8" w14:textId="77777777" w:rsidR="00C0412C" w:rsidRPr="00C0412C" w:rsidRDefault="00DB7B72" w:rsidP="00C0412C">
      <w:pPr>
        <w:ind w:left="708"/>
        <w:rPr>
          <w:rFonts w:ascii="Calibri" w:hAnsi="Calibri" w:cs="Calibri"/>
          <w:sz w:val="22"/>
          <w:szCs w:val="22"/>
        </w:rPr>
      </w:pPr>
      <w:r w:rsidRPr="00C0412C">
        <w:rPr>
          <w:rFonts w:ascii="Calibri" w:hAnsi="Calibri" w:cs="Calibri"/>
          <w:sz w:val="22"/>
          <w:szCs w:val="22"/>
        </w:rPr>
        <w:t xml:space="preserve">Es importante destacar que países como Yemen y Albania representan los dos principales mercados de exportación de Turquía en estos últimos cinco años, cuando previo a este periodo el principal mercado de exportación era Estados Unidos. </w:t>
      </w:r>
    </w:p>
    <w:p w14:paraId="36434687" w14:textId="77777777" w:rsidR="00C0412C" w:rsidRPr="00C0412C" w:rsidRDefault="00C0412C" w:rsidP="00C0412C">
      <w:pPr>
        <w:ind w:left="708"/>
        <w:rPr>
          <w:rFonts w:ascii="Calibri" w:hAnsi="Calibri" w:cs="Calibri"/>
          <w:sz w:val="22"/>
          <w:szCs w:val="22"/>
        </w:rPr>
      </w:pPr>
    </w:p>
    <w:p w14:paraId="0249124F" w14:textId="77777777" w:rsidR="00C0412C" w:rsidRPr="00C0412C" w:rsidRDefault="00DB7B72" w:rsidP="00C0412C">
      <w:pPr>
        <w:ind w:left="708"/>
        <w:rPr>
          <w:rFonts w:ascii="Calibri" w:hAnsi="Calibri" w:cs="Calibri"/>
          <w:sz w:val="22"/>
          <w:szCs w:val="22"/>
        </w:rPr>
      </w:pPr>
      <w:bookmarkStart w:id="5" w:name="_Hlk207641982"/>
      <w:r w:rsidRPr="00C0412C">
        <w:rPr>
          <w:rFonts w:ascii="Calibri" w:hAnsi="Calibri" w:cs="Calibri"/>
          <w:sz w:val="22"/>
          <w:szCs w:val="22"/>
        </w:rPr>
        <w:t xml:space="preserve">A manera de ejemplo previo a las medidas de defensa comercial tomadas por la Administración Trump en el 2018, Turquía exportó a los Estados Unidos </w:t>
      </w:r>
      <w:r w:rsidRPr="00C0412C">
        <w:rPr>
          <w:rFonts w:ascii="Calibri" w:eastAsia="Times New Roman" w:hAnsi="Calibri" w:cs="Calibri"/>
          <w:color w:val="000000"/>
          <w:sz w:val="22"/>
          <w:szCs w:val="22"/>
        </w:rPr>
        <w:t xml:space="preserve">   </w:t>
      </w:r>
      <w:r w:rsidRPr="00C0412C">
        <w:rPr>
          <w:rFonts w:ascii="Calibri" w:eastAsia="Times New Roman" w:hAnsi="Calibri" w:cs="Calibri"/>
          <w:b/>
          <w:bCs/>
          <w:color w:val="000000"/>
          <w:sz w:val="22"/>
          <w:szCs w:val="22"/>
        </w:rPr>
        <w:t>1,364,852 TM en el 2016</w:t>
      </w:r>
      <w:r w:rsidRPr="00C0412C">
        <w:rPr>
          <w:rFonts w:ascii="Calibri" w:eastAsia="Times New Roman" w:hAnsi="Calibri" w:cs="Calibri"/>
          <w:color w:val="000000"/>
          <w:sz w:val="22"/>
          <w:szCs w:val="22"/>
        </w:rPr>
        <w:t xml:space="preserve">, cifra que se ha visto reducir a apenas </w:t>
      </w:r>
      <w:r w:rsidRPr="00C0412C">
        <w:rPr>
          <w:rFonts w:ascii="Calibri" w:eastAsia="Times New Roman" w:hAnsi="Calibri" w:cs="Calibri"/>
          <w:b/>
          <w:bCs/>
          <w:color w:val="000000"/>
          <w:sz w:val="22"/>
          <w:szCs w:val="22"/>
        </w:rPr>
        <w:t>103 mil TM en el 2024,</w:t>
      </w:r>
      <w:r w:rsidRPr="00C0412C">
        <w:rPr>
          <w:rFonts w:ascii="Calibri" w:eastAsia="Times New Roman" w:hAnsi="Calibri" w:cs="Calibri"/>
          <w:color w:val="000000"/>
          <w:sz w:val="22"/>
          <w:szCs w:val="22"/>
        </w:rPr>
        <w:t xml:space="preserve"> es decir menos del 10% de lo que históricamente llegó a exportar.  El Canadá ha tomado también acciones contra las varillas, lo que ha reducido sus exportaciones a dicho mercado. </w:t>
      </w:r>
      <w:bookmarkStart w:id="6" w:name="_Hlk207643180"/>
      <w:bookmarkEnd w:id="5"/>
    </w:p>
    <w:p w14:paraId="42F1F638" w14:textId="77777777" w:rsidR="00C0412C" w:rsidRPr="00C0412C" w:rsidRDefault="00C0412C" w:rsidP="00C0412C">
      <w:pPr>
        <w:ind w:left="708"/>
        <w:rPr>
          <w:rFonts w:ascii="Calibri" w:eastAsia="Times New Roman" w:hAnsi="Calibri" w:cs="Calibri"/>
          <w:color w:val="000000"/>
          <w:sz w:val="22"/>
          <w:szCs w:val="22"/>
        </w:rPr>
      </w:pPr>
    </w:p>
    <w:p w14:paraId="16172783" w14:textId="485012E7" w:rsidR="00DB7B72" w:rsidRPr="00C0412C" w:rsidRDefault="00DB7B72" w:rsidP="00C0412C">
      <w:pPr>
        <w:ind w:left="708"/>
        <w:rPr>
          <w:rFonts w:ascii="Calibri" w:hAnsi="Calibri" w:cs="Calibri"/>
          <w:sz w:val="22"/>
          <w:szCs w:val="22"/>
        </w:rPr>
      </w:pPr>
      <w:r w:rsidRPr="00C0412C">
        <w:rPr>
          <w:rFonts w:ascii="Calibri" w:eastAsia="Times New Roman" w:hAnsi="Calibri" w:cs="Calibri"/>
          <w:color w:val="000000"/>
          <w:sz w:val="22"/>
          <w:szCs w:val="22"/>
        </w:rPr>
        <w:t xml:space="preserve">Fruto de las medidas de defensa comercial por los mercados tradicionales de Turquía, sen ha visto en la necesidad de ser más agresivos exportado a otros destinos, incluyendo la región del caribe y Centroamérica. Entre el 2018 y el 2024 el promedio de exportación de Turquía a esta región ha sido de 407 mil toneladas, y el 2024 exporto 404 mil toneladas, lo que refleja un enfoque hacia la región.  </w:t>
      </w:r>
    </w:p>
    <w:bookmarkEnd w:id="6"/>
    <w:p w14:paraId="115382C4" w14:textId="577FAC11" w:rsidR="00DB7B72" w:rsidRPr="00C0412C" w:rsidRDefault="00DB7B72" w:rsidP="00DB7B72">
      <w:pPr>
        <w:rPr>
          <w:rFonts w:ascii="Calibri" w:hAnsi="Calibri" w:cs="Calibri"/>
          <w:sz w:val="22"/>
          <w:szCs w:val="22"/>
        </w:rPr>
      </w:pPr>
    </w:p>
    <w:p w14:paraId="18C85F9E" w14:textId="47D9D8A7" w:rsidR="00DB7B72" w:rsidRPr="00C0412C" w:rsidRDefault="00DB7B72" w:rsidP="00DB7B72">
      <w:pPr>
        <w:pStyle w:val="ListParagraph"/>
        <w:numPr>
          <w:ilvl w:val="0"/>
          <w:numId w:val="4"/>
        </w:numPr>
        <w:rPr>
          <w:rFonts w:ascii="Calibri" w:hAnsi="Calibri" w:cs="Calibri"/>
          <w:sz w:val="22"/>
          <w:szCs w:val="22"/>
          <w:u w:val="single"/>
        </w:rPr>
      </w:pPr>
      <w:r w:rsidRPr="00C0412C">
        <w:rPr>
          <w:rFonts w:ascii="Calibri" w:hAnsi="Calibri" w:cs="Calibri"/>
          <w:sz w:val="22"/>
          <w:szCs w:val="22"/>
        </w:rPr>
        <w:t xml:space="preserve">En respuesta a una "situación particular del mercado" en el mercado de varillas de refuerzo de Turquía, Canadá ha aplicado derechos de importación especiales en virtud de su </w:t>
      </w:r>
      <w:r w:rsidRPr="00C0412C">
        <w:rPr>
          <w:rFonts w:ascii="Calibri" w:hAnsi="Calibri" w:cs="Calibri"/>
          <w:i/>
          <w:iCs/>
          <w:sz w:val="22"/>
          <w:szCs w:val="22"/>
        </w:rPr>
        <w:t>Ley de Medidas Especiales de Importación (SIMA</w:t>
      </w:r>
      <w:proofErr w:type="gramStart"/>
      <w:r w:rsidRPr="00C0412C">
        <w:rPr>
          <w:rFonts w:ascii="Calibri" w:hAnsi="Calibri" w:cs="Calibri"/>
          <w:i/>
          <w:iCs/>
          <w:sz w:val="22"/>
          <w:szCs w:val="22"/>
        </w:rPr>
        <w:t>) </w:t>
      </w:r>
      <w:r w:rsidRPr="00C0412C">
        <w:rPr>
          <w:rFonts w:ascii="Calibri" w:hAnsi="Calibri" w:cs="Calibri"/>
          <w:sz w:val="22"/>
          <w:szCs w:val="22"/>
        </w:rPr>
        <w:t>.</w:t>
      </w:r>
      <w:proofErr w:type="gramEnd"/>
      <w:r w:rsidRPr="00C0412C">
        <w:rPr>
          <w:rFonts w:ascii="Calibri" w:hAnsi="Calibri" w:cs="Calibri"/>
          <w:sz w:val="22"/>
          <w:szCs w:val="22"/>
        </w:rPr>
        <w:t xml:space="preserve"> La </w:t>
      </w:r>
      <w:hyperlink r:id="rId7" w:tgtFrame="_blank" w:history="1">
        <w:r w:rsidRPr="00C0412C">
          <w:rPr>
            <w:rStyle w:val="Hyperlink"/>
            <w:rFonts w:ascii="Calibri" w:hAnsi="Calibri" w:cs="Calibri"/>
            <w:sz w:val="22"/>
            <w:szCs w:val="22"/>
          </w:rPr>
          <w:t>Agencia de Servicios Fronterizos de Canadá (CBSA)</w:t>
        </w:r>
      </w:hyperlink>
      <w:r w:rsidRPr="00C0412C">
        <w:rPr>
          <w:rFonts w:ascii="Calibri" w:hAnsi="Calibri" w:cs="Calibri"/>
          <w:sz w:val="22"/>
          <w:szCs w:val="22"/>
        </w:rPr>
        <w:t xml:space="preserve"> determinó en una nueva investigación realizada en mayo de 2023 que las distorsiones del mercado en Turquía </w:t>
      </w:r>
      <w:r w:rsidRPr="00C0412C">
        <w:rPr>
          <w:rFonts w:ascii="Calibri" w:hAnsi="Calibri" w:cs="Calibri"/>
          <w:sz w:val="22"/>
          <w:szCs w:val="22"/>
          <w:u w:val="single"/>
        </w:rPr>
        <w:t>impidieron una comparación justa de los precios de exportación de varillas corrugadas a Canadá. </w:t>
      </w:r>
      <w:r w:rsidR="00C0412C" w:rsidRPr="00C0412C">
        <w:rPr>
          <w:rFonts w:ascii="Calibri" w:hAnsi="Calibri" w:cs="Calibri"/>
          <w:sz w:val="22"/>
          <w:szCs w:val="22"/>
          <w:u w:val="single"/>
        </w:rPr>
        <w:t xml:space="preserve"> Entre los </w:t>
      </w:r>
      <w:r w:rsidRPr="00C0412C">
        <w:rPr>
          <w:rFonts w:ascii="Calibri" w:hAnsi="Calibri" w:cs="Calibri"/>
          <w:sz w:val="22"/>
          <w:szCs w:val="22"/>
        </w:rPr>
        <w:t>Factores que componen las "circunstancias especiales"</w:t>
      </w:r>
    </w:p>
    <w:p w14:paraId="6CD37E0A" w14:textId="77777777" w:rsidR="00DB7B72" w:rsidRDefault="00DB7B72" w:rsidP="00DB7B72">
      <w:pPr>
        <w:rPr>
          <w:rFonts w:cstheme="minorHAnsi"/>
        </w:rPr>
      </w:pPr>
    </w:p>
    <w:p w14:paraId="565A4ACC" w14:textId="21F3C75A" w:rsidR="00801635" w:rsidRPr="00DB7B72" w:rsidRDefault="00DB7B72" w:rsidP="00801635">
      <w:pPr>
        <w:rPr>
          <w:rFonts w:ascii="Calibri" w:hAnsi="Calibri" w:cs="Calibri"/>
        </w:rPr>
      </w:pPr>
      <w:r>
        <w:br w:type="page"/>
      </w:r>
    </w:p>
    <w:sectPr w:rsidR="00801635" w:rsidRPr="00DB7B72" w:rsidSect="003F56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E980" w14:textId="77777777" w:rsidR="001374CF" w:rsidRDefault="001374CF" w:rsidP="00FE78A9">
      <w:r>
        <w:separator/>
      </w:r>
    </w:p>
  </w:endnote>
  <w:endnote w:type="continuationSeparator" w:id="0">
    <w:p w14:paraId="30A6D257" w14:textId="77777777" w:rsidR="001374CF" w:rsidRDefault="001374CF" w:rsidP="00FE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D904" w14:textId="77777777" w:rsidR="001374CF" w:rsidRDefault="001374CF" w:rsidP="00FE78A9">
      <w:r>
        <w:separator/>
      </w:r>
    </w:p>
  </w:footnote>
  <w:footnote w:type="continuationSeparator" w:id="0">
    <w:p w14:paraId="1F1A3825" w14:textId="77777777" w:rsidR="001374CF" w:rsidRDefault="001374CF" w:rsidP="00FE7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0C86"/>
    <w:multiLevelType w:val="multilevel"/>
    <w:tmpl w:val="346C6A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8796036"/>
    <w:multiLevelType w:val="multilevel"/>
    <w:tmpl w:val="7A8C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93328"/>
    <w:multiLevelType w:val="hybridMultilevel"/>
    <w:tmpl w:val="31E460DA"/>
    <w:lvl w:ilvl="0" w:tplc="284E8C66">
      <w:numFmt w:val="bullet"/>
      <w:lvlText w:val=""/>
      <w:lvlJc w:val="left"/>
      <w:pPr>
        <w:ind w:left="720" w:hanging="360"/>
      </w:pPr>
      <w:rPr>
        <w:rFonts w:ascii="Symbol" w:eastAsiaTheme="minorHAnsi" w:hAnsi="Symbol" w:cs="Apto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43943AE4"/>
    <w:multiLevelType w:val="multilevel"/>
    <w:tmpl w:val="FA52AC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4B64E1A"/>
    <w:multiLevelType w:val="hybridMultilevel"/>
    <w:tmpl w:val="70723AF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4FFC2A8D"/>
    <w:multiLevelType w:val="hybridMultilevel"/>
    <w:tmpl w:val="A82E68AE"/>
    <w:lvl w:ilvl="0" w:tplc="284E8C66">
      <w:numFmt w:val="bullet"/>
      <w:lvlText w:val=""/>
      <w:lvlJc w:val="left"/>
      <w:pPr>
        <w:ind w:left="720" w:hanging="360"/>
      </w:pPr>
      <w:rPr>
        <w:rFonts w:ascii="Symbol" w:eastAsiaTheme="minorHAnsi" w:hAnsi="Symbol" w:cs="Apto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626C23C8"/>
    <w:multiLevelType w:val="hybridMultilevel"/>
    <w:tmpl w:val="ADBA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96E31"/>
    <w:multiLevelType w:val="hybridMultilevel"/>
    <w:tmpl w:val="BDD6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644005">
    <w:abstractNumId w:val="6"/>
  </w:num>
  <w:num w:numId="2" w16cid:durableId="1665740407">
    <w:abstractNumId w:val="4"/>
  </w:num>
  <w:num w:numId="3" w16cid:durableId="2057045182">
    <w:abstractNumId w:val="5"/>
  </w:num>
  <w:num w:numId="4" w16cid:durableId="149517033">
    <w:abstractNumId w:val="2"/>
  </w:num>
  <w:num w:numId="5" w16cid:durableId="1090925162">
    <w:abstractNumId w:val="0"/>
  </w:num>
  <w:num w:numId="6" w16cid:durableId="2034067184">
    <w:abstractNumId w:val="7"/>
  </w:num>
  <w:num w:numId="7" w16cid:durableId="505244209">
    <w:abstractNumId w:val="3"/>
  </w:num>
  <w:num w:numId="8" w16cid:durableId="1231618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35"/>
    <w:rsid w:val="001374CF"/>
    <w:rsid w:val="002D4E99"/>
    <w:rsid w:val="00334F62"/>
    <w:rsid w:val="003F56B0"/>
    <w:rsid w:val="00411FE0"/>
    <w:rsid w:val="00412092"/>
    <w:rsid w:val="004824A9"/>
    <w:rsid w:val="005B3BA0"/>
    <w:rsid w:val="00727824"/>
    <w:rsid w:val="00801635"/>
    <w:rsid w:val="00864E07"/>
    <w:rsid w:val="009A2800"/>
    <w:rsid w:val="00C0412C"/>
    <w:rsid w:val="00DB7B72"/>
    <w:rsid w:val="00EB5998"/>
    <w:rsid w:val="00F71E83"/>
    <w:rsid w:val="00FC5069"/>
    <w:rsid w:val="00FE7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2670"/>
  <w15:chartTrackingRefBased/>
  <w15:docId w15:val="{B7F62536-ABC2-40C3-AD16-7522C1BA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35"/>
    <w:pPr>
      <w:spacing w:after="0" w:line="240" w:lineRule="auto"/>
    </w:pPr>
    <w:rPr>
      <w:rFonts w:ascii="Aptos" w:hAnsi="Aptos" w:cs="Aptos"/>
      <w:kern w:val="0"/>
      <w:sz w:val="24"/>
      <w:szCs w:val="24"/>
      <w:lang w:eastAsia="es-DO"/>
      <w14:ligatures w14:val="none"/>
    </w:rPr>
  </w:style>
  <w:style w:type="paragraph" w:styleId="Heading1">
    <w:name w:val="heading 1"/>
    <w:basedOn w:val="Normal"/>
    <w:next w:val="Normal"/>
    <w:link w:val="Heading1Char"/>
    <w:uiPriority w:val="9"/>
    <w:qFormat/>
    <w:rsid w:val="00801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1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6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6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6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6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1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635"/>
    <w:rPr>
      <w:rFonts w:eastAsiaTheme="majorEastAsia" w:cstheme="majorBidi"/>
      <w:color w:val="272727" w:themeColor="text1" w:themeTint="D8"/>
    </w:rPr>
  </w:style>
  <w:style w:type="paragraph" w:styleId="Title">
    <w:name w:val="Title"/>
    <w:basedOn w:val="Normal"/>
    <w:next w:val="Normal"/>
    <w:link w:val="TitleChar"/>
    <w:uiPriority w:val="10"/>
    <w:qFormat/>
    <w:rsid w:val="008016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635"/>
    <w:pPr>
      <w:spacing w:before="160"/>
      <w:jc w:val="center"/>
    </w:pPr>
    <w:rPr>
      <w:i/>
      <w:iCs/>
      <w:color w:val="404040" w:themeColor="text1" w:themeTint="BF"/>
    </w:rPr>
  </w:style>
  <w:style w:type="character" w:customStyle="1" w:styleId="QuoteChar">
    <w:name w:val="Quote Char"/>
    <w:basedOn w:val="DefaultParagraphFont"/>
    <w:link w:val="Quote"/>
    <w:uiPriority w:val="29"/>
    <w:rsid w:val="00801635"/>
    <w:rPr>
      <w:i/>
      <w:iCs/>
      <w:color w:val="404040" w:themeColor="text1" w:themeTint="BF"/>
    </w:rPr>
  </w:style>
  <w:style w:type="paragraph" w:styleId="ListParagraph">
    <w:name w:val="List Paragraph"/>
    <w:basedOn w:val="Normal"/>
    <w:uiPriority w:val="34"/>
    <w:qFormat/>
    <w:rsid w:val="00801635"/>
    <w:pPr>
      <w:ind w:left="720"/>
      <w:contextualSpacing/>
    </w:pPr>
  </w:style>
  <w:style w:type="character" w:styleId="IntenseEmphasis">
    <w:name w:val="Intense Emphasis"/>
    <w:basedOn w:val="DefaultParagraphFont"/>
    <w:uiPriority w:val="21"/>
    <w:qFormat/>
    <w:rsid w:val="00801635"/>
    <w:rPr>
      <w:i/>
      <w:iCs/>
      <w:color w:val="0F4761" w:themeColor="accent1" w:themeShade="BF"/>
    </w:rPr>
  </w:style>
  <w:style w:type="paragraph" w:styleId="IntenseQuote">
    <w:name w:val="Intense Quote"/>
    <w:basedOn w:val="Normal"/>
    <w:next w:val="Normal"/>
    <w:link w:val="IntenseQuoteChar"/>
    <w:uiPriority w:val="30"/>
    <w:qFormat/>
    <w:rsid w:val="00801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635"/>
    <w:rPr>
      <w:i/>
      <w:iCs/>
      <w:color w:val="0F4761" w:themeColor="accent1" w:themeShade="BF"/>
    </w:rPr>
  </w:style>
  <w:style w:type="character" w:styleId="IntenseReference">
    <w:name w:val="Intense Reference"/>
    <w:basedOn w:val="DefaultParagraphFont"/>
    <w:uiPriority w:val="32"/>
    <w:qFormat/>
    <w:rsid w:val="00801635"/>
    <w:rPr>
      <w:b/>
      <w:bCs/>
      <w:smallCaps/>
      <w:color w:val="0F4761" w:themeColor="accent1" w:themeShade="BF"/>
      <w:spacing w:val="5"/>
    </w:rPr>
  </w:style>
  <w:style w:type="table" w:styleId="TableGrid">
    <w:name w:val="Table Grid"/>
    <w:basedOn w:val="TableNormal"/>
    <w:uiPriority w:val="39"/>
    <w:rsid w:val="00FE78A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E78A9"/>
    <w:rPr>
      <w:rFonts w:ascii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FE78A9"/>
    <w:rPr>
      <w:kern w:val="0"/>
      <w:sz w:val="20"/>
      <w:szCs w:val="20"/>
      <w:lang w:val="en-US"/>
      <w14:ligatures w14:val="none"/>
    </w:rPr>
  </w:style>
  <w:style w:type="character" w:styleId="FootnoteReference">
    <w:name w:val="footnote reference"/>
    <w:basedOn w:val="DefaultParagraphFont"/>
    <w:uiPriority w:val="99"/>
    <w:semiHidden/>
    <w:unhideWhenUsed/>
    <w:rsid w:val="00FE78A9"/>
    <w:rPr>
      <w:vertAlign w:val="superscript"/>
    </w:rPr>
  </w:style>
  <w:style w:type="paragraph" w:styleId="NormalWeb">
    <w:name w:val="Normal (Web)"/>
    <w:basedOn w:val="Normal"/>
    <w:uiPriority w:val="99"/>
    <w:semiHidden/>
    <w:unhideWhenUsed/>
    <w:rsid w:val="0041209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B7B7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sa-asfc.gc.ca/sima-lmsi/ri-re/rb12022/rb12022-nc-e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2</cp:revision>
  <dcterms:created xsi:type="dcterms:W3CDTF">2025-09-15T16:17:00Z</dcterms:created>
  <dcterms:modified xsi:type="dcterms:W3CDTF">2025-09-15T16:17:00Z</dcterms:modified>
</cp:coreProperties>
</file>