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62E7F" w14:textId="6DC6E1E9" w:rsidR="00A825D2" w:rsidRPr="00A825D2" w:rsidRDefault="00A825D2" w:rsidP="00A825D2">
      <w:pPr>
        <w:rPr>
          <w:b/>
          <w:bCs/>
          <w:lang w:val="es-DO"/>
        </w:rPr>
      </w:pPr>
      <w:proofErr w:type="spellStart"/>
      <w:r>
        <w:rPr>
          <w:b/>
          <w:bCs/>
          <w:lang w:val="es-DO"/>
        </w:rPr>
        <w:t>Traduccion</w:t>
      </w:r>
      <w:proofErr w:type="spellEnd"/>
      <w:r>
        <w:rPr>
          <w:b/>
          <w:bCs/>
          <w:lang w:val="es-DO"/>
        </w:rPr>
        <w:t xml:space="preserve"> libre, utilizando inteligencia artificial, sobre el </w:t>
      </w:r>
      <w:r w:rsidRPr="00A825D2">
        <w:rPr>
          <w:b/>
          <w:bCs/>
          <w:lang w:val="es-DO"/>
        </w:rPr>
        <w:t xml:space="preserve">artículo académico en inglés titulado </w:t>
      </w:r>
      <w:r w:rsidRPr="00A825D2">
        <w:rPr>
          <w:b/>
          <w:bCs/>
          <w:i/>
          <w:iCs/>
          <w:lang w:val="es-DO"/>
        </w:rPr>
        <w:t>“</w:t>
      </w:r>
      <w:proofErr w:type="spellStart"/>
      <w:r w:rsidRPr="00A825D2">
        <w:rPr>
          <w:b/>
          <w:bCs/>
          <w:i/>
          <w:iCs/>
          <w:lang w:val="es-DO"/>
        </w:rPr>
        <w:t>Lifecycle</w:t>
      </w:r>
      <w:proofErr w:type="spellEnd"/>
      <w:r w:rsidRPr="00A825D2">
        <w:rPr>
          <w:b/>
          <w:bCs/>
          <w:i/>
          <w:iCs/>
          <w:lang w:val="es-DO"/>
        </w:rPr>
        <w:t xml:space="preserve"> </w:t>
      </w:r>
      <w:proofErr w:type="spellStart"/>
      <w:r w:rsidRPr="00A825D2">
        <w:rPr>
          <w:b/>
          <w:bCs/>
          <w:i/>
          <w:iCs/>
          <w:lang w:val="es-DO"/>
        </w:rPr>
        <w:t>Assessment</w:t>
      </w:r>
      <w:proofErr w:type="spellEnd"/>
      <w:r w:rsidRPr="00A825D2">
        <w:rPr>
          <w:b/>
          <w:bCs/>
          <w:i/>
          <w:iCs/>
          <w:lang w:val="es-DO"/>
        </w:rPr>
        <w:t xml:space="preserve"> </w:t>
      </w:r>
      <w:proofErr w:type="spellStart"/>
      <w:r w:rsidRPr="00A825D2">
        <w:rPr>
          <w:b/>
          <w:bCs/>
          <w:i/>
          <w:iCs/>
          <w:lang w:val="es-DO"/>
        </w:rPr>
        <w:t>of</w:t>
      </w:r>
      <w:proofErr w:type="spellEnd"/>
      <w:r w:rsidRPr="00A825D2">
        <w:rPr>
          <w:b/>
          <w:bCs/>
          <w:i/>
          <w:iCs/>
          <w:lang w:val="es-DO"/>
        </w:rPr>
        <w:t xml:space="preserve"> Steel </w:t>
      </w:r>
      <w:proofErr w:type="spellStart"/>
      <w:r w:rsidRPr="00A825D2">
        <w:rPr>
          <w:b/>
          <w:bCs/>
          <w:i/>
          <w:iCs/>
          <w:lang w:val="es-DO"/>
        </w:rPr>
        <w:t>Rebar</w:t>
      </w:r>
      <w:proofErr w:type="spellEnd"/>
      <w:r w:rsidRPr="00A825D2">
        <w:rPr>
          <w:b/>
          <w:bCs/>
          <w:i/>
          <w:iCs/>
          <w:lang w:val="es-DO"/>
        </w:rPr>
        <w:t xml:space="preserve"> </w:t>
      </w:r>
      <w:proofErr w:type="spellStart"/>
      <w:r w:rsidRPr="00A825D2">
        <w:rPr>
          <w:b/>
          <w:bCs/>
          <w:i/>
          <w:iCs/>
          <w:lang w:val="es-DO"/>
        </w:rPr>
        <w:t>Production</w:t>
      </w:r>
      <w:proofErr w:type="spellEnd"/>
      <w:r w:rsidRPr="00A825D2">
        <w:rPr>
          <w:b/>
          <w:bCs/>
          <w:i/>
          <w:iCs/>
          <w:lang w:val="es-DO"/>
        </w:rPr>
        <w:t xml:space="preserve"> </w:t>
      </w:r>
      <w:proofErr w:type="spellStart"/>
      <w:r w:rsidRPr="00A825D2">
        <w:rPr>
          <w:b/>
          <w:bCs/>
          <w:i/>
          <w:iCs/>
          <w:lang w:val="es-DO"/>
        </w:rPr>
        <w:t>with</w:t>
      </w:r>
      <w:proofErr w:type="spellEnd"/>
      <w:r w:rsidRPr="00A825D2">
        <w:rPr>
          <w:b/>
          <w:bCs/>
          <w:i/>
          <w:iCs/>
          <w:lang w:val="es-DO"/>
        </w:rPr>
        <w:t xml:space="preserve"> </w:t>
      </w:r>
      <w:proofErr w:type="spellStart"/>
      <w:r w:rsidRPr="00A825D2">
        <w:rPr>
          <w:b/>
          <w:bCs/>
          <w:i/>
          <w:iCs/>
          <w:lang w:val="es-DO"/>
        </w:rPr>
        <w:t>Induction</w:t>
      </w:r>
      <w:proofErr w:type="spellEnd"/>
      <w:r w:rsidRPr="00A825D2">
        <w:rPr>
          <w:b/>
          <w:bCs/>
          <w:i/>
          <w:iCs/>
          <w:lang w:val="es-DO"/>
        </w:rPr>
        <w:t xml:space="preserve"> </w:t>
      </w:r>
      <w:proofErr w:type="spellStart"/>
      <w:r w:rsidRPr="00A825D2">
        <w:rPr>
          <w:b/>
          <w:bCs/>
          <w:i/>
          <w:iCs/>
          <w:lang w:val="es-DO"/>
        </w:rPr>
        <w:t>Melting</w:t>
      </w:r>
      <w:proofErr w:type="spellEnd"/>
      <w:r w:rsidRPr="00A825D2">
        <w:rPr>
          <w:b/>
          <w:bCs/>
          <w:i/>
          <w:iCs/>
          <w:lang w:val="es-DO"/>
        </w:rPr>
        <w:t xml:space="preserve"> </w:t>
      </w:r>
      <w:proofErr w:type="spellStart"/>
      <w:r w:rsidRPr="00A825D2">
        <w:rPr>
          <w:b/>
          <w:bCs/>
          <w:i/>
          <w:iCs/>
          <w:lang w:val="es-DO"/>
        </w:rPr>
        <w:t>Furnace</w:t>
      </w:r>
      <w:proofErr w:type="spellEnd"/>
      <w:r w:rsidRPr="00A825D2">
        <w:rPr>
          <w:b/>
          <w:bCs/>
          <w:i/>
          <w:iCs/>
          <w:lang w:val="es-DO"/>
        </w:rPr>
        <w:t xml:space="preserve">: Case </w:t>
      </w:r>
      <w:proofErr w:type="spellStart"/>
      <w:r w:rsidRPr="00A825D2">
        <w:rPr>
          <w:b/>
          <w:bCs/>
          <w:i/>
          <w:iCs/>
          <w:lang w:val="es-DO"/>
        </w:rPr>
        <w:t>Study</w:t>
      </w:r>
      <w:proofErr w:type="spellEnd"/>
      <w:r w:rsidRPr="00A825D2">
        <w:rPr>
          <w:b/>
          <w:bCs/>
          <w:i/>
          <w:iCs/>
          <w:lang w:val="es-DO"/>
        </w:rPr>
        <w:t xml:space="preserve"> in </w:t>
      </w:r>
      <w:proofErr w:type="spellStart"/>
      <w:r w:rsidRPr="00A825D2">
        <w:rPr>
          <w:b/>
          <w:bCs/>
          <w:i/>
          <w:iCs/>
          <w:lang w:val="es-DO"/>
        </w:rPr>
        <w:t>Turkey</w:t>
      </w:r>
      <w:proofErr w:type="spellEnd"/>
      <w:r w:rsidRPr="00A825D2">
        <w:rPr>
          <w:b/>
          <w:bCs/>
          <w:i/>
          <w:iCs/>
          <w:lang w:val="es-DO"/>
        </w:rPr>
        <w:t>”</w:t>
      </w:r>
      <w:r w:rsidRPr="00A825D2">
        <w:rPr>
          <w:b/>
          <w:bCs/>
          <w:lang w:val="es-DO"/>
        </w:rPr>
        <w:t xml:space="preserve"> (Evaluación del ciclo de vida de la producción de varillas de acero con horno de inducción: estudio de caso en Turquía)</w:t>
      </w:r>
      <w:r>
        <w:rPr>
          <w:b/>
          <w:bCs/>
          <w:lang w:val="es-DO"/>
        </w:rPr>
        <w:t>.</w:t>
      </w:r>
    </w:p>
    <w:p w14:paraId="1AAC15EF" w14:textId="77777777" w:rsidR="00A825D2" w:rsidRDefault="00A825D2" w:rsidP="00A825D2">
      <w:pPr>
        <w:rPr>
          <w:b/>
          <w:bCs/>
          <w:lang w:val="es-DO"/>
        </w:rPr>
      </w:pPr>
    </w:p>
    <w:p w14:paraId="5A77F42A" w14:textId="1A827AC2" w:rsidR="00A825D2" w:rsidRPr="00A825D2" w:rsidRDefault="00A825D2" w:rsidP="00A825D2">
      <w:pPr>
        <w:rPr>
          <w:b/>
          <w:bCs/>
          <w:lang w:val="es-DO"/>
        </w:rPr>
      </w:pPr>
      <w:r w:rsidRPr="00A825D2">
        <w:rPr>
          <w:b/>
          <w:bCs/>
          <w:lang w:val="es-DO"/>
        </w:rPr>
        <w:t>Resumen (</w:t>
      </w:r>
      <w:proofErr w:type="spellStart"/>
      <w:r w:rsidRPr="00A825D2">
        <w:rPr>
          <w:b/>
          <w:bCs/>
          <w:lang w:val="es-DO"/>
        </w:rPr>
        <w:t>Abstract</w:t>
      </w:r>
      <w:proofErr w:type="spellEnd"/>
      <w:r w:rsidRPr="00A825D2">
        <w:rPr>
          <w:b/>
          <w:bCs/>
          <w:lang w:val="es-DO"/>
        </w:rPr>
        <w:t>)</w:t>
      </w:r>
    </w:p>
    <w:p w14:paraId="46DEE652" w14:textId="1F481568" w:rsidR="00A825D2" w:rsidRPr="00A825D2" w:rsidRDefault="00A825D2" w:rsidP="00A825D2">
      <w:pPr>
        <w:rPr>
          <w:lang w:val="es-DO"/>
        </w:rPr>
      </w:pPr>
      <w:r w:rsidRPr="00A825D2">
        <w:rPr>
          <w:lang w:val="es-DO"/>
        </w:rPr>
        <w:t xml:space="preserve">Este artículo demuestra la utilización de la metodología de evaluación del ciclo de vida (LCA, por sus siglas en inglés) para determinar las cargas ambientales de la producción de varillas de acero utilizando la tecnología de horno de inducción. Los datos fueron obtenidos de una planta siderúrgica existente. La unidad funcional fue seleccionada como la producción de 1 tonelada de varillas de acero. Los límites del sistema se estudiaron desde la cuna hasta la puerta de fábrica. El análisis de impacto del ciclo de vida se consideró en 11 categorías de impacto. Los resultados resumieron que el potencial de calentamiento global de la producción de varillas de acero es aproximadamente </w:t>
      </w:r>
      <w:r w:rsidRPr="00A825D2">
        <w:rPr>
          <w:b/>
          <w:bCs/>
          <w:lang w:val="es-DO"/>
        </w:rPr>
        <w:t xml:space="preserve">720 </w:t>
      </w:r>
      <w:proofErr w:type="spellStart"/>
      <w:r w:rsidRPr="00A825D2">
        <w:rPr>
          <w:b/>
          <w:bCs/>
          <w:lang w:val="es-DO"/>
        </w:rPr>
        <w:t>kgCO</w:t>
      </w:r>
      <w:proofErr w:type="spellEnd"/>
      <w:r w:rsidRPr="00A825D2">
        <w:rPr>
          <w:b/>
          <w:bCs/>
          <w:lang w:val="es-DO"/>
        </w:rPr>
        <w:t xml:space="preserve">₂ </w:t>
      </w:r>
      <w:proofErr w:type="spellStart"/>
      <w:r w:rsidRPr="00A825D2">
        <w:rPr>
          <w:b/>
          <w:bCs/>
          <w:lang w:val="es-DO"/>
        </w:rPr>
        <w:t>eq</w:t>
      </w:r>
      <w:proofErr w:type="spellEnd"/>
      <w:r w:rsidRPr="00A825D2">
        <w:rPr>
          <w:b/>
          <w:bCs/>
          <w:lang w:val="es-DO"/>
        </w:rPr>
        <w:t xml:space="preserve"> por tonelada de producto</w:t>
      </w:r>
      <w:r w:rsidRPr="00A825D2">
        <w:rPr>
          <w:lang w:val="es-DO"/>
        </w:rPr>
        <w:t>. El consumo de electricidad fue el mayor factor de impacto, con efectos en las emisiones de gases de efecto invernadero, agotamiento abiótico basado en combustibles fósiles, agotamiento de la capa de ozono, toxicidad humana, toxicidad en agua dulce, ecotoxicidad marina, ecotoxicidad terrestre, oxidación fotoquímica, acidificación y eutrofización. La mayoría de los impactos de la varilla de acero provienen de</w:t>
      </w:r>
      <w:r w:rsidR="00B929A0">
        <w:rPr>
          <w:lang w:val="es-DO"/>
        </w:rPr>
        <w:t xml:space="preserve"> la </w:t>
      </w:r>
      <w:proofErr w:type="gramStart"/>
      <w:r w:rsidR="00B929A0">
        <w:rPr>
          <w:lang w:val="es-DO"/>
        </w:rPr>
        <w:t xml:space="preserve">palanquilla </w:t>
      </w:r>
      <w:r w:rsidRPr="00A825D2">
        <w:rPr>
          <w:lang w:val="es-DO"/>
        </w:rPr>
        <w:t xml:space="preserve"> (</w:t>
      </w:r>
      <w:proofErr w:type="spellStart"/>
      <w:proofErr w:type="gramEnd"/>
      <w:r w:rsidRPr="00A825D2">
        <w:rPr>
          <w:lang w:val="es-DO"/>
        </w:rPr>
        <w:t>steel</w:t>
      </w:r>
      <w:proofErr w:type="spellEnd"/>
      <w:r w:rsidRPr="00A825D2">
        <w:rPr>
          <w:lang w:val="es-DO"/>
        </w:rPr>
        <w:t xml:space="preserve"> </w:t>
      </w:r>
      <w:proofErr w:type="spellStart"/>
      <w:r w:rsidRPr="00A825D2">
        <w:rPr>
          <w:lang w:val="es-DO"/>
        </w:rPr>
        <w:t>billet</w:t>
      </w:r>
      <w:proofErr w:type="spellEnd"/>
      <w:r w:rsidRPr="00A825D2">
        <w:rPr>
          <w:lang w:val="es-DO"/>
        </w:rPr>
        <w:t>)</w:t>
      </w:r>
      <w:r w:rsidR="00B929A0">
        <w:rPr>
          <w:lang w:val="es-DO"/>
        </w:rPr>
        <w:t>.</w:t>
      </w:r>
    </w:p>
    <w:p w14:paraId="7036A350" w14:textId="77777777" w:rsidR="00A825D2" w:rsidRPr="00A825D2" w:rsidRDefault="00C45F27" w:rsidP="00A825D2">
      <w:r>
        <w:pict w14:anchorId="7230598C">
          <v:rect id="_x0000_i1025" style="width:0;height:1.5pt" o:hralign="center" o:hrstd="t" o:hr="t" fillcolor="#a0a0a0" stroked="f"/>
        </w:pict>
      </w:r>
    </w:p>
    <w:p w14:paraId="7B2437DC" w14:textId="77777777" w:rsidR="00A825D2" w:rsidRPr="00A825D2" w:rsidRDefault="00A825D2" w:rsidP="00A825D2">
      <w:pPr>
        <w:rPr>
          <w:b/>
          <w:bCs/>
          <w:lang w:val="es-DO"/>
        </w:rPr>
      </w:pPr>
      <w:r w:rsidRPr="00A825D2">
        <w:rPr>
          <w:b/>
          <w:bCs/>
          <w:lang w:val="es-DO"/>
        </w:rPr>
        <w:t>Introducción (</w:t>
      </w:r>
      <w:proofErr w:type="spellStart"/>
      <w:r w:rsidRPr="00A825D2">
        <w:rPr>
          <w:b/>
          <w:bCs/>
          <w:lang w:val="es-DO"/>
        </w:rPr>
        <w:t>Introduction</w:t>
      </w:r>
      <w:proofErr w:type="spellEnd"/>
      <w:r w:rsidRPr="00A825D2">
        <w:rPr>
          <w:b/>
          <w:bCs/>
          <w:lang w:val="es-DO"/>
        </w:rPr>
        <w:t>)</w:t>
      </w:r>
    </w:p>
    <w:p w14:paraId="377FE03E" w14:textId="77777777" w:rsidR="00A825D2" w:rsidRPr="00A825D2" w:rsidRDefault="00A825D2" w:rsidP="00A825D2">
      <w:pPr>
        <w:rPr>
          <w:lang w:val="es-DO"/>
        </w:rPr>
      </w:pPr>
      <w:r w:rsidRPr="00A825D2">
        <w:rPr>
          <w:lang w:val="es-DO"/>
        </w:rPr>
        <w:t>La fabricación de acero es un proceso extremadamente intensivo en energía. Tradicionalmente, la producción de acero se ha dividido en dos rutas:</w:t>
      </w:r>
    </w:p>
    <w:p w14:paraId="3FCA84F6" w14:textId="77777777" w:rsidR="00A825D2" w:rsidRPr="00A825D2" w:rsidRDefault="00A825D2" w:rsidP="00A825D2">
      <w:pPr>
        <w:numPr>
          <w:ilvl w:val="0"/>
          <w:numId w:val="1"/>
        </w:numPr>
        <w:rPr>
          <w:lang w:val="es-DO"/>
        </w:rPr>
      </w:pPr>
      <w:r w:rsidRPr="00A825D2">
        <w:rPr>
          <w:b/>
          <w:bCs/>
          <w:lang w:val="es-DO"/>
        </w:rPr>
        <w:t>Ruta primaria</w:t>
      </w:r>
      <w:r w:rsidRPr="00A825D2">
        <w:rPr>
          <w:lang w:val="es-DO"/>
        </w:rPr>
        <w:t>, que utiliza mineral de hierro como recurso ferroso.</w:t>
      </w:r>
    </w:p>
    <w:p w14:paraId="575BB46C" w14:textId="77777777" w:rsidR="00A825D2" w:rsidRPr="00A825D2" w:rsidRDefault="00A825D2" w:rsidP="00A825D2">
      <w:pPr>
        <w:numPr>
          <w:ilvl w:val="0"/>
          <w:numId w:val="1"/>
        </w:numPr>
        <w:rPr>
          <w:lang w:val="es-DO"/>
        </w:rPr>
      </w:pPr>
      <w:r w:rsidRPr="00A825D2">
        <w:rPr>
          <w:b/>
          <w:bCs/>
          <w:lang w:val="es-DO"/>
        </w:rPr>
        <w:t>Ruta secundaria</w:t>
      </w:r>
      <w:r w:rsidRPr="00A825D2">
        <w:rPr>
          <w:lang w:val="es-DO"/>
        </w:rPr>
        <w:t>, que utiliza chatarra de acero como recurso ferroso, siendo menos intensiva en energía que la primaria.</w:t>
      </w:r>
    </w:p>
    <w:p w14:paraId="74257204" w14:textId="77777777" w:rsidR="00A825D2" w:rsidRPr="00A825D2" w:rsidRDefault="00A825D2" w:rsidP="00A825D2">
      <w:pPr>
        <w:rPr>
          <w:lang w:val="es-DO"/>
        </w:rPr>
      </w:pPr>
      <w:r w:rsidRPr="00A825D2">
        <w:rPr>
          <w:lang w:val="es-DO"/>
        </w:rPr>
        <w:t xml:space="preserve">Los métodos más utilizados en la ruta primaria son: </w:t>
      </w:r>
      <w:r w:rsidRPr="00A825D2">
        <w:rPr>
          <w:b/>
          <w:bCs/>
          <w:lang w:val="es-DO"/>
        </w:rPr>
        <w:t>alto horno (BF), horno de oxígeno básico (BOF) y horno de hogar abierto (OHF)</w:t>
      </w:r>
      <w:r w:rsidRPr="00A825D2">
        <w:rPr>
          <w:lang w:val="es-DO"/>
        </w:rPr>
        <w:t xml:space="preserve">; mientras que en la ruta secundaria el método más usado es el </w:t>
      </w:r>
      <w:r w:rsidRPr="00A825D2">
        <w:rPr>
          <w:b/>
          <w:bCs/>
          <w:lang w:val="es-DO"/>
        </w:rPr>
        <w:t>horno de arco eléctrico (EAF)</w:t>
      </w:r>
      <w:r w:rsidRPr="00A825D2">
        <w:rPr>
          <w:lang w:val="es-DO"/>
        </w:rPr>
        <w:t>.</w:t>
      </w:r>
    </w:p>
    <w:p w14:paraId="5B93FB0A" w14:textId="77777777" w:rsidR="00A825D2" w:rsidRPr="00A825D2" w:rsidRDefault="00A825D2" w:rsidP="00A825D2">
      <w:pPr>
        <w:rPr>
          <w:lang w:val="es-DO"/>
        </w:rPr>
      </w:pPr>
      <w:r w:rsidRPr="00A825D2">
        <w:rPr>
          <w:lang w:val="es-DO"/>
        </w:rPr>
        <w:t xml:space="preserve">En Turquía, la producción de acero crudo se basa principalmente en la ruta secundaria, con aproximadamente </w:t>
      </w:r>
      <w:r w:rsidRPr="00A825D2">
        <w:rPr>
          <w:b/>
          <w:bCs/>
          <w:lang w:val="es-DO"/>
        </w:rPr>
        <w:t>33,2 millones de toneladas en 2016</w:t>
      </w:r>
      <w:r w:rsidRPr="00A825D2">
        <w:rPr>
          <w:lang w:val="es-DO"/>
        </w:rPr>
        <w:t xml:space="preserve">, lo que representa un </w:t>
      </w:r>
      <w:r w:rsidRPr="00A825D2">
        <w:rPr>
          <w:lang w:val="es-DO"/>
        </w:rPr>
        <w:lastRenderedPageBreak/>
        <w:t>aumento de casi 50% respecto a 2005. El sector siderúrgico turco cuenta con 31 plantas: 24 que operan con EAF, 3 integradas y 4 con hornos de inducción (IMF).</w:t>
      </w:r>
    </w:p>
    <w:p w14:paraId="57128493" w14:textId="77777777" w:rsidR="00A825D2" w:rsidRPr="00A825D2" w:rsidRDefault="00A825D2" w:rsidP="00A825D2">
      <w:pPr>
        <w:rPr>
          <w:lang w:val="es-DO"/>
        </w:rPr>
      </w:pPr>
      <w:r w:rsidRPr="00A825D2">
        <w:rPr>
          <w:lang w:val="es-DO"/>
        </w:rPr>
        <w:t>Debido a esta alta dependencia de la ruta secundaria, Turquía obtiene solo un 34% de su chatarra de hierro localmente y el resto la importa (17,7 millones de toneladas en 2016, principalmente desde EE. UU., Rusia y Reino Unido).</w:t>
      </w:r>
    </w:p>
    <w:p w14:paraId="7C74E25A" w14:textId="77777777" w:rsidR="00A825D2" w:rsidRPr="00A825D2" w:rsidRDefault="00A825D2" w:rsidP="00A825D2">
      <w:pPr>
        <w:rPr>
          <w:lang w:val="es-DO"/>
        </w:rPr>
      </w:pPr>
      <w:r w:rsidRPr="00A825D2">
        <w:rPr>
          <w:lang w:val="es-DO"/>
        </w:rPr>
        <w:t xml:space="preserve">La industria del hierro y acero representa alrededor del </w:t>
      </w:r>
      <w:r w:rsidRPr="00A825D2">
        <w:rPr>
          <w:b/>
          <w:bCs/>
          <w:lang w:val="es-DO"/>
        </w:rPr>
        <w:t>25% del consumo total de energía de la industria manufacturera</w:t>
      </w:r>
      <w:r w:rsidRPr="00A825D2">
        <w:rPr>
          <w:lang w:val="es-DO"/>
        </w:rPr>
        <w:t xml:space="preserve"> del país, por lo que es clave en el contexto de impactos ambientales. El principal impacto ambiental es el </w:t>
      </w:r>
      <w:r w:rsidRPr="00A825D2">
        <w:rPr>
          <w:b/>
          <w:bCs/>
          <w:lang w:val="es-DO"/>
        </w:rPr>
        <w:t>calentamiento global</w:t>
      </w:r>
      <w:r w:rsidRPr="00A825D2">
        <w:rPr>
          <w:lang w:val="es-DO"/>
        </w:rPr>
        <w:t xml:space="preserve">, derivado de la quema de gas natural y de la producción de electricidad consumida. En Turquía, las emisiones de CO₂ del sector siderúrgico representan el </w:t>
      </w:r>
      <w:r w:rsidRPr="00A825D2">
        <w:rPr>
          <w:b/>
          <w:bCs/>
          <w:lang w:val="es-DO"/>
        </w:rPr>
        <w:t>3,6% de las emisiones totales del país</w:t>
      </w:r>
      <w:r w:rsidRPr="00A825D2">
        <w:rPr>
          <w:lang w:val="es-DO"/>
        </w:rPr>
        <w:t>.</w:t>
      </w:r>
    </w:p>
    <w:p w14:paraId="2B1C8691" w14:textId="77777777" w:rsidR="00A825D2" w:rsidRPr="00A825D2" w:rsidRDefault="00A825D2" w:rsidP="00A825D2">
      <w:pPr>
        <w:rPr>
          <w:lang w:val="es-DO"/>
        </w:rPr>
      </w:pPr>
      <w:r w:rsidRPr="00A825D2">
        <w:rPr>
          <w:lang w:val="es-DO"/>
        </w:rPr>
        <w:t xml:space="preserve">El potencial de calentamiento global es uno de los indicadores de desempeño ambiental, pero otros pueden evaluarse a través de un </w:t>
      </w:r>
      <w:r w:rsidRPr="00A825D2">
        <w:rPr>
          <w:b/>
          <w:bCs/>
          <w:lang w:val="es-DO"/>
        </w:rPr>
        <w:t>análisis de ciclo de vida (LCA)</w:t>
      </w:r>
      <w:r w:rsidRPr="00A825D2">
        <w:rPr>
          <w:lang w:val="es-DO"/>
        </w:rPr>
        <w:t xml:space="preserve">, que permite una visión integral desde la producción hasta la disposición final. Estudios previos han analizado principalmente las tecnologías BF y EAF, mientras que este artículo se centra en evaluar el proceso con </w:t>
      </w:r>
      <w:r w:rsidRPr="00A825D2">
        <w:rPr>
          <w:b/>
          <w:bCs/>
          <w:lang w:val="es-DO"/>
        </w:rPr>
        <w:t>hornos de inducción (IMF)</w:t>
      </w:r>
      <w:r w:rsidRPr="00A825D2">
        <w:rPr>
          <w:lang w:val="es-DO"/>
        </w:rPr>
        <w:t>.</w:t>
      </w:r>
    </w:p>
    <w:p w14:paraId="00632380" w14:textId="77777777" w:rsidR="00A825D2" w:rsidRPr="00A825D2" w:rsidRDefault="00C45F27" w:rsidP="00A825D2">
      <w:r>
        <w:pict w14:anchorId="43E832B1">
          <v:rect id="_x0000_i1026" style="width:0;height:1.5pt" o:hralign="center" o:hrstd="t" o:hr="t" fillcolor="#a0a0a0" stroked="f"/>
        </w:pict>
      </w:r>
    </w:p>
    <w:p w14:paraId="7655892A" w14:textId="77777777" w:rsidR="00A825D2" w:rsidRPr="00A825D2" w:rsidRDefault="00A825D2" w:rsidP="00A825D2">
      <w:pPr>
        <w:rPr>
          <w:b/>
          <w:bCs/>
          <w:lang w:val="es-DO"/>
        </w:rPr>
      </w:pPr>
      <w:r w:rsidRPr="00A825D2">
        <w:rPr>
          <w:b/>
          <w:bCs/>
          <w:lang w:val="es-DO"/>
        </w:rPr>
        <w:t>Metodología (</w:t>
      </w:r>
      <w:proofErr w:type="spellStart"/>
      <w:r w:rsidRPr="00A825D2">
        <w:rPr>
          <w:b/>
          <w:bCs/>
          <w:lang w:val="es-DO"/>
        </w:rPr>
        <w:t>Methodology</w:t>
      </w:r>
      <w:proofErr w:type="spellEnd"/>
      <w:r w:rsidRPr="00A825D2">
        <w:rPr>
          <w:b/>
          <w:bCs/>
          <w:lang w:val="es-DO"/>
        </w:rPr>
        <w:t>)</w:t>
      </w:r>
    </w:p>
    <w:p w14:paraId="4A7BFBC8" w14:textId="77777777" w:rsidR="00A825D2" w:rsidRPr="00A825D2" w:rsidRDefault="00A825D2" w:rsidP="00A825D2">
      <w:pPr>
        <w:rPr>
          <w:lang w:val="es-DO"/>
        </w:rPr>
      </w:pPr>
      <w:r w:rsidRPr="00A825D2">
        <w:rPr>
          <w:lang w:val="es-DO"/>
        </w:rPr>
        <w:t xml:space="preserve">La evaluación de ciclo de vida (LCA) se realizó siguiendo los requisitos de la norma </w:t>
      </w:r>
      <w:r w:rsidRPr="00A825D2">
        <w:rPr>
          <w:b/>
          <w:bCs/>
          <w:lang w:val="es-DO"/>
        </w:rPr>
        <w:t>ISO 14040 (2006)</w:t>
      </w:r>
      <w:r w:rsidRPr="00A825D2">
        <w:rPr>
          <w:lang w:val="es-DO"/>
        </w:rPr>
        <w:t>.</w:t>
      </w:r>
    </w:p>
    <w:p w14:paraId="117702B3" w14:textId="77777777" w:rsidR="00A825D2" w:rsidRPr="00A825D2" w:rsidRDefault="00A825D2" w:rsidP="00A825D2">
      <w:pPr>
        <w:rPr>
          <w:lang w:val="es-DO"/>
        </w:rPr>
      </w:pPr>
      <w:r w:rsidRPr="00A825D2">
        <w:rPr>
          <w:lang w:val="es-DO"/>
        </w:rPr>
        <w:t xml:space="preserve">Las </w:t>
      </w:r>
      <w:r w:rsidRPr="00A825D2">
        <w:rPr>
          <w:b/>
          <w:bCs/>
          <w:lang w:val="es-DO"/>
        </w:rPr>
        <w:t>cuatro etapas del LCA</w:t>
      </w:r>
      <w:r w:rsidRPr="00A825D2">
        <w:rPr>
          <w:lang w:val="es-DO"/>
        </w:rPr>
        <w:t xml:space="preserve"> fueron:</w:t>
      </w:r>
    </w:p>
    <w:p w14:paraId="1DAF34BE" w14:textId="77777777" w:rsidR="00A825D2" w:rsidRPr="00A825D2" w:rsidRDefault="00A825D2" w:rsidP="00A825D2">
      <w:pPr>
        <w:numPr>
          <w:ilvl w:val="0"/>
          <w:numId w:val="2"/>
        </w:numPr>
        <w:rPr>
          <w:lang w:val="es-DO"/>
        </w:rPr>
      </w:pPr>
      <w:r w:rsidRPr="00A825D2">
        <w:rPr>
          <w:b/>
          <w:bCs/>
          <w:lang w:val="es-DO"/>
        </w:rPr>
        <w:t>Definición del objetivo, alcance y límites del sistema.</w:t>
      </w:r>
    </w:p>
    <w:p w14:paraId="65871AD6" w14:textId="77777777" w:rsidR="00A825D2" w:rsidRPr="00A825D2" w:rsidRDefault="00A825D2" w:rsidP="00A825D2">
      <w:pPr>
        <w:numPr>
          <w:ilvl w:val="0"/>
          <w:numId w:val="2"/>
        </w:numPr>
        <w:rPr>
          <w:lang w:val="es-DO"/>
        </w:rPr>
      </w:pPr>
      <w:r w:rsidRPr="00A825D2">
        <w:rPr>
          <w:b/>
          <w:bCs/>
          <w:lang w:val="es-DO"/>
        </w:rPr>
        <w:t>Análisis de inventario</w:t>
      </w:r>
      <w:r w:rsidRPr="00A825D2">
        <w:rPr>
          <w:lang w:val="es-DO"/>
        </w:rPr>
        <w:t xml:space="preserve"> de entradas y salidas.</w:t>
      </w:r>
    </w:p>
    <w:p w14:paraId="0B1D7E54" w14:textId="77777777" w:rsidR="00A825D2" w:rsidRPr="00A825D2" w:rsidRDefault="00A825D2" w:rsidP="00A825D2">
      <w:pPr>
        <w:numPr>
          <w:ilvl w:val="0"/>
          <w:numId w:val="2"/>
        </w:numPr>
      </w:pPr>
      <w:proofErr w:type="spellStart"/>
      <w:r w:rsidRPr="00A825D2">
        <w:rPr>
          <w:b/>
          <w:bCs/>
        </w:rPr>
        <w:t>Evaluación</w:t>
      </w:r>
      <w:proofErr w:type="spellEnd"/>
      <w:r w:rsidRPr="00A825D2">
        <w:rPr>
          <w:b/>
          <w:bCs/>
        </w:rPr>
        <w:t xml:space="preserve"> de </w:t>
      </w:r>
      <w:proofErr w:type="spellStart"/>
      <w:r w:rsidRPr="00A825D2">
        <w:rPr>
          <w:b/>
          <w:bCs/>
        </w:rPr>
        <w:t>impactos</w:t>
      </w:r>
      <w:proofErr w:type="spellEnd"/>
      <w:r w:rsidRPr="00A825D2">
        <w:rPr>
          <w:b/>
          <w:bCs/>
        </w:rPr>
        <w:t xml:space="preserve"> </w:t>
      </w:r>
      <w:proofErr w:type="spellStart"/>
      <w:r w:rsidRPr="00A825D2">
        <w:rPr>
          <w:b/>
          <w:bCs/>
        </w:rPr>
        <w:t>ambientales</w:t>
      </w:r>
      <w:proofErr w:type="spellEnd"/>
      <w:r w:rsidRPr="00A825D2">
        <w:rPr>
          <w:b/>
          <w:bCs/>
        </w:rPr>
        <w:t>.</w:t>
      </w:r>
    </w:p>
    <w:p w14:paraId="0584164A" w14:textId="77777777" w:rsidR="00A825D2" w:rsidRPr="00A825D2" w:rsidRDefault="00A825D2" w:rsidP="00A825D2">
      <w:pPr>
        <w:numPr>
          <w:ilvl w:val="0"/>
          <w:numId w:val="2"/>
        </w:numPr>
        <w:rPr>
          <w:lang w:val="es-DO"/>
        </w:rPr>
      </w:pPr>
      <w:r w:rsidRPr="00A825D2">
        <w:rPr>
          <w:b/>
          <w:bCs/>
          <w:lang w:val="es-DO"/>
        </w:rPr>
        <w:t>Interpretación de resultados</w:t>
      </w:r>
      <w:r w:rsidRPr="00A825D2">
        <w:rPr>
          <w:lang w:val="es-DO"/>
        </w:rPr>
        <w:t xml:space="preserve"> y propuestas de mejora.</w:t>
      </w:r>
    </w:p>
    <w:p w14:paraId="3757CA15" w14:textId="77777777" w:rsidR="00A825D2" w:rsidRPr="00A825D2" w:rsidRDefault="00C45F27" w:rsidP="00A825D2">
      <w:r>
        <w:pict w14:anchorId="3DED7A41">
          <v:rect id="_x0000_i1027" style="width:0;height:1.5pt" o:hralign="center" o:hrstd="t" o:hr="t" fillcolor="#a0a0a0" stroked="f"/>
        </w:pict>
      </w:r>
    </w:p>
    <w:p w14:paraId="3DF0601F" w14:textId="77777777" w:rsidR="00A825D2" w:rsidRPr="00A825D2" w:rsidRDefault="00A825D2" w:rsidP="00A825D2">
      <w:pPr>
        <w:rPr>
          <w:b/>
          <w:bCs/>
          <w:lang w:val="es-DO"/>
        </w:rPr>
      </w:pPr>
      <w:r w:rsidRPr="00A825D2">
        <w:rPr>
          <w:b/>
          <w:bCs/>
          <w:lang w:val="es-DO"/>
        </w:rPr>
        <w:t>Figura 2 – Límites del sistema y diagrama de flujo del proceso</w:t>
      </w:r>
    </w:p>
    <w:p w14:paraId="3F1B3A10" w14:textId="0DA35589" w:rsidR="00A825D2" w:rsidRPr="00A825D2" w:rsidRDefault="00A825D2" w:rsidP="00A825D2">
      <w:pPr>
        <w:rPr>
          <w:lang w:val="es-DO"/>
        </w:rPr>
      </w:pPr>
      <w:r w:rsidRPr="00A825D2">
        <w:rPr>
          <w:lang w:val="es-DO"/>
        </w:rPr>
        <w:t xml:space="preserve">El </w:t>
      </w:r>
      <w:r w:rsidRPr="00A825D2">
        <w:rPr>
          <w:b/>
          <w:bCs/>
          <w:lang w:val="es-DO"/>
        </w:rPr>
        <w:t>límite del sistema</w:t>
      </w:r>
      <w:r w:rsidRPr="00A825D2">
        <w:rPr>
          <w:lang w:val="es-DO"/>
        </w:rPr>
        <w:t xml:space="preserve"> incluye:</w:t>
      </w:r>
    </w:p>
    <w:p w14:paraId="128F3F4C" w14:textId="77777777" w:rsidR="00A825D2" w:rsidRPr="00A825D2" w:rsidRDefault="00A825D2" w:rsidP="00A825D2">
      <w:pPr>
        <w:numPr>
          <w:ilvl w:val="0"/>
          <w:numId w:val="3"/>
        </w:numPr>
        <w:rPr>
          <w:lang w:val="es-DO"/>
        </w:rPr>
      </w:pPr>
      <w:r w:rsidRPr="00A825D2">
        <w:rPr>
          <w:lang w:val="es-DO"/>
        </w:rPr>
        <w:t>Extracción y producción de materias primas.</w:t>
      </w:r>
    </w:p>
    <w:p w14:paraId="1C7C0507" w14:textId="77777777" w:rsidR="00A825D2" w:rsidRPr="00A825D2" w:rsidRDefault="00A825D2" w:rsidP="00A825D2">
      <w:pPr>
        <w:numPr>
          <w:ilvl w:val="0"/>
          <w:numId w:val="3"/>
        </w:numPr>
      </w:pPr>
      <w:r w:rsidRPr="00A825D2">
        <w:t xml:space="preserve">Transporte de </w:t>
      </w:r>
      <w:proofErr w:type="spellStart"/>
      <w:r w:rsidRPr="00A825D2">
        <w:t>materias</w:t>
      </w:r>
      <w:proofErr w:type="spellEnd"/>
      <w:r w:rsidRPr="00A825D2">
        <w:t xml:space="preserve"> </w:t>
      </w:r>
      <w:proofErr w:type="spellStart"/>
      <w:r w:rsidRPr="00A825D2">
        <w:t>primas</w:t>
      </w:r>
      <w:proofErr w:type="spellEnd"/>
      <w:r w:rsidRPr="00A825D2">
        <w:t>.</w:t>
      </w:r>
    </w:p>
    <w:p w14:paraId="5CD99CC8" w14:textId="77777777" w:rsidR="00A825D2" w:rsidRPr="00A825D2" w:rsidRDefault="00A825D2" w:rsidP="00A825D2">
      <w:pPr>
        <w:numPr>
          <w:ilvl w:val="0"/>
          <w:numId w:val="3"/>
        </w:numPr>
        <w:rPr>
          <w:lang w:val="es-DO"/>
        </w:rPr>
      </w:pPr>
      <w:r w:rsidRPr="00A825D2">
        <w:rPr>
          <w:lang w:val="es-DO"/>
        </w:rPr>
        <w:lastRenderedPageBreak/>
        <w:t>Preparación y fusión en horno de inducción.</w:t>
      </w:r>
    </w:p>
    <w:p w14:paraId="23608A30" w14:textId="77777777" w:rsidR="00A825D2" w:rsidRPr="00A825D2" w:rsidRDefault="00A825D2" w:rsidP="00A825D2">
      <w:pPr>
        <w:numPr>
          <w:ilvl w:val="0"/>
          <w:numId w:val="3"/>
        </w:numPr>
      </w:pPr>
      <w:r w:rsidRPr="00A825D2">
        <w:t>Planta de colada continua.</w:t>
      </w:r>
    </w:p>
    <w:p w14:paraId="49A20BA2" w14:textId="0B91EA3B" w:rsidR="00A825D2" w:rsidRPr="00A825D2" w:rsidRDefault="00A825D2" w:rsidP="00A825D2">
      <w:pPr>
        <w:numPr>
          <w:ilvl w:val="0"/>
          <w:numId w:val="3"/>
        </w:numPr>
        <w:rPr>
          <w:lang w:val="es-DO"/>
        </w:rPr>
      </w:pPr>
      <w:r w:rsidRPr="00A825D2">
        <w:rPr>
          <w:lang w:val="es-DO"/>
        </w:rPr>
        <w:t xml:space="preserve">Fabricación del </w:t>
      </w:r>
      <w:proofErr w:type="spellStart"/>
      <w:r w:rsidRPr="00A825D2">
        <w:rPr>
          <w:b/>
          <w:bCs/>
          <w:lang w:val="es-DO"/>
        </w:rPr>
        <w:t>steel</w:t>
      </w:r>
      <w:proofErr w:type="spellEnd"/>
      <w:r w:rsidRPr="00A825D2">
        <w:rPr>
          <w:b/>
          <w:bCs/>
          <w:lang w:val="es-DO"/>
        </w:rPr>
        <w:t xml:space="preserve"> </w:t>
      </w:r>
      <w:proofErr w:type="spellStart"/>
      <w:r w:rsidRPr="00A825D2">
        <w:rPr>
          <w:b/>
          <w:bCs/>
          <w:lang w:val="es-DO"/>
        </w:rPr>
        <w:t>billet</w:t>
      </w:r>
      <w:proofErr w:type="spellEnd"/>
    </w:p>
    <w:p w14:paraId="68A52888" w14:textId="77777777" w:rsidR="00A825D2" w:rsidRPr="00A825D2" w:rsidRDefault="00A825D2" w:rsidP="00A825D2">
      <w:pPr>
        <w:numPr>
          <w:ilvl w:val="0"/>
          <w:numId w:val="3"/>
        </w:numPr>
      </w:pPr>
      <w:r w:rsidRPr="00A825D2">
        <w:t xml:space="preserve">Laminación </w:t>
      </w:r>
      <w:proofErr w:type="spellStart"/>
      <w:r w:rsidRPr="00A825D2">
        <w:t>en</w:t>
      </w:r>
      <w:proofErr w:type="spellEnd"/>
      <w:r w:rsidRPr="00A825D2">
        <w:t xml:space="preserve"> caliente.</w:t>
      </w:r>
    </w:p>
    <w:p w14:paraId="2310CBB7" w14:textId="77777777" w:rsidR="00A825D2" w:rsidRPr="00A825D2" w:rsidRDefault="00A825D2" w:rsidP="00A825D2">
      <w:pPr>
        <w:numPr>
          <w:ilvl w:val="0"/>
          <w:numId w:val="3"/>
        </w:numPr>
        <w:rPr>
          <w:lang w:val="es-DO"/>
        </w:rPr>
      </w:pPr>
      <w:r w:rsidRPr="00A825D2">
        <w:rPr>
          <w:lang w:val="es-DO"/>
        </w:rPr>
        <w:t xml:space="preserve">Producción final de </w:t>
      </w:r>
      <w:r w:rsidRPr="00A825D2">
        <w:rPr>
          <w:b/>
          <w:bCs/>
          <w:lang w:val="es-DO"/>
        </w:rPr>
        <w:t>varillas de acero (</w:t>
      </w:r>
      <w:proofErr w:type="spellStart"/>
      <w:r w:rsidRPr="00A825D2">
        <w:rPr>
          <w:b/>
          <w:bCs/>
          <w:lang w:val="es-DO"/>
        </w:rPr>
        <w:t>steel</w:t>
      </w:r>
      <w:proofErr w:type="spellEnd"/>
      <w:r w:rsidRPr="00A825D2">
        <w:rPr>
          <w:b/>
          <w:bCs/>
          <w:lang w:val="es-DO"/>
        </w:rPr>
        <w:t xml:space="preserve"> </w:t>
      </w:r>
      <w:proofErr w:type="spellStart"/>
      <w:r w:rsidRPr="00A825D2">
        <w:rPr>
          <w:b/>
          <w:bCs/>
          <w:lang w:val="es-DO"/>
        </w:rPr>
        <w:t>rebar</w:t>
      </w:r>
      <w:proofErr w:type="spellEnd"/>
      <w:r w:rsidRPr="00A825D2">
        <w:rPr>
          <w:b/>
          <w:bCs/>
          <w:lang w:val="es-DO"/>
        </w:rPr>
        <w:t>).</w:t>
      </w:r>
    </w:p>
    <w:p w14:paraId="5663EAF2" w14:textId="77777777" w:rsidR="00A825D2" w:rsidRPr="00A825D2" w:rsidRDefault="00A825D2" w:rsidP="00A825D2">
      <w:pPr>
        <w:rPr>
          <w:lang w:val="es-DO"/>
        </w:rPr>
      </w:pPr>
      <w:r w:rsidRPr="00A825D2">
        <w:rPr>
          <w:lang w:val="es-DO"/>
        </w:rPr>
        <w:t>Los residuos valiosos generados (polvo de filtros, escoria y residuos refractarios) fueron enviados a otras fábricas y quedaron fuera del alcance del estudio. También se excluyeron la infraestructura y la fase de fin de vida.</w:t>
      </w:r>
    </w:p>
    <w:p w14:paraId="523919FC" w14:textId="77777777" w:rsidR="00A825D2" w:rsidRPr="00A825D2" w:rsidRDefault="00A825D2" w:rsidP="00A825D2">
      <w:pPr>
        <w:rPr>
          <w:lang w:val="es-DO"/>
        </w:rPr>
      </w:pPr>
      <w:r w:rsidRPr="00A825D2">
        <w:rPr>
          <w:lang w:val="es-DO"/>
        </w:rPr>
        <w:t xml:space="preserve">La </w:t>
      </w:r>
      <w:r w:rsidRPr="00A825D2">
        <w:rPr>
          <w:b/>
          <w:bCs/>
          <w:lang w:val="es-DO"/>
        </w:rPr>
        <w:t>unidad funcional</w:t>
      </w:r>
      <w:r w:rsidRPr="00A825D2">
        <w:rPr>
          <w:lang w:val="es-DO"/>
        </w:rPr>
        <w:t xml:space="preserve"> considerada fue la producción de </w:t>
      </w:r>
      <w:r w:rsidRPr="00A825D2">
        <w:rPr>
          <w:b/>
          <w:bCs/>
          <w:lang w:val="es-DO"/>
        </w:rPr>
        <w:t>1 tonelada de varillas de acero</w:t>
      </w:r>
      <w:r w:rsidRPr="00A825D2">
        <w:rPr>
          <w:lang w:val="es-DO"/>
        </w:rPr>
        <w:t>.</w:t>
      </w:r>
    </w:p>
    <w:p w14:paraId="554C8419" w14:textId="77777777" w:rsidR="00A825D2" w:rsidRDefault="00A825D2">
      <w:pPr>
        <w:rPr>
          <w:lang w:val="es-DO"/>
        </w:rPr>
      </w:pPr>
    </w:p>
    <w:p w14:paraId="1DFD0B20" w14:textId="714B1AB6" w:rsidR="00A825D2" w:rsidRDefault="00A825D2">
      <w:pPr>
        <w:rPr>
          <w:lang w:val="es-DO"/>
        </w:rPr>
      </w:pPr>
      <w:r>
        <w:rPr>
          <w:lang w:val="es-DO"/>
        </w:rPr>
        <w:t>Tablas sobre insumos para la fabricación:</w:t>
      </w:r>
    </w:p>
    <w:p w14:paraId="521D868D" w14:textId="77D38736" w:rsidR="00A825D2" w:rsidRPr="00A825D2" w:rsidRDefault="00A825D2" w:rsidP="00A825D2">
      <w:pPr>
        <w:rPr>
          <w:b/>
          <w:bCs/>
          <w:lang w:val="es-DO"/>
        </w:rPr>
      </w:pPr>
      <w:r w:rsidRPr="00A825D2">
        <w:rPr>
          <w:b/>
          <w:bCs/>
          <w:lang w:val="es-DO"/>
        </w:rPr>
        <w:t xml:space="preserve">1. Insumos en la producción de 1 tonelada de (Steel </w:t>
      </w:r>
      <w:proofErr w:type="spellStart"/>
      <w:r w:rsidRPr="00A825D2">
        <w:rPr>
          <w:b/>
          <w:bCs/>
          <w:lang w:val="es-DO"/>
        </w:rPr>
        <w:t>Billet</w:t>
      </w:r>
      <w:proofErr w:type="spellEnd"/>
      <w:r w:rsidRPr="00A825D2">
        <w:rPr>
          <w:b/>
          <w:bCs/>
          <w:lang w:val="es-DO"/>
        </w:rPr>
        <w:t>)</w:t>
      </w:r>
    </w:p>
    <w:p w14:paraId="51BFA8C3" w14:textId="77777777" w:rsidR="00A825D2" w:rsidRPr="00A825D2" w:rsidRDefault="00A825D2" w:rsidP="00A825D2">
      <w:pPr>
        <w:rPr>
          <w:i/>
          <w:iCs/>
          <w:lang w:val="es-DO"/>
        </w:rPr>
      </w:pPr>
      <w:r w:rsidRPr="00A825D2">
        <w:rPr>
          <w:i/>
          <w:iCs/>
          <w:lang w:val="es-DO"/>
        </w:rPr>
        <w:t>(Fuente: Tabla 2 del artículo, pág. 3)</w:t>
      </w:r>
    </w:p>
    <w:p w14:paraId="40BA1D00" w14:textId="77777777" w:rsidR="00A825D2" w:rsidRPr="00A825D2" w:rsidRDefault="00A825D2" w:rsidP="00A825D2">
      <w:proofErr w:type="spellStart"/>
      <w:r w:rsidRPr="00A825D2">
        <w:rPr>
          <w:i/>
          <w:iCs/>
        </w:rPr>
        <w:t>Proceso</w:t>
      </w:r>
      <w:proofErr w:type="spellEnd"/>
      <w:r w:rsidRPr="00A825D2">
        <w:rPr>
          <w:i/>
          <w:iCs/>
        </w:rPr>
        <w:t xml:space="preserve"> </w:t>
      </w:r>
      <w:proofErr w:type="spellStart"/>
      <w:r w:rsidRPr="00A825D2">
        <w:rPr>
          <w:i/>
          <w:iCs/>
        </w:rPr>
        <w:t>Productivo</w:t>
      </w:r>
      <w:proofErr w:type="spellEnd"/>
      <w:r w:rsidRPr="00A825D2">
        <w:rPr>
          <w:i/>
          <w:iCs/>
        </w:rPr>
        <w:t xml:space="preserve"> - Paper </w:t>
      </w:r>
      <w:proofErr w:type="spellStart"/>
      <w:r w:rsidRPr="00A825D2">
        <w:rPr>
          <w:i/>
          <w:iCs/>
        </w:rPr>
        <w:t>Acad</w:t>
      </w:r>
      <w:proofErr w:type="spellEnd"/>
      <w:r w:rsidRPr="00A825D2">
        <w:rPr>
          <w:i/>
          <w:i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1"/>
        <w:gridCol w:w="845"/>
        <w:gridCol w:w="2046"/>
        <w:gridCol w:w="2978"/>
      </w:tblGrid>
      <w:tr w:rsidR="00A825D2" w:rsidRPr="00B929A0" w14:paraId="09E48A32" w14:textId="77777777">
        <w:trPr>
          <w:tblHeader/>
          <w:tblCellSpacing w:w="15" w:type="dxa"/>
        </w:trPr>
        <w:tc>
          <w:tcPr>
            <w:tcW w:w="0" w:type="auto"/>
            <w:vAlign w:val="center"/>
            <w:hideMark/>
          </w:tcPr>
          <w:p w14:paraId="3EF772E0" w14:textId="77777777" w:rsidR="00A825D2" w:rsidRPr="00A825D2" w:rsidRDefault="00A825D2" w:rsidP="00A825D2">
            <w:pPr>
              <w:rPr>
                <w:b/>
                <w:bCs/>
              </w:rPr>
            </w:pPr>
            <w:proofErr w:type="spellStart"/>
            <w:r w:rsidRPr="00A825D2">
              <w:rPr>
                <w:b/>
                <w:bCs/>
              </w:rPr>
              <w:t>Insumo</w:t>
            </w:r>
            <w:proofErr w:type="spellEnd"/>
          </w:p>
        </w:tc>
        <w:tc>
          <w:tcPr>
            <w:tcW w:w="0" w:type="auto"/>
            <w:vAlign w:val="center"/>
            <w:hideMark/>
          </w:tcPr>
          <w:p w14:paraId="35FEC81A" w14:textId="77777777" w:rsidR="00A825D2" w:rsidRPr="00A825D2" w:rsidRDefault="00A825D2" w:rsidP="00A825D2">
            <w:pPr>
              <w:rPr>
                <w:b/>
                <w:bCs/>
              </w:rPr>
            </w:pPr>
            <w:r w:rsidRPr="00A825D2">
              <w:rPr>
                <w:b/>
                <w:bCs/>
              </w:rPr>
              <w:t>Unidad</w:t>
            </w:r>
          </w:p>
        </w:tc>
        <w:tc>
          <w:tcPr>
            <w:tcW w:w="0" w:type="auto"/>
            <w:vAlign w:val="center"/>
            <w:hideMark/>
          </w:tcPr>
          <w:p w14:paraId="0A4F674A" w14:textId="77777777" w:rsidR="00A825D2" w:rsidRPr="00A825D2" w:rsidRDefault="00A825D2" w:rsidP="00A825D2">
            <w:pPr>
              <w:rPr>
                <w:b/>
                <w:bCs/>
              </w:rPr>
            </w:pPr>
            <w:proofErr w:type="spellStart"/>
            <w:r w:rsidRPr="00A825D2">
              <w:rPr>
                <w:b/>
                <w:bCs/>
              </w:rPr>
              <w:t>Cantidad</w:t>
            </w:r>
            <w:proofErr w:type="spellEnd"/>
            <w:r w:rsidRPr="00A825D2">
              <w:rPr>
                <w:b/>
                <w:bCs/>
              </w:rPr>
              <w:t xml:space="preserve"> </w:t>
            </w:r>
            <w:proofErr w:type="spellStart"/>
            <w:r w:rsidRPr="00A825D2">
              <w:rPr>
                <w:b/>
                <w:bCs/>
              </w:rPr>
              <w:t>aproximada</w:t>
            </w:r>
            <w:proofErr w:type="spellEnd"/>
          </w:p>
        </w:tc>
        <w:tc>
          <w:tcPr>
            <w:tcW w:w="0" w:type="auto"/>
            <w:vAlign w:val="center"/>
            <w:hideMark/>
          </w:tcPr>
          <w:p w14:paraId="233A2D32" w14:textId="77777777" w:rsidR="00A825D2" w:rsidRPr="00A825D2" w:rsidRDefault="00A825D2" w:rsidP="00A825D2">
            <w:pPr>
              <w:rPr>
                <w:b/>
                <w:bCs/>
                <w:lang w:val="es-DO"/>
              </w:rPr>
            </w:pPr>
            <w:r w:rsidRPr="00A825D2">
              <w:rPr>
                <w:b/>
                <w:bCs/>
                <w:lang w:val="es-DO"/>
              </w:rPr>
              <w:t>Distancia media de transporte (km)</w:t>
            </w:r>
          </w:p>
        </w:tc>
      </w:tr>
      <w:tr w:rsidR="00A825D2" w:rsidRPr="00A825D2" w14:paraId="08D32D79" w14:textId="77777777">
        <w:trPr>
          <w:tblCellSpacing w:w="15" w:type="dxa"/>
        </w:trPr>
        <w:tc>
          <w:tcPr>
            <w:tcW w:w="0" w:type="auto"/>
            <w:vAlign w:val="center"/>
            <w:hideMark/>
          </w:tcPr>
          <w:p w14:paraId="1F964807" w14:textId="77777777" w:rsidR="00A825D2" w:rsidRPr="00A825D2" w:rsidRDefault="00A825D2" w:rsidP="00A825D2">
            <w:proofErr w:type="spellStart"/>
            <w:r w:rsidRPr="00A825D2">
              <w:t>Chatarra</w:t>
            </w:r>
            <w:proofErr w:type="spellEnd"/>
            <w:r w:rsidRPr="00A825D2">
              <w:t xml:space="preserve"> de </w:t>
            </w:r>
            <w:proofErr w:type="spellStart"/>
            <w:r w:rsidRPr="00A825D2">
              <w:t>hierro</w:t>
            </w:r>
            <w:proofErr w:type="spellEnd"/>
          </w:p>
        </w:tc>
        <w:tc>
          <w:tcPr>
            <w:tcW w:w="0" w:type="auto"/>
            <w:vAlign w:val="center"/>
            <w:hideMark/>
          </w:tcPr>
          <w:p w14:paraId="6356004B" w14:textId="77777777" w:rsidR="00A825D2" w:rsidRPr="00A825D2" w:rsidRDefault="00A825D2" w:rsidP="00A825D2">
            <w:r w:rsidRPr="00A825D2">
              <w:t>kg/t</w:t>
            </w:r>
          </w:p>
        </w:tc>
        <w:tc>
          <w:tcPr>
            <w:tcW w:w="0" w:type="auto"/>
            <w:vAlign w:val="center"/>
            <w:hideMark/>
          </w:tcPr>
          <w:p w14:paraId="75562F95" w14:textId="77777777" w:rsidR="00A825D2" w:rsidRPr="00A825D2" w:rsidRDefault="00A825D2" w:rsidP="00A825D2">
            <w:r w:rsidRPr="00A825D2">
              <w:t>1,075</w:t>
            </w:r>
          </w:p>
        </w:tc>
        <w:tc>
          <w:tcPr>
            <w:tcW w:w="0" w:type="auto"/>
            <w:vAlign w:val="center"/>
            <w:hideMark/>
          </w:tcPr>
          <w:p w14:paraId="066C6E61" w14:textId="77777777" w:rsidR="00A825D2" w:rsidRPr="00A825D2" w:rsidRDefault="00A825D2" w:rsidP="00A825D2">
            <w:r w:rsidRPr="00A825D2">
              <w:t>245</w:t>
            </w:r>
          </w:p>
        </w:tc>
      </w:tr>
      <w:tr w:rsidR="00A825D2" w:rsidRPr="00A825D2" w14:paraId="4591C0CA" w14:textId="77777777">
        <w:trPr>
          <w:tblCellSpacing w:w="15" w:type="dxa"/>
        </w:trPr>
        <w:tc>
          <w:tcPr>
            <w:tcW w:w="0" w:type="auto"/>
            <w:vAlign w:val="center"/>
            <w:hideMark/>
          </w:tcPr>
          <w:p w14:paraId="28843135" w14:textId="77777777" w:rsidR="00A825D2" w:rsidRPr="00A825D2" w:rsidRDefault="00A825D2" w:rsidP="00A825D2">
            <w:proofErr w:type="spellStart"/>
            <w:r w:rsidRPr="00A825D2">
              <w:t>Ferrosilicio</w:t>
            </w:r>
            <w:proofErr w:type="spellEnd"/>
          </w:p>
        </w:tc>
        <w:tc>
          <w:tcPr>
            <w:tcW w:w="0" w:type="auto"/>
            <w:vAlign w:val="center"/>
            <w:hideMark/>
          </w:tcPr>
          <w:p w14:paraId="72608535" w14:textId="77777777" w:rsidR="00A825D2" w:rsidRPr="00A825D2" w:rsidRDefault="00A825D2" w:rsidP="00A825D2">
            <w:r w:rsidRPr="00A825D2">
              <w:t>kg/t</w:t>
            </w:r>
          </w:p>
        </w:tc>
        <w:tc>
          <w:tcPr>
            <w:tcW w:w="0" w:type="auto"/>
            <w:vAlign w:val="center"/>
            <w:hideMark/>
          </w:tcPr>
          <w:p w14:paraId="7BE342FA" w14:textId="77777777" w:rsidR="00A825D2" w:rsidRPr="00A825D2" w:rsidRDefault="00A825D2" w:rsidP="00A825D2">
            <w:r w:rsidRPr="00A825D2">
              <w:t>3.0</w:t>
            </w:r>
          </w:p>
        </w:tc>
        <w:tc>
          <w:tcPr>
            <w:tcW w:w="0" w:type="auto"/>
            <w:vAlign w:val="center"/>
            <w:hideMark/>
          </w:tcPr>
          <w:p w14:paraId="588D736B" w14:textId="77777777" w:rsidR="00A825D2" w:rsidRPr="00A825D2" w:rsidRDefault="00A825D2" w:rsidP="00A825D2">
            <w:r w:rsidRPr="00A825D2">
              <w:t>220</w:t>
            </w:r>
          </w:p>
        </w:tc>
      </w:tr>
      <w:tr w:rsidR="00A825D2" w:rsidRPr="00A825D2" w14:paraId="689439AE" w14:textId="77777777">
        <w:trPr>
          <w:tblCellSpacing w:w="15" w:type="dxa"/>
        </w:trPr>
        <w:tc>
          <w:tcPr>
            <w:tcW w:w="0" w:type="auto"/>
            <w:vAlign w:val="center"/>
            <w:hideMark/>
          </w:tcPr>
          <w:p w14:paraId="039DD4F6" w14:textId="77777777" w:rsidR="00A825D2" w:rsidRPr="00A825D2" w:rsidRDefault="00A825D2" w:rsidP="00A825D2">
            <w:proofErr w:type="spellStart"/>
            <w:r w:rsidRPr="00A825D2">
              <w:t>Ferromanganeso</w:t>
            </w:r>
            <w:proofErr w:type="spellEnd"/>
            <w:r w:rsidRPr="00A825D2">
              <w:t xml:space="preserve"> de </w:t>
            </w:r>
            <w:proofErr w:type="spellStart"/>
            <w:r w:rsidRPr="00A825D2">
              <w:t>silicio</w:t>
            </w:r>
            <w:proofErr w:type="spellEnd"/>
          </w:p>
        </w:tc>
        <w:tc>
          <w:tcPr>
            <w:tcW w:w="0" w:type="auto"/>
            <w:vAlign w:val="center"/>
            <w:hideMark/>
          </w:tcPr>
          <w:p w14:paraId="58FF9118" w14:textId="77777777" w:rsidR="00A825D2" w:rsidRPr="00A825D2" w:rsidRDefault="00A825D2" w:rsidP="00A825D2">
            <w:r w:rsidRPr="00A825D2">
              <w:t>kg/t</w:t>
            </w:r>
          </w:p>
        </w:tc>
        <w:tc>
          <w:tcPr>
            <w:tcW w:w="0" w:type="auto"/>
            <w:vAlign w:val="center"/>
            <w:hideMark/>
          </w:tcPr>
          <w:p w14:paraId="5F6E3A9B" w14:textId="77777777" w:rsidR="00A825D2" w:rsidRPr="00A825D2" w:rsidRDefault="00A825D2" w:rsidP="00A825D2">
            <w:r w:rsidRPr="00A825D2">
              <w:t>8.0</w:t>
            </w:r>
          </w:p>
        </w:tc>
        <w:tc>
          <w:tcPr>
            <w:tcW w:w="0" w:type="auto"/>
            <w:vAlign w:val="center"/>
            <w:hideMark/>
          </w:tcPr>
          <w:p w14:paraId="22CB33F0" w14:textId="77777777" w:rsidR="00A825D2" w:rsidRPr="00A825D2" w:rsidRDefault="00A825D2" w:rsidP="00A825D2">
            <w:r w:rsidRPr="00A825D2">
              <w:t>220</w:t>
            </w:r>
          </w:p>
        </w:tc>
      </w:tr>
      <w:tr w:rsidR="00A825D2" w:rsidRPr="00A825D2" w14:paraId="3150BE87" w14:textId="77777777">
        <w:trPr>
          <w:tblCellSpacing w:w="15" w:type="dxa"/>
        </w:trPr>
        <w:tc>
          <w:tcPr>
            <w:tcW w:w="0" w:type="auto"/>
            <w:vAlign w:val="center"/>
            <w:hideMark/>
          </w:tcPr>
          <w:p w14:paraId="1975AA98" w14:textId="77777777" w:rsidR="00A825D2" w:rsidRPr="00A825D2" w:rsidRDefault="00A825D2" w:rsidP="00A825D2">
            <w:r w:rsidRPr="00A825D2">
              <w:t xml:space="preserve">Material </w:t>
            </w:r>
            <w:proofErr w:type="spellStart"/>
            <w:r w:rsidRPr="00A825D2">
              <w:t>refractario</w:t>
            </w:r>
            <w:proofErr w:type="spellEnd"/>
          </w:p>
        </w:tc>
        <w:tc>
          <w:tcPr>
            <w:tcW w:w="0" w:type="auto"/>
            <w:vAlign w:val="center"/>
            <w:hideMark/>
          </w:tcPr>
          <w:p w14:paraId="521E4FA7" w14:textId="77777777" w:rsidR="00A825D2" w:rsidRPr="00A825D2" w:rsidRDefault="00A825D2" w:rsidP="00A825D2">
            <w:r w:rsidRPr="00A825D2">
              <w:t>kg/t</w:t>
            </w:r>
          </w:p>
        </w:tc>
        <w:tc>
          <w:tcPr>
            <w:tcW w:w="0" w:type="auto"/>
            <w:vAlign w:val="center"/>
            <w:hideMark/>
          </w:tcPr>
          <w:p w14:paraId="6FE2899D" w14:textId="77777777" w:rsidR="00A825D2" w:rsidRPr="00A825D2" w:rsidRDefault="00A825D2" w:rsidP="00A825D2">
            <w:r w:rsidRPr="00A825D2">
              <w:t>14.0</w:t>
            </w:r>
          </w:p>
        </w:tc>
        <w:tc>
          <w:tcPr>
            <w:tcW w:w="0" w:type="auto"/>
            <w:vAlign w:val="center"/>
            <w:hideMark/>
          </w:tcPr>
          <w:p w14:paraId="60C644F8" w14:textId="77777777" w:rsidR="00A825D2" w:rsidRPr="00A825D2" w:rsidRDefault="00A825D2" w:rsidP="00A825D2">
            <w:r w:rsidRPr="00A825D2">
              <w:t>70</w:t>
            </w:r>
          </w:p>
        </w:tc>
      </w:tr>
      <w:tr w:rsidR="00A825D2" w:rsidRPr="00A825D2" w14:paraId="647D6D1D" w14:textId="77777777">
        <w:trPr>
          <w:tblCellSpacing w:w="15" w:type="dxa"/>
        </w:trPr>
        <w:tc>
          <w:tcPr>
            <w:tcW w:w="0" w:type="auto"/>
            <w:vAlign w:val="center"/>
            <w:hideMark/>
          </w:tcPr>
          <w:p w14:paraId="01AA121F" w14:textId="77777777" w:rsidR="00A825D2" w:rsidRPr="00A825D2" w:rsidRDefault="00A825D2" w:rsidP="00A825D2">
            <w:pPr>
              <w:rPr>
                <w:lang w:val="es-DO"/>
              </w:rPr>
            </w:pPr>
            <w:r w:rsidRPr="00A825D2">
              <w:rPr>
                <w:lang w:val="es-DO"/>
              </w:rPr>
              <w:t>Negro de humo (</w:t>
            </w:r>
            <w:proofErr w:type="spellStart"/>
            <w:r w:rsidRPr="00A825D2">
              <w:rPr>
                <w:lang w:val="es-DO"/>
              </w:rPr>
              <w:t>carbon</w:t>
            </w:r>
            <w:proofErr w:type="spellEnd"/>
            <w:r w:rsidRPr="00A825D2">
              <w:rPr>
                <w:lang w:val="es-DO"/>
              </w:rPr>
              <w:t xml:space="preserve"> </w:t>
            </w:r>
            <w:proofErr w:type="spellStart"/>
            <w:r w:rsidRPr="00A825D2">
              <w:rPr>
                <w:lang w:val="es-DO"/>
              </w:rPr>
              <w:t>black</w:t>
            </w:r>
            <w:proofErr w:type="spellEnd"/>
            <w:r w:rsidRPr="00A825D2">
              <w:rPr>
                <w:lang w:val="es-DO"/>
              </w:rPr>
              <w:t>)</w:t>
            </w:r>
          </w:p>
        </w:tc>
        <w:tc>
          <w:tcPr>
            <w:tcW w:w="0" w:type="auto"/>
            <w:vAlign w:val="center"/>
            <w:hideMark/>
          </w:tcPr>
          <w:p w14:paraId="7485D0E7" w14:textId="77777777" w:rsidR="00A825D2" w:rsidRPr="00A825D2" w:rsidRDefault="00A825D2" w:rsidP="00A825D2">
            <w:r w:rsidRPr="00A825D2">
              <w:t>kg/t</w:t>
            </w:r>
          </w:p>
        </w:tc>
        <w:tc>
          <w:tcPr>
            <w:tcW w:w="0" w:type="auto"/>
            <w:vAlign w:val="center"/>
            <w:hideMark/>
          </w:tcPr>
          <w:p w14:paraId="4CAC1D1D" w14:textId="77777777" w:rsidR="00A825D2" w:rsidRPr="00A825D2" w:rsidRDefault="00A825D2" w:rsidP="00A825D2">
            <w:r w:rsidRPr="00A825D2">
              <w:t>1.3</w:t>
            </w:r>
          </w:p>
        </w:tc>
        <w:tc>
          <w:tcPr>
            <w:tcW w:w="0" w:type="auto"/>
            <w:vAlign w:val="center"/>
            <w:hideMark/>
          </w:tcPr>
          <w:p w14:paraId="01E5B5D5" w14:textId="77777777" w:rsidR="00A825D2" w:rsidRPr="00A825D2" w:rsidRDefault="00A825D2" w:rsidP="00A825D2">
            <w:r w:rsidRPr="00A825D2">
              <w:t>200</w:t>
            </w:r>
          </w:p>
        </w:tc>
      </w:tr>
      <w:tr w:rsidR="00A825D2" w:rsidRPr="00A825D2" w14:paraId="3CE4F771" w14:textId="77777777">
        <w:trPr>
          <w:tblCellSpacing w:w="15" w:type="dxa"/>
        </w:trPr>
        <w:tc>
          <w:tcPr>
            <w:tcW w:w="0" w:type="auto"/>
            <w:vAlign w:val="center"/>
            <w:hideMark/>
          </w:tcPr>
          <w:p w14:paraId="3ACFEF58" w14:textId="77777777" w:rsidR="00A825D2" w:rsidRPr="00A825D2" w:rsidRDefault="00A825D2" w:rsidP="00A825D2">
            <w:proofErr w:type="spellStart"/>
            <w:r w:rsidRPr="00A825D2">
              <w:t>Espato</w:t>
            </w:r>
            <w:proofErr w:type="spellEnd"/>
            <w:r w:rsidRPr="00A825D2">
              <w:t xml:space="preserve"> </w:t>
            </w:r>
            <w:proofErr w:type="spellStart"/>
            <w:r w:rsidRPr="00A825D2">
              <w:t>flúor</w:t>
            </w:r>
            <w:proofErr w:type="spellEnd"/>
            <w:r w:rsidRPr="00A825D2">
              <w:t xml:space="preserve"> (fluorspar)</w:t>
            </w:r>
          </w:p>
        </w:tc>
        <w:tc>
          <w:tcPr>
            <w:tcW w:w="0" w:type="auto"/>
            <w:vAlign w:val="center"/>
            <w:hideMark/>
          </w:tcPr>
          <w:p w14:paraId="561DCC79" w14:textId="77777777" w:rsidR="00A825D2" w:rsidRPr="00A825D2" w:rsidRDefault="00A825D2" w:rsidP="00A825D2">
            <w:r w:rsidRPr="00A825D2">
              <w:t>kg/t</w:t>
            </w:r>
          </w:p>
        </w:tc>
        <w:tc>
          <w:tcPr>
            <w:tcW w:w="0" w:type="auto"/>
            <w:vAlign w:val="center"/>
            <w:hideMark/>
          </w:tcPr>
          <w:p w14:paraId="503A1F10" w14:textId="77777777" w:rsidR="00A825D2" w:rsidRPr="00A825D2" w:rsidRDefault="00A825D2" w:rsidP="00A825D2">
            <w:r w:rsidRPr="00A825D2">
              <w:t>0.5</w:t>
            </w:r>
          </w:p>
        </w:tc>
        <w:tc>
          <w:tcPr>
            <w:tcW w:w="0" w:type="auto"/>
            <w:vAlign w:val="center"/>
            <w:hideMark/>
          </w:tcPr>
          <w:p w14:paraId="60C6923C" w14:textId="77777777" w:rsidR="00A825D2" w:rsidRPr="00A825D2" w:rsidRDefault="00A825D2" w:rsidP="00A825D2">
            <w:r w:rsidRPr="00A825D2">
              <w:t>200</w:t>
            </w:r>
          </w:p>
        </w:tc>
      </w:tr>
      <w:tr w:rsidR="00A825D2" w:rsidRPr="00A825D2" w14:paraId="5EFCB1AF" w14:textId="77777777">
        <w:trPr>
          <w:tblCellSpacing w:w="15" w:type="dxa"/>
        </w:trPr>
        <w:tc>
          <w:tcPr>
            <w:tcW w:w="0" w:type="auto"/>
            <w:vAlign w:val="center"/>
            <w:hideMark/>
          </w:tcPr>
          <w:p w14:paraId="36F57641" w14:textId="77777777" w:rsidR="00A825D2" w:rsidRPr="00A825D2" w:rsidRDefault="00A825D2" w:rsidP="00A825D2">
            <w:proofErr w:type="spellStart"/>
            <w:r w:rsidRPr="00A825D2">
              <w:t>Caliza</w:t>
            </w:r>
            <w:proofErr w:type="spellEnd"/>
          </w:p>
        </w:tc>
        <w:tc>
          <w:tcPr>
            <w:tcW w:w="0" w:type="auto"/>
            <w:vAlign w:val="center"/>
            <w:hideMark/>
          </w:tcPr>
          <w:p w14:paraId="01C66B0B" w14:textId="77777777" w:rsidR="00A825D2" w:rsidRPr="00A825D2" w:rsidRDefault="00A825D2" w:rsidP="00A825D2">
            <w:r w:rsidRPr="00A825D2">
              <w:t>kg/t</w:t>
            </w:r>
          </w:p>
        </w:tc>
        <w:tc>
          <w:tcPr>
            <w:tcW w:w="0" w:type="auto"/>
            <w:vAlign w:val="center"/>
            <w:hideMark/>
          </w:tcPr>
          <w:p w14:paraId="340526CA" w14:textId="77777777" w:rsidR="00A825D2" w:rsidRPr="00A825D2" w:rsidRDefault="00A825D2" w:rsidP="00A825D2">
            <w:r w:rsidRPr="00A825D2">
              <w:t>20.0</w:t>
            </w:r>
          </w:p>
        </w:tc>
        <w:tc>
          <w:tcPr>
            <w:tcW w:w="0" w:type="auto"/>
            <w:vAlign w:val="center"/>
            <w:hideMark/>
          </w:tcPr>
          <w:p w14:paraId="44ADEA27" w14:textId="77777777" w:rsidR="00A825D2" w:rsidRPr="00A825D2" w:rsidRDefault="00A825D2" w:rsidP="00A825D2">
            <w:r w:rsidRPr="00A825D2">
              <w:t>400</w:t>
            </w:r>
          </w:p>
        </w:tc>
      </w:tr>
      <w:tr w:rsidR="00A825D2" w:rsidRPr="00A825D2" w14:paraId="787CD8A0" w14:textId="77777777">
        <w:trPr>
          <w:tblCellSpacing w:w="15" w:type="dxa"/>
        </w:trPr>
        <w:tc>
          <w:tcPr>
            <w:tcW w:w="0" w:type="auto"/>
            <w:vAlign w:val="center"/>
            <w:hideMark/>
          </w:tcPr>
          <w:p w14:paraId="1F396669" w14:textId="77777777" w:rsidR="00A825D2" w:rsidRPr="00A825D2" w:rsidRDefault="00A825D2" w:rsidP="00A825D2">
            <w:proofErr w:type="spellStart"/>
            <w:r w:rsidRPr="00A825D2">
              <w:t>Oxígeno</w:t>
            </w:r>
            <w:proofErr w:type="spellEnd"/>
            <w:r w:rsidRPr="00A825D2">
              <w:t xml:space="preserve"> </w:t>
            </w:r>
            <w:proofErr w:type="spellStart"/>
            <w:r w:rsidRPr="00A825D2">
              <w:t>líquido</w:t>
            </w:r>
            <w:proofErr w:type="spellEnd"/>
          </w:p>
        </w:tc>
        <w:tc>
          <w:tcPr>
            <w:tcW w:w="0" w:type="auto"/>
            <w:vAlign w:val="center"/>
            <w:hideMark/>
          </w:tcPr>
          <w:p w14:paraId="781A89D5" w14:textId="77777777" w:rsidR="00A825D2" w:rsidRPr="00A825D2" w:rsidRDefault="00A825D2" w:rsidP="00A825D2">
            <w:r w:rsidRPr="00A825D2">
              <w:t>kg/t</w:t>
            </w:r>
          </w:p>
        </w:tc>
        <w:tc>
          <w:tcPr>
            <w:tcW w:w="0" w:type="auto"/>
            <w:vAlign w:val="center"/>
            <w:hideMark/>
          </w:tcPr>
          <w:p w14:paraId="2D26995B" w14:textId="77777777" w:rsidR="00A825D2" w:rsidRPr="00A825D2" w:rsidRDefault="00A825D2" w:rsidP="00A825D2">
            <w:r w:rsidRPr="00A825D2">
              <w:t>2.9</w:t>
            </w:r>
          </w:p>
        </w:tc>
        <w:tc>
          <w:tcPr>
            <w:tcW w:w="0" w:type="auto"/>
            <w:vAlign w:val="center"/>
            <w:hideMark/>
          </w:tcPr>
          <w:p w14:paraId="3CD5FDF8" w14:textId="77777777" w:rsidR="00A825D2" w:rsidRPr="00A825D2" w:rsidRDefault="00A825D2" w:rsidP="00A825D2">
            <w:r w:rsidRPr="00A825D2">
              <w:t>70</w:t>
            </w:r>
          </w:p>
        </w:tc>
      </w:tr>
      <w:tr w:rsidR="00A825D2" w:rsidRPr="00A825D2" w14:paraId="3F804ED3" w14:textId="77777777">
        <w:trPr>
          <w:tblCellSpacing w:w="15" w:type="dxa"/>
        </w:trPr>
        <w:tc>
          <w:tcPr>
            <w:tcW w:w="0" w:type="auto"/>
            <w:vAlign w:val="center"/>
            <w:hideMark/>
          </w:tcPr>
          <w:p w14:paraId="688F618B" w14:textId="77777777" w:rsidR="00A825D2" w:rsidRPr="00A825D2" w:rsidRDefault="00A825D2" w:rsidP="00A825D2">
            <w:proofErr w:type="spellStart"/>
            <w:r w:rsidRPr="00A825D2">
              <w:t>Electrodo</w:t>
            </w:r>
            <w:proofErr w:type="spellEnd"/>
            <w:r w:rsidRPr="00A825D2">
              <w:t xml:space="preserve"> de </w:t>
            </w:r>
            <w:proofErr w:type="spellStart"/>
            <w:r w:rsidRPr="00A825D2">
              <w:t>aluminio</w:t>
            </w:r>
            <w:proofErr w:type="spellEnd"/>
          </w:p>
        </w:tc>
        <w:tc>
          <w:tcPr>
            <w:tcW w:w="0" w:type="auto"/>
            <w:vAlign w:val="center"/>
            <w:hideMark/>
          </w:tcPr>
          <w:p w14:paraId="5F9DEF3B" w14:textId="77777777" w:rsidR="00A825D2" w:rsidRPr="00A825D2" w:rsidRDefault="00A825D2" w:rsidP="00A825D2">
            <w:r w:rsidRPr="00A825D2">
              <w:t>kg/t</w:t>
            </w:r>
          </w:p>
        </w:tc>
        <w:tc>
          <w:tcPr>
            <w:tcW w:w="0" w:type="auto"/>
            <w:vAlign w:val="center"/>
            <w:hideMark/>
          </w:tcPr>
          <w:p w14:paraId="48EF8D30" w14:textId="77777777" w:rsidR="00A825D2" w:rsidRPr="00A825D2" w:rsidRDefault="00A825D2" w:rsidP="00A825D2">
            <w:r w:rsidRPr="00A825D2">
              <w:t>0.03</w:t>
            </w:r>
          </w:p>
        </w:tc>
        <w:tc>
          <w:tcPr>
            <w:tcW w:w="0" w:type="auto"/>
            <w:vAlign w:val="center"/>
            <w:hideMark/>
          </w:tcPr>
          <w:p w14:paraId="290853B7" w14:textId="77777777" w:rsidR="00A825D2" w:rsidRPr="00A825D2" w:rsidRDefault="00A825D2" w:rsidP="00A825D2">
            <w:r w:rsidRPr="00A825D2">
              <w:t>500</w:t>
            </w:r>
          </w:p>
        </w:tc>
      </w:tr>
      <w:tr w:rsidR="00A825D2" w:rsidRPr="00A825D2" w14:paraId="7CB102FE" w14:textId="77777777">
        <w:trPr>
          <w:tblCellSpacing w:w="15" w:type="dxa"/>
        </w:trPr>
        <w:tc>
          <w:tcPr>
            <w:tcW w:w="0" w:type="auto"/>
            <w:vAlign w:val="center"/>
            <w:hideMark/>
          </w:tcPr>
          <w:p w14:paraId="385CC919" w14:textId="77777777" w:rsidR="00A825D2" w:rsidRPr="00A825D2" w:rsidRDefault="00A825D2" w:rsidP="00A825D2">
            <w:proofErr w:type="spellStart"/>
            <w:r w:rsidRPr="00A825D2">
              <w:lastRenderedPageBreak/>
              <w:t>Electrodo</w:t>
            </w:r>
            <w:proofErr w:type="spellEnd"/>
            <w:r w:rsidRPr="00A825D2">
              <w:t xml:space="preserve"> de </w:t>
            </w:r>
            <w:proofErr w:type="spellStart"/>
            <w:r w:rsidRPr="00A825D2">
              <w:t>grafito</w:t>
            </w:r>
            <w:proofErr w:type="spellEnd"/>
          </w:p>
        </w:tc>
        <w:tc>
          <w:tcPr>
            <w:tcW w:w="0" w:type="auto"/>
            <w:vAlign w:val="center"/>
            <w:hideMark/>
          </w:tcPr>
          <w:p w14:paraId="5A9B92C1" w14:textId="77777777" w:rsidR="00A825D2" w:rsidRPr="00A825D2" w:rsidRDefault="00A825D2" w:rsidP="00A825D2">
            <w:r w:rsidRPr="00A825D2">
              <w:t>kg/t</w:t>
            </w:r>
          </w:p>
        </w:tc>
        <w:tc>
          <w:tcPr>
            <w:tcW w:w="0" w:type="auto"/>
            <w:vAlign w:val="center"/>
            <w:hideMark/>
          </w:tcPr>
          <w:p w14:paraId="1D59EBAE" w14:textId="77777777" w:rsidR="00A825D2" w:rsidRPr="00A825D2" w:rsidRDefault="00A825D2" w:rsidP="00A825D2">
            <w:r w:rsidRPr="00A825D2">
              <w:t>0.8</w:t>
            </w:r>
          </w:p>
        </w:tc>
        <w:tc>
          <w:tcPr>
            <w:tcW w:w="0" w:type="auto"/>
            <w:vAlign w:val="center"/>
            <w:hideMark/>
          </w:tcPr>
          <w:p w14:paraId="1DB32577" w14:textId="77777777" w:rsidR="00A825D2" w:rsidRPr="00A825D2" w:rsidRDefault="00A825D2" w:rsidP="00A825D2">
            <w:r w:rsidRPr="00A825D2">
              <w:t>450 + 12,500</w:t>
            </w:r>
          </w:p>
        </w:tc>
      </w:tr>
      <w:tr w:rsidR="00A825D2" w:rsidRPr="00A825D2" w14:paraId="0ABB1674" w14:textId="77777777">
        <w:trPr>
          <w:tblCellSpacing w:w="15" w:type="dxa"/>
        </w:trPr>
        <w:tc>
          <w:tcPr>
            <w:tcW w:w="0" w:type="auto"/>
            <w:vAlign w:val="center"/>
            <w:hideMark/>
          </w:tcPr>
          <w:p w14:paraId="2DCCD664" w14:textId="77777777" w:rsidR="00A825D2" w:rsidRPr="00A825D2" w:rsidRDefault="00A825D2" w:rsidP="00A825D2">
            <w:proofErr w:type="spellStart"/>
            <w:r w:rsidRPr="00A825D2">
              <w:t>Electricidad</w:t>
            </w:r>
            <w:proofErr w:type="spellEnd"/>
          </w:p>
        </w:tc>
        <w:tc>
          <w:tcPr>
            <w:tcW w:w="0" w:type="auto"/>
            <w:vAlign w:val="center"/>
            <w:hideMark/>
          </w:tcPr>
          <w:p w14:paraId="26498795" w14:textId="77777777" w:rsidR="00A825D2" w:rsidRPr="00A825D2" w:rsidRDefault="00A825D2" w:rsidP="00A825D2">
            <w:r w:rsidRPr="00A825D2">
              <w:t>kWh/t</w:t>
            </w:r>
          </w:p>
        </w:tc>
        <w:tc>
          <w:tcPr>
            <w:tcW w:w="0" w:type="auto"/>
            <w:vAlign w:val="center"/>
            <w:hideMark/>
          </w:tcPr>
          <w:p w14:paraId="6DE31D04" w14:textId="77777777" w:rsidR="00A825D2" w:rsidRPr="00A825D2" w:rsidRDefault="00A825D2" w:rsidP="00A825D2">
            <w:r w:rsidRPr="00A825D2">
              <w:t>800</w:t>
            </w:r>
          </w:p>
        </w:tc>
        <w:tc>
          <w:tcPr>
            <w:tcW w:w="0" w:type="auto"/>
            <w:vAlign w:val="center"/>
            <w:hideMark/>
          </w:tcPr>
          <w:p w14:paraId="3CDD2401" w14:textId="77777777" w:rsidR="00A825D2" w:rsidRPr="00A825D2" w:rsidRDefault="00A825D2" w:rsidP="00A825D2">
            <w:r w:rsidRPr="00A825D2">
              <w:t>—</w:t>
            </w:r>
          </w:p>
        </w:tc>
      </w:tr>
      <w:tr w:rsidR="00A825D2" w:rsidRPr="00A825D2" w14:paraId="1AB7B057" w14:textId="77777777">
        <w:trPr>
          <w:tblCellSpacing w:w="15" w:type="dxa"/>
        </w:trPr>
        <w:tc>
          <w:tcPr>
            <w:tcW w:w="0" w:type="auto"/>
            <w:vAlign w:val="center"/>
            <w:hideMark/>
          </w:tcPr>
          <w:p w14:paraId="46591CAF" w14:textId="77777777" w:rsidR="00A825D2" w:rsidRPr="00A825D2" w:rsidRDefault="00A825D2" w:rsidP="00A825D2">
            <w:r w:rsidRPr="00A825D2">
              <w:t>Gas natural</w:t>
            </w:r>
          </w:p>
        </w:tc>
        <w:tc>
          <w:tcPr>
            <w:tcW w:w="0" w:type="auto"/>
            <w:vAlign w:val="center"/>
            <w:hideMark/>
          </w:tcPr>
          <w:p w14:paraId="63AE366C" w14:textId="77777777" w:rsidR="00A825D2" w:rsidRPr="00A825D2" w:rsidRDefault="00A825D2" w:rsidP="00A825D2">
            <w:r w:rsidRPr="00A825D2">
              <w:t>m³/t</w:t>
            </w:r>
          </w:p>
        </w:tc>
        <w:tc>
          <w:tcPr>
            <w:tcW w:w="0" w:type="auto"/>
            <w:vAlign w:val="center"/>
            <w:hideMark/>
          </w:tcPr>
          <w:p w14:paraId="2D6AA6B3" w14:textId="77777777" w:rsidR="00A825D2" w:rsidRPr="00A825D2" w:rsidRDefault="00A825D2" w:rsidP="00A825D2">
            <w:r w:rsidRPr="00A825D2">
              <w:t>1.5</w:t>
            </w:r>
          </w:p>
        </w:tc>
        <w:tc>
          <w:tcPr>
            <w:tcW w:w="0" w:type="auto"/>
            <w:vAlign w:val="center"/>
            <w:hideMark/>
          </w:tcPr>
          <w:p w14:paraId="6F89F638" w14:textId="77777777" w:rsidR="00A825D2" w:rsidRPr="00A825D2" w:rsidRDefault="00A825D2" w:rsidP="00A825D2">
            <w:r w:rsidRPr="00A825D2">
              <w:t>—</w:t>
            </w:r>
          </w:p>
        </w:tc>
      </w:tr>
      <w:tr w:rsidR="00A825D2" w:rsidRPr="00A825D2" w14:paraId="1A705E5A" w14:textId="77777777">
        <w:trPr>
          <w:tblCellSpacing w:w="15" w:type="dxa"/>
        </w:trPr>
        <w:tc>
          <w:tcPr>
            <w:tcW w:w="0" w:type="auto"/>
            <w:vAlign w:val="center"/>
            <w:hideMark/>
          </w:tcPr>
          <w:p w14:paraId="13F4C5F6" w14:textId="77777777" w:rsidR="00A825D2" w:rsidRPr="00A825D2" w:rsidRDefault="00A825D2" w:rsidP="00A825D2">
            <w:r w:rsidRPr="00A825D2">
              <w:t xml:space="preserve">Agua de </w:t>
            </w:r>
            <w:proofErr w:type="spellStart"/>
            <w:r w:rsidRPr="00A825D2">
              <w:t>proceso</w:t>
            </w:r>
            <w:proofErr w:type="spellEnd"/>
          </w:p>
        </w:tc>
        <w:tc>
          <w:tcPr>
            <w:tcW w:w="0" w:type="auto"/>
            <w:vAlign w:val="center"/>
            <w:hideMark/>
          </w:tcPr>
          <w:p w14:paraId="305B255E" w14:textId="77777777" w:rsidR="00A825D2" w:rsidRPr="00A825D2" w:rsidRDefault="00A825D2" w:rsidP="00A825D2">
            <w:r w:rsidRPr="00A825D2">
              <w:t>m³/t</w:t>
            </w:r>
          </w:p>
        </w:tc>
        <w:tc>
          <w:tcPr>
            <w:tcW w:w="0" w:type="auto"/>
            <w:vAlign w:val="center"/>
            <w:hideMark/>
          </w:tcPr>
          <w:p w14:paraId="33B54710" w14:textId="77777777" w:rsidR="00A825D2" w:rsidRPr="00A825D2" w:rsidRDefault="00A825D2" w:rsidP="00A825D2">
            <w:r w:rsidRPr="00A825D2">
              <w:t>0.14</w:t>
            </w:r>
          </w:p>
        </w:tc>
        <w:tc>
          <w:tcPr>
            <w:tcW w:w="0" w:type="auto"/>
            <w:vAlign w:val="center"/>
            <w:hideMark/>
          </w:tcPr>
          <w:p w14:paraId="4C740854" w14:textId="77777777" w:rsidR="00A825D2" w:rsidRPr="00A825D2" w:rsidRDefault="00A825D2" w:rsidP="00A825D2">
            <w:r w:rsidRPr="00A825D2">
              <w:t>—</w:t>
            </w:r>
          </w:p>
        </w:tc>
      </w:tr>
      <w:tr w:rsidR="00A825D2" w:rsidRPr="00A825D2" w14:paraId="210F7DC5" w14:textId="77777777">
        <w:trPr>
          <w:tblCellSpacing w:w="15" w:type="dxa"/>
        </w:trPr>
        <w:tc>
          <w:tcPr>
            <w:tcW w:w="0" w:type="auto"/>
            <w:vAlign w:val="center"/>
            <w:hideMark/>
          </w:tcPr>
          <w:p w14:paraId="63E06262" w14:textId="77777777" w:rsidR="00A825D2" w:rsidRPr="00A825D2" w:rsidRDefault="00A825D2" w:rsidP="00A825D2">
            <w:r w:rsidRPr="00A825D2">
              <w:t xml:space="preserve">Transporte </w:t>
            </w:r>
            <w:proofErr w:type="spellStart"/>
            <w:r w:rsidRPr="00A825D2">
              <w:t>en</w:t>
            </w:r>
            <w:proofErr w:type="spellEnd"/>
            <w:r w:rsidRPr="00A825D2">
              <w:t xml:space="preserve"> </w:t>
            </w:r>
            <w:proofErr w:type="spellStart"/>
            <w:r w:rsidRPr="00A825D2">
              <w:t>camión</w:t>
            </w:r>
            <w:proofErr w:type="spellEnd"/>
          </w:p>
        </w:tc>
        <w:tc>
          <w:tcPr>
            <w:tcW w:w="0" w:type="auto"/>
            <w:vAlign w:val="center"/>
            <w:hideMark/>
          </w:tcPr>
          <w:p w14:paraId="322B3294" w14:textId="77777777" w:rsidR="00A825D2" w:rsidRPr="00A825D2" w:rsidRDefault="00A825D2" w:rsidP="00A825D2">
            <w:proofErr w:type="spellStart"/>
            <w:r w:rsidRPr="00A825D2">
              <w:t>t·km</w:t>
            </w:r>
            <w:proofErr w:type="spellEnd"/>
          </w:p>
        </w:tc>
        <w:tc>
          <w:tcPr>
            <w:tcW w:w="0" w:type="auto"/>
            <w:vAlign w:val="center"/>
            <w:hideMark/>
          </w:tcPr>
          <w:p w14:paraId="3E401D99" w14:textId="77777777" w:rsidR="00A825D2" w:rsidRPr="00A825D2" w:rsidRDefault="00A825D2" w:rsidP="00A825D2">
            <w:r w:rsidRPr="00A825D2">
              <w:t>267.9</w:t>
            </w:r>
          </w:p>
        </w:tc>
        <w:tc>
          <w:tcPr>
            <w:tcW w:w="0" w:type="auto"/>
            <w:vAlign w:val="center"/>
            <w:hideMark/>
          </w:tcPr>
          <w:p w14:paraId="3CBC5B83" w14:textId="77777777" w:rsidR="00A825D2" w:rsidRPr="00A825D2" w:rsidRDefault="00A825D2" w:rsidP="00A825D2">
            <w:r w:rsidRPr="00A825D2">
              <w:t>—</w:t>
            </w:r>
          </w:p>
        </w:tc>
      </w:tr>
      <w:tr w:rsidR="00A825D2" w:rsidRPr="00A825D2" w14:paraId="1BA9B9A8" w14:textId="77777777">
        <w:trPr>
          <w:tblCellSpacing w:w="15" w:type="dxa"/>
        </w:trPr>
        <w:tc>
          <w:tcPr>
            <w:tcW w:w="0" w:type="auto"/>
            <w:vAlign w:val="center"/>
            <w:hideMark/>
          </w:tcPr>
          <w:p w14:paraId="6A58A57D" w14:textId="77777777" w:rsidR="00A825D2" w:rsidRPr="00A825D2" w:rsidRDefault="00A825D2" w:rsidP="00A825D2">
            <w:r w:rsidRPr="00A825D2">
              <w:t xml:space="preserve">Transporte </w:t>
            </w:r>
            <w:proofErr w:type="spellStart"/>
            <w:r w:rsidRPr="00A825D2">
              <w:t>marítimo</w:t>
            </w:r>
            <w:proofErr w:type="spellEnd"/>
            <w:r w:rsidRPr="00A825D2">
              <w:t xml:space="preserve"> (ferry </w:t>
            </w:r>
            <w:proofErr w:type="spellStart"/>
            <w:r w:rsidRPr="00A825D2">
              <w:t>transoceánico</w:t>
            </w:r>
            <w:proofErr w:type="spellEnd"/>
            <w:r w:rsidRPr="00A825D2">
              <w:t>)</w:t>
            </w:r>
          </w:p>
        </w:tc>
        <w:tc>
          <w:tcPr>
            <w:tcW w:w="0" w:type="auto"/>
            <w:vAlign w:val="center"/>
            <w:hideMark/>
          </w:tcPr>
          <w:p w14:paraId="65D18BB8" w14:textId="77777777" w:rsidR="00A825D2" w:rsidRPr="00A825D2" w:rsidRDefault="00A825D2" w:rsidP="00A825D2">
            <w:proofErr w:type="spellStart"/>
            <w:r w:rsidRPr="00A825D2">
              <w:t>t·km</w:t>
            </w:r>
            <w:proofErr w:type="spellEnd"/>
          </w:p>
        </w:tc>
        <w:tc>
          <w:tcPr>
            <w:tcW w:w="0" w:type="auto"/>
            <w:vAlign w:val="center"/>
            <w:hideMark/>
          </w:tcPr>
          <w:p w14:paraId="32E9ED7B" w14:textId="77777777" w:rsidR="00A825D2" w:rsidRPr="00A825D2" w:rsidRDefault="00A825D2" w:rsidP="00A825D2">
            <w:r w:rsidRPr="00A825D2">
              <w:t>10</w:t>
            </w:r>
          </w:p>
        </w:tc>
        <w:tc>
          <w:tcPr>
            <w:tcW w:w="0" w:type="auto"/>
            <w:vAlign w:val="center"/>
            <w:hideMark/>
          </w:tcPr>
          <w:p w14:paraId="53486724" w14:textId="77777777" w:rsidR="00A825D2" w:rsidRPr="00A825D2" w:rsidRDefault="00A825D2" w:rsidP="00A825D2">
            <w:r w:rsidRPr="00A825D2">
              <w:t>—</w:t>
            </w:r>
          </w:p>
        </w:tc>
      </w:tr>
    </w:tbl>
    <w:p w14:paraId="594412E2" w14:textId="77777777" w:rsidR="00A825D2" w:rsidRPr="00A825D2" w:rsidRDefault="00C45F27" w:rsidP="00A825D2">
      <w:r>
        <w:pict w14:anchorId="52383A33">
          <v:rect id="_x0000_i1028" style="width:0;height:1.5pt" o:hralign="center" o:hrstd="t" o:hr="t" fillcolor="#a0a0a0" stroked="f"/>
        </w:pict>
      </w:r>
    </w:p>
    <w:p w14:paraId="2395526D" w14:textId="77777777" w:rsidR="00A825D2" w:rsidRPr="00A825D2" w:rsidRDefault="00A825D2" w:rsidP="00A825D2">
      <w:pPr>
        <w:rPr>
          <w:b/>
          <w:bCs/>
          <w:lang w:val="es-DO"/>
        </w:rPr>
      </w:pPr>
      <w:r w:rsidRPr="00A825D2">
        <w:rPr>
          <w:b/>
          <w:bCs/>
          <w:lang w:val="es-DO"/>
        </w:rPr>
        <w:t xml:space="preserve">2. Insumos en la producción de 1 tonelada de varilla de acero (Steel </w:t>
      </w:r>
      <w:proofErr w:type="spellStart"/>
      <w:r w:rsidRPr="00A825D2">
        <w:rPr>
          <w:b/>
          <w:bCs/>
          <w:lang w:val="es-DO"/>
        </w:rPr>
        <w:t>Rebar</w:t>
      </w:r>
      <w:proofErr w:type="spellEnd"/>
      <w:r w:rsidRPr="00A825D2">
        <w:rPr>
          <w:b/>
          <w:bCs/>
          <w:lang w:val="es-DO"/>
        </w:rPr>
        <w:t>)</w:t>
      </w:r>
    </w:p>
    <w:p w14:paraId="3287EFC6" w14:textId="77777777" w:rsidR="00A825D2" w:rsidRPr="00A825D2" w:rsidRDefault="00A825D2" w:rsidP="00A825D2">
      <w:pPr>
        <w:rPr>
          <w:i/>
          <w:iCs/>
          <w:lang w:val="es-DO"/>
        </w:rPr>
      </w:pPr>
      <w:r w:rsidRPr="00A825D2">
        <w:rPr>
          <w:i/>
          <w:iCs/>
          <w:lang w:val="es-DO"/>
        </w:rPr>
        <w:t>(Fuente: Tabla 3 del artículo, pág. 3)</w:t>
      </w:r>
    </w:p>
    <w:p w14:paraId="2406400B" w14:textId="77777777" w:rsidR="00A825D2" w:rsidRPr="00A825D2" w:rsidRDefault="00A825D2" w:rsidP="00A825D2">
      <w:proofErr w:type="spellStart"/>
      <w:r w:rsidRPr="00A825D2">
        <w:rPr>
          <w:i/>
          <w:iCs/>
        </w:rPr>
        <w:t>Proceso</w:t>
      </w:r>
      <w:proofErr w:type="spellEnd"/>
      <w:r w:rsidRPr="00A825D2">
        <w:rPr>
          <w:i/>
          <w:iCs/>
        </w:rPr>
        <w:t xml:space="preserve"> </w:t>
      </w:r>
      <w:proofErr w:type="spellStart"/>
      <w:r w:rsidRPr="00A825D2">
        <w:rPr>
          <w:i/>
          <w:iCs/>
        </w:rPr>
        <w:t>Productivo</w:t>
      </w:r>
      <w:proofErr w:type="spellEnd"/>
      <w:r w:rsidRPr="00A825D2">
        <w:rPr>
          <w:i/>
          <w:iCs/>
        </w:rPr>
        <w:t xml:space="preserve"> - Paper </w:t>
      </w:r>
      <w:proofErr w:type="spellStart"/>
      <w:r w:rsidRPr="00A825D2">
        <w:rPr>
          <w:i/>
          <w:iCs/>
        </w:rPr>
        <w:t>Acad</w:t>
      </w:r>
      <w:proofErr w:type="spellEnd"/>
      <w:r w:rsidRPr="00A825D2">
        <w:rPr>
          <w:i/>
          <w:i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51"/>
        <w:gridCol w:w="845"/>
        <w:gridCol w:w="2423"/>
      </w:tblGrid>
      <w:tr w:rsidR="00A825D2" w:rsidRPr="00A825D2" w14:paraId="7F046AC2" w14:textId="77777777">
        <w:trPr>
          <w:tblHeader/>
          <w:tblCellSpacing w:w="15" w:type="dxa"/>
        </w:trPr>
        <w:tc>
          <w:tcPr>
            <w:tcW w:w="0" w:type="auto"/>
            <w:vAlign w:val="center"/>
            <w:hideMark/>
          </w:tcPr>
          <w:p w14:paraId="1ED3B9EB" w14:textId="77777777" w:rsidR="00A825D2" w:rsidRPr="00A825D2" w:rsidRDefault="00A825D2" w:rsidP="00A825D2">
            <w:pPr>
              <w:rPr>
                <w:b/>
                <w:bCs/>
              </w:rPr>
            </w:pPr>
            <w:proofErr w:type="spellStart"/>
            <w:r w:rsidRPr="00A825D2">
              <w:rPr>
                <w:b/>
                <w:bCs/>
              </w:rPr>
              <w:t>Insumo</w:t>
            </w:r>
            <w:proofErr w:type="spellEnd"/>
          </w:p>
        </w:tc>
        <w:tc>
          <w:tcPr>
            <w:tcW w:w="0" w:type="auto"/>
            <w:vAlign w:val="center"/>
            <w:hideMark/>
          </w:tcPr>
          <w:p w14:paraId="3B9030A2" w14:textId="77777777" w:rsidR="00A825D2" w:rsidRPr="00A825D2" w:rsidRDefault="00A825D2" w:rsidP="00A825D2">
            <w:pPr>
              <w:rPr>
                <w:b/>
                <w:bCs/>
              </w:rPr>
            </w:pPr>
            <w:r w:rsidRPr="00A825D2">
              <w:rPr>
                <w:b/>
                <w:bCs/>
              </w:rPr>
              <w:t>Unidad</w:t>
            </w:r>
          </w:p>
        </w:tc>
        <w:tc>
          <w:tcPr>
            <w:tcW w:w="0" w:type="auto"/>
            <w:vAlign w:val="center"/>
            <w:hideMark/>
          </w:tcPr>
          <w:p w14:paraId="25A67C89" w14:textId="77777777" w:rsidR="00A825D2" w:rsidRPr="00A825D2" w:rsidRDefault="00A825D2" w:rsidP="00A825D2">
            <w:pPr>
              <w:rPr>
                <w:b/>
                <w:bCs/>
              </w:rPr>
            </w:pPr>
            <w:proofErr w:type="spellStart"/>
            <w:r w:rsidRPr="00A825D2">
              <w:rPr>
                <w:b/>
                <w:bCs/>
              </w:rPr>
              <w:t>Cantidad</w:t>
            </w:r>
            <w:proofErr w:type="spellEnd"/>
            <w:r w:rsidRPr="00A825D2">
              <w:rPr>
                <w:b/>
                <w:bCs/>
              </w:rPr>
              <w:t xml:space="preserve"> </w:t>
            </w:r>
            <w:proofErr w:type="spellStart"/>
            <w:r w:rsidRPr="00A825D2">
              <w:rPr>
                <w:b/>
                <w:bCs/>
              </w:rPr>
              <w:t>aproximada</w:t>
            </w:r>
            <w:proofErr w:type="spellEnd"/>
          </w:p>
        </w:tc>
      </w:tr>
      <w:tr w:rsidR="00A825D2" w:rsidRPr="00A825D2" w14:paraId="40AB9709" w14:textId="77777777">
        <w:trPr>
          <w:tblCellSpacing w:w="15" w:type="dxa"/>
        </w:trPr>
        <w:tc>
          <w:tcPr>
            <w:tcW w:w="0" w:type="auto"/>
            <w:vAlign w:val="center"/>
            <w:hideMark/>
          </w:tcPr>
          <w:p w14:paraId="67809042" w14:textId="695BFBAA" w:rsidR="00A825D2" w:rsidRPr="00A825D2" w:rsidRDefault="00A825D2" w:rsidP="00A825D2">
            <w:r w:rsidRPr="00A825D2">
              <w:t xml:space="preserve">Tocho de </w:t>
            </w:r>
            <w:proofErr w:type="spellStart"/>
            <w:r w:rsidRPr="00A825D2">
              <w:t>acero</w:t>
            </w:r>
            <w:proofErr w:type="spellEnd"/>
            <w:r w:rsidR="00DF2E5A">
              <w:t xml:space="preserve"> (steel billet)</w:t>
            </w:r>
            <w:r w:rsidRPr="00A825D2">
              <w:t xml:space="preserve"> (</w:t>
            </w:r>
            <w:proofErr w:type="spellStart"/>
            <w:r w:rsidRPr="00A825D2">
              <w:t>semielaborado</w:t>
            </w:r>
            <w:proofErr w:type="spellEnd"/>
            <w:r w:rsidRPr="00A825D2">
              <w:t>)</w:t>
            </w:r>
          </w:p>
        </w:tc>
        <w:tc>
          <w:tcPr>
            <w:tcW w:w="0" w:type="auto"/>
            <w:vAlign w:val="center"/>
            <w:hideMark/>
          </w:tcPr>
          <w:p w14:paraId="4A2B1083" w14:textId="77777777" w:rsidR="00A825D2" w:rsidRPr="00A825D2" w:rsidRDefault="00A825D2" w:rsidP="00A825D2">
            <w:r w:rsidRPr="00A825D2">
              <w:t>kg/t</w:t>
            </w:r>
          </w:p>
        </w:tc>
        <w:tc>
          <w:tcPr>
            <w:tcW w:w="0" w:type="auto"/>
            <w:vAlign w:val="center"/>
            <w:hideMark/>
          </w:tcPr>
          <w:p w14:paraId="712557F0" w14:textId="77777777" w:rsidR="00A825D2" w:rsidRPr="00A825D2" w:rsidRDefault="00A825D2" w:rsidP="00A825D2">
            <w:r w:rsidRPr="00A825D2">
              <w:t>1,031</w:t>
            </w:r>
          </w:p>
        </w:tc>
      </w:tr>
      <w:tr w:rsidR="00A825D2" w:rsidRPr="00A825D2" w14:paraId="710D876B" w14:textId="77777777">
        <w:trPr>
          <w:tblCellSpacing w:w="15" w:type="dxa"/>
        </w:trPr>
        <w:tc>
          <w:tcPr>
            <w:tcW w:w="0" w:type="auto"/>
            <w:vAlign w:val="center"/>
            <w:hideMark/>
          </w:tcPr>
          <w:p w14:paraId="11CE100F" w14:textId="77777777" w:rsidR="00A825D2" w:rsidRPr="00A825D2" w:rsidRDefault="00A825D2" w:rsidP="00A825D2">
            <w:proofErr w:type="spellStart"/>
            <w:r w:rsidRPr="00A825D2">
              <w:t>Electricidad</w:t>
            </w:r>
            <w:proofErr w:type="spellEnd"/>
          </w:p>
        </w:tc>
        <w:tc>
          <w:tcPr>
            <w:tcW w:w="0" w:type="auto"/>
            <w:vAlign w:val="center"/>
            <w:hideMark/>
          </w:tcPr>
          <w:p w14:paraId="294AD67C" w14:textId="77777777" w:rsidR="00A825D2" w:rsidRPr="00A825D2" w:rsidRDefault="00A825D2" w:rsidP="00A825D2">
            <w:r w:rsidRPr="00A825D2">
              <w:t>kWh/t</w:t>
            </w:r>
          </w:p>
        </w:tc>
        <w:tc>
          <w:tcPr>
            <w:tcW w:w="0" w:type="auto"/>
            <w:vAlign w:val="center"/>
            <w:hideMark/>
          </w:tcPr>
          <w:p w14:paraId="37130E04" w14:textId="77777777" w:rsidR="00A825D2" w:rsidRPr="00A825D2" w:rsidRDefault="00A825D2" w:rsidP="00A825D2">
            <w:r w:rsidRPr="00A825D2">
              <w:t>73.0</w:t>
            </w:r>
          </w:p>
        </w:tc>
      </w:tr>
      <w:tr w:rsidR="00A825D2" w:rsidRPr="00A825D2" w14:paraId="7E0FF397" w14:textId="77777777">
        <w:trPr>
          <w:tblCellSpacing w:w="15" w:type="dxa"/>
        </w:trPr>
        <w:tc>
          <w:tcPr>
            <w:tcW w:w="0" w:type="auto"/>
            <w:vAlign w:val="center"/>
            <w:hideMark/>
          </w:tcPr>
          <w:p w14:paraId="2F10F727" w14:textId="77777777" w:rsidR="00A825D2" w:rsidRPr="00A825D2" w:rsidRDefault="00A825D2" w:rsidP="00A825D2">
            <w:r w:rsidRPr="00A825D2">
              <w:t>Gas natural</w:t>
            </w:r>
          </w:p>
        </w:tc>
        <w:tc>
          <w:tcPr>
            <w:tcW w:w="0" w:type="auto"/>
            <w:vAlign w:val="center"/>
            <w:hideMark/>
          </w:tcPr>
          <w:p w14:paraId="38E66092" w14:textId="77777777" w:rsidR="00A825D2" w:rsidRPr="00A825D2" w:rsidRDefault="00A825D2" w:rsidP="00A825D2">
            <w:r w:rsidRPr="00A825D2">
              <w:t>m³/t</w:t>
            </w:r>
          </w:p>
        </w:tc>
        <w:tc>
          <w:tcPr>
            <w:tcW w:w="0" w:type="auto"/>
            <w:vAlign w:val="center"/>
            <w:hideMark/>
          </w:tcPr>
          <w:p w14:paraId="79138CDD" w14:textId="77777777" w:rsidR="00A825D2" w:rsidRPr="00A825D2" w:rsidRDefault="00A825D2" w:rsidP="00A825D2">
            <w:r w:rsidRPr="00A825D2">
              <w:t>39.0</w:t>
            </w:r>
          </w:p>
        </w:tc>
      </w:tr>
      <w:tr w:rsidR="00A825D2" w:rsidRPr="00A825D2" w14:paraId="4F0D6DE5" w14:textId="77777777">
        <w:trPr>
          <w:tblCellSpacing w:w="15" w:type="dxa"/>
        </w:trPr>
        <w:tc>
          <w:tcPr>
            <w:tcW w:w="0" w:type="auto"/>
            <w:vAlign w:val="center"/>
            <w:hideMark/>
          </w:tcPr>
          <w:p w14:paraId="4500EB0E" w14:textId="77777777" w:rsidR="00A825D2" w:rsidRPr="00A825D2" w:rsidRDefault="00A825D2" w:rsidP="00A825D2">
            <w:r w:rsidRPr="00A825D2">
              <w:t xml:space="preserve">Agua de </w:t>
            </w:r>
            <w:proofErr w:type="spellStart"/>
            <w:r w:rsidRPr="00A825D2">
              <w:t>proceso</w:t>
            </w:r>
            <w:proofErr w:type="spellEnd"/>
          </w:p>
        </w:tc>
        <w:tc>
          <w:tcPr>
            <w:tcW w:w="0" w:type="auto"/>
            <w:vAlign w:val="center"/>
            <w:hideMark/>
          </w:tcPr>
          <w:p w14:paraId="4F465406" w14:textId="77777777" w:rsidR="00A825D2" w:rsidRPr="00A825D2" w:rsidRDefault="00A825D2" w:rsidP="00A825D2">
            <w:r w:rsidRPr="00A825D2">
              <w:t>m³/t</w:t>
            </w:r>
          </w:p>
        </w:tc>
        <w:tc>
          <w:tcPr>
            <w:tcW w:w="0" w:type="auto"/>
            <w:vAlign w:val="center"/>
            <w:hideMark/>
          </w:tcPr>
          <w:p w14:paraId="58123F26" w14:textId="77777777" w:rsidR="00A825D2" w:rsidRPr="00A825D2" w:rsidRDefault="00A825D2" w:rsidP="00A825D2">
            <w:r w:rsidRPr="00A825D2">
              <w:t>0.21</w:t>
            </w:r>
          </w:p>
        </w:tc>
      </w:tr>
    </w:tbl>
    <w:p w14:paraId="1E42D864" w14:textId="77777777" w:rsidR="00A825D2" w:rsidRPr="00A825D2" w:rsidRDefault="00A825D2">
      <w:pPr>
        <w:rPr>
          <w:lang w:val="es-DO"/>
        </w:rPr>
      </w:pPr>
    </w:p>
    <w:sectPr w:rsidR="00A825D2" w:rsidRPr="00A82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29B3"/>
    <w:multiLevelType w:val="multilevel"/>
    <w:tmpl w:val="F014C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11997"/>
    <w:multiLevelType w:val="multilevel"/>
    <w:tmpl w:val="EF7A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94051B"/>
    <w:multiLevelType w:val="multilevel"/>
    <w:tmpl w:val="3F54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759615">
    <w:abstractNumId w:val="2"/>
  </w:num>
  <w:num w:numId="2" w16cid:durableId="1044914741">
    <w:abstractNumId w:val="0"/>
  </w:num>
  <w:num w:numId="3" w16cid:durableId="1625310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D2"/>
    <w:rsid w:val="003A4E03"/>
    <w:rsid w:val="004D4D74"/>
    <w:rsid w:val="006D10C0"/>
    <w:rsid w:val="007E7E87"/>
    <w:rsid w:val="009451E6"/>
    <w:rsid w:val="00A34D52"/>
    <w:rsid w:val="00A825D2"/>
    <w:rsid w:val="00AC4489"/>
    <w:rsid w:val="00AC5873"/>
    <w:rsid w:val="00B51595"/>
    <w:rsid w:val="00B929A0"/>
    <w:rsid w:val="00C6255D"/>
    <w:rsid w:val="00D80152"/>
    <w:rsid w:val="00DB283E"/>
    <w:rsid w:val="00DF2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81524CE"/>
  <w15:chartTrackingRefBased/>
  <w15:docId w15:val="{93848EFB-5A55-4E6D-BAA0-440FA7F4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5D2"/>
    <w:rPr>
      <w:rFonts w:eastAsiaTheme="majorEastAsia" w:cstheme="majorBidi"/>
      <w:color w:val="272727" w:themeColor="text1" w:themeTint="D8"/>
    </w:rPr>
  </w:style>
  <w:style w:type="paragraph" w:styleId="Title">
    <w:name w:val="Title"/>
    <w:basedOn w:val="Normal"/>
    <w:next w:val="Normal"/>
    <w:link w:val="TitleChar"/>
    <w:uiPriority w:val="10"/>
    <w:qFormat/>
    <w:rsid w:val="00A82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5D2"/>
    <w:pPr>
      <w:spacing w:before="160"/>
      <w:jc w:val="center"/>
    </w:pPr>
    <w:rPr>
      <w:i/>
      <w:iCs/>
      <w:color w:val="404040" w:themeColor="text1" w:themeTint="BF"/>
    </w:rPr>
  </w:style>
  <w:style w:type="character" w:customStyle="1" w:styleId="QuoteChar">
    <w:name w:val="Quote Char"/>
    <w:basedOn w:val="DefaultParagraphFont"/>
    <w:link w:val="Quote"/>
    <w:uiPriority w:val="29"/>
    <w:rsid w:val="00A825D2"/>
    <w:rPr>
      <w:i/>
      <w:iCs/>
      <w:color w:val="404040" w:themeColor="text1" w:themeTint="BF"/>
    </w:rPr>
  </w:style>
  <w:style w:type="paragraph" w:styleId="ListParagraph">
    <w:name w:val="List Paragraph"/>
    <w:basedOn w:val="Normal"/>
    <w:uiPriority w:val="34"/>
    <w:qFormat/>
    <w:rsid w:val="00A825D2"/>
    <w:pPr>
      <w:ind w:left="720"/>
      <w:contextualSpacing/>
    </w:pPr>
  </w:style>
  <w:style w:type="character" w:styleId="IntenseEmphasis">
    <w:name w:val="Intense Emphasis"/>
    <w:basedOn w:val="DefaultParagraphFont"/>
    <w:uiPriority w:val="21"/>
    <w:qFormat/>
    <w:rsid w:val="00A825D2"/>
    <w:rPr>
      <w:i/>
      <w:iCs/>
      <w:color w:val="0F4761" w:themeColor="accent1" w:themeShade="BF"/>
    </w:rPr>
  </w:style>
  <w:style w:type="paragraph" w:styleId="IntenseQuote">
    <w:name w:val="Intense Quote"/>
    <w:basedOn w:val="Normal"/>
    <w:next w:val="Normal"/>
    <w:link w:val="IntenseQuoteChar"/>
    <w:uiPriority w:val="30"/>
    <w:qFormat/>
    <w:rsid w:val="00A82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5D2"/>
    <w:rPr>
      <w:i/>
      <w:iCs/>
      <w:color w:val="0F4761" w:themeColor="accent1" w:themeShade="BF"/>
    </w:rPr>
  </w:style>
  <w:style w:type="character" w:styleId="IntenseReference">
    <w:name w:val="Intense Reference"/>
    <w:basedOn w:val="DefaultParagraphFont"/>
    <w:uiPriority w:val="32"/>
    <w:qFormat/>
    <w:rsid w:val="00A82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4762</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Batista</dc:creator>
  <cp:keywords/>
  <dc:description/>
  <cp:lastModifiedBy>Lynette Batista</cp:lastModifiedBy>
  <cp:revision>2</cp:revision>
  <dcterms:created xsi:type="dcterms:W3CDTF">2025-09-15T10:04:00Z</dcterms:created>
  <dcterms:modified xsi:type="dcterms:W3CDTF">2025-09-15T10:04:00Z</dcterms:modified>
</cp:coreProperties>
</file>