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A2FE" w14:textId="77777777" w:rsidR="00A00477" w:rsidRPr="00FD4B13" w:rsidRDefault="00A00477" w:rsidP="00A00477">
      <w:pPr>
        <w:tabs>
          <w:tab w:val="right" w:leader="dot" w:pos="9381"/>
        </w:tabs>
        <w:spacing w:before="120" w:after="120" w:line="240" w:lineRule="auto"/>
        <w:jc w:val="both"/>
        <w:rPr>
          <w:rFonts w:ascii="Calibri" w:eastAsia="Times New Roman" w:hAnsi="Calibri" w:cs="Calibri"/>
          <w:b/>
          <w:kern w:val="28"/>
          <w:sz w:val="24"/>
          <w:szCs w:val="24"/>
        </w:rPr>
      </w:pPr>
      <w:r w:rsidRPr="00FD4B13">
        <w:rPr>
          <w:rFonts w:ascii="Calibri" w:eastAsia="Times New Roman" w:hAnsi="Calibri" w:cs="Calibri"/>
          <w:b/>
          <w:kern w:val="28"/>
          <w:sz w:val="24"/>
          <w:szCs w:val="24"/>
        </w:rPr>
        <w:t>LA SUPRESIÓN DEL DERECHO ANTIDUMPING DARÍA LUGAR A LA REPETICIÓN DEL DAÑO A LA RAMA DE PRODUCCIÓN NACIONAL.</w:t>
      </w:r>
    </w:p>
    <w:p w14:paraId="519E6EDF" w14:textId="0DCF6F08" w:rsidR="00A00477" w:rsidRPr="00FD4B13" w:rsidRDefault="00A00477" w:rsidP="00A00477">
      <w:pPr>
        <w:spacing w:line="240" w:lineRule="auto"/>
        <w:jc w:val="both"/>
        <w:rPr>
          <w:rFonts w:ascii="Calibri" w:hAnsi="Calibri" w:cs="Calibri"/>
          <w:sz w:val="24"/>
          <w:szCs w:val="24"/>
          <w:lang w:val="es-ES"/>
        </w:rPr>
      </w:pPr>
      <w:r w:rsidRPr="00FD4B13">
        <w:rPr>
          <w:rFonts w:ascii="Calibri" w:hAnsi="Calibri" w:cs="Calibri"/>
          <w:sz w:val="24"/>
          <w:szCs w:val="24"/>
          <w:lang w:val="es-ES"/>
        </w:rPr>
        <w:t xml:space="preserve">La evidencia presentada en este expediente de solicitud de examen de extinción de los derechos antidumping para las barras o varillas de acero para refuerzo de hormigón originarias o procedentes de Turquía confirma que los derechos antidumping impuestos a estos productos deben permanecer.  Si los derechos son revocados en perjuicio de la RPN, los exportadores de Turquía enviarán grandes cantidades del producto al mercado dominicano. Estas importaciones masivas a precios de dumping, debajo del precio del mercado, causarían un daño importante a la Rama de Producción Nacional.  </w:t>
      </w:r>
    </w:p>
    <w:p w14:paraId="461054A0" w14:textId="73CBEAE0" w:rsidR="00A00477" w:rsidRPr="00FD4B13" w:rsidRDefault="00A00477" w:rsidP="00A00477">
      <w:pPr>
        <w:spacing w:line="240" w:lineRule="auto"/>
        <w:jc w:val="both"/>
        <w:rPr>
          <w:rFonts w:ascii="Calibri" w:hAnsi="Calibri" w:cs="Calibri"/>
          <w:sz w:val="24"/>
          <w:szCs w:val="24"/>
        </w:rPr>
      </w:pPr>
      <w:r w:rsidRPr="00FD4B13">
        <w:rPr>
          <w:rFonts w:ascii="Calibri" w:hAnsi="Calibri" w:cs="Calibri"/>
          <w:sz w:val="24"/>
          <w:szCs w:val="24"/>
        </w:rPr>
        <w:t>El actual entorno internacional, el cierre de mercados importantes para Turquía vía mecanismos de defensa comercial (seguridad nacional), y el enfoque claro y sistemático de exportar hacia la región de latinoamerican</w:t>
      </w:r>
      <w:r w:rsidR="00227403">
        <w:rPr>
          <w:rFonts w:ascii="Calibri" w:hAnsi="Calibri" w:cs="Calibri"/>
          <w:sz w:val="24"/>
          <w:szCs w:val="24"/>
        </w:rPr>
        <w:t>a</w:t>
      </w:r>
      <w:r w:rsidRPr="00FD4B13">
        <w:rPr>
          <w:rFonts w:ascii="Calibri" w:hAnsi="Calibri" w:cs="Calibri"/>
          <w:sz w:val="24"/>
          <w:szCs w:val="24"/>
        </w:rPr>
        <w:t>, y en particular a la región del caribe y Centroamérica, donde la Republica Dominicana representa el principal mercado por su tamaño, han incrementado la probabilidad de recurrencia de daño hacia la Rama de Producción Nacional de Barras de Acero Corrugadas.</w:t>
      </w:r>
    </w:p>
    <w:p w14:paraId="2D49FE6D" w14:textId="490A9669" w:rsidR="00A00477" w:rsidRPr="00FD4B13" w:rsidRDefault="00A00477" w:rsidP="00A00477">
      <w:pPr>
        <w:jc w:val="both"/>
        <w:rPr>
          <w:rFonts w:ascii="Calibri" w:eastAsia="MS Mincho" w:hAnsi="Calibri" w:cs="Calibri"/>
          <w:b/>
          <w:sz w:val="24"/>
          <w:szCs w:val="24"/>
          <w:lang w:val="es-ES"/>
        </w:rPr>
      </w:pPr>
      <w:r w:rsidRPr="00FD4B13">
        <w:rPr>
          <w:rFonts w:ascii="Calibri" w:eastAsia="MS Mincho" w:hAnsi="Calibri" w:cs="Calibri"/>
          <w:b/>
          <w:sz w:val="24"/>
          <w:szCs w:val="24"/>
          <w:lang w:val="es-ES"/>
        </w:rPr>
        <w:t>TURQUÍA CUENTA CON UNA CAPACIDAD OCIOSA PARA INCREMENTAR SUS EXPORTACIONES A REPÚBLICA DOMINICANA</w:t>
      </w:r>
    </w:p>
    <w:p w14:paraId="0445C36B" w14:textId="77777777" w:rsidR="002A1F0F" w:rsidRDefault="002A1F0F" w:rsidP="00227403">
      <w:pPr>
        <w:jc w:val="both"/>
      </w:pPr>
      <w:r>
        <w:t xml:space="preserve">Como bien se explica en la sección del contexto internacional, las medidas de defensa comercial interpuesta por el mundo están afectando las exportaciones turcas de varillas.  La industria de acero turca cuenta con una alta capacidad ociosa, lo que pone mayor presión para colocar los productos en los mercados internacionales.  </w:t>
      </w:r>
    </w:p>
    <w:p w14:paraId="6986EFAA" w14:textId="479E59DD" w:rsidR="002A1F0F" w:rsidRDefault="002A1F0F" w:rsidP="00227403">
      <w:pPr>
        <w:jc w:val="both"/>
        <w:rPr>
          <w:b/>
          <w:bCs/>
        </w:rPr>
      </w:pPr>
      <w:r>
        <w:t xml:space="preserve">De acuerdo con un informe reciente de la OCDE (junio 2024), la industria de acero turca cuenta con una capacidad instalada de </w:t>
      </w:r>
      <w:r w:rsidRPr="003B67C1">
        <w:rPr>
          <w:b/>
          <w:bCs/>
        </w:rPr>
        <w:t>57.4 millones de toneladas</w:t>
      </w:r>
      <w:r>
        <w:t xml:space="preserve"> al año (2023).  Sin embargo, según el </w:t>
      </w:r>
      <w:proofErr w:type="spellStart"/>
      <w:r w:rsidRPr="00E26F9A">
        <w:rPr>
          <w:i/>
          <w:iCs/>
        </w:rPr>
        <w:t>wordsteel</w:t>
      </w:r>
      <w:proofErr w:type="spellEnd"/>
      <w:r w:rsidRPr="00E26F9A">
        <w:rPr>
          <w:i/>
          <w:iCs/>
        </w:rPr>
        <w:t xml:space="preserve"> </w:t>
      </w:r>
      <w:proofErr w:type="spellStart"/>
      <w:r w:rsidRPr="00E26F9A">
        <w:rPr>
          <w:i/>
          <w:iCs/>
        </w:rPr>
        <w:t>association</w:t>
      </w:r>
      <w:proofErr w:type="spellEnd"/>
      <w:r>
        <w:t xml:space="preserve">, indica que en dicho año </w:t>
      </w:r>
      <w:r w:rsidR="00227403">
        <w:t xml:space="preserve">la </w:t>
      </w:r>
      <w:r>
        <w:t xml:space="preserve">producción turca fue de </w:t>
      </w:r>
      <w:r w:rsidRPr="002A1F0F">
        <w:rPr>
          <w:b/>
          <w:bCs/>
        </w:rPr>
        <w:t>33.7 millones de TM</w:t>
      </w:r>
      <w:r>
        <w:t xml:space="preserve">, arrojando un </w:t>
      </w:r>
      <w:r w:rsidRPr="002A1F0F">
        <w:rPr>
          <w:b/>
          <w:bCs/>
        </w:rPr>
        <w:t>56% de utilización</w:t>
      </w:r>
      <w:r>
        <w:t xml:space="preserve">, lo que resulta en una </w:t>
      </w:r>
      <w:r w:rsidRPr="00227403">
        <w:rPr>
          <w:b/>
          <w:bCs/>
        </w:rPr>
        <w:t>capacidad ociosa del</w:t>
      </w:r>
      <w:r>
        <w:t xml:space="preserve"> </w:t>
      </w:r>
      <w:r w:rsidRPr="00E26F9A">
        <w:rPr>
          <w:b/>
          <w:bCs/>
        </w:rPr>
        <w:t xml:space="preserve">44%. </w:t>
      </w:r>
    </w:p>
    <w:p w14:paraId="299AC959" w14:textId="255035C8" w:rsidR="002A1F0F" w:rsidRDefault="002A1F0F" w:rsidP="002A1F0F">
      <w:pPr>
        <w:jc w:val="both"/>
      </w:pPr>
      <w:r>
        <w:t xml:space="preserve">En el periodo del 2021 al 2024, Turquía representó el </w:t>
      </w:r>
      <w:r w:rsidRPr="00227403">
        <w:rPr>
          <w:b/>
          <w:bCs/>
        </w:rPr>
        <w:t>21% de todas las exportaciones de varillas mundiales</w:t>
      </w:r>
      <w:r>
        <w:t xml:space="preserve">, lo que refleja su alta capacidad de generar daño a la RPN a la Republica Dominicana.  Ha ocupado de forma consistente </w:t>
      </w:r>
      <w:r w:rsidR="00227403">
        <w:t xml:space="preserve">la primera posición, siendo el mayor </w:t>
      </w:r>
      <w:r>
        <w:t>exportador de varillas del mundo</w:t>
      </w:r>
      <w:r w:rsidR="00227403">
        <w:t>.  S</w:t>
      </w:r>
      <w:r>
        <w:t xml:space="preserve">in embargo, a raíz de los cambios que ha tenido el mercado mundial del acero, y las reacciones de los países productores, incluyendo medidas de defensa comercial y de seguridad nacional, Turquía ha visto reducir sus exportaciones y ha </w:t>
      </w:r>
      <w:r w:rsidR="00227403">
        <w:t xml:space="preserve">tenido </w:t>
      </w:r>
      <w:r>
        <w:t xml:space="preserve">un cambio importante </w:t>
      </w:r>
      <w:r w:rsidR="00227403">
        <w:t>en el destino</w:t>
      </w:r>
      <w:r>
        <w:t xml:space="preserve"> de estas.   Mientras en el 2021 </w:t>
      </w:r>
      <w:r w:rsidR="00227403">
        <w:t>logró</w:t>
      </w:r>
      <w:r>
        <w:t xml:space="preserve"> exportar </w:t>
      </w:r>
      <w:r w:rsidRPr="00227403">
        <w:rPr>
          <w:b/>
          <w:bCs/>
        </w:rPr>
        <w:t>7.1 millones de T</w:t>
      </w:r>
      <w:r w:rsidR="00227403">
        <w:rPr>
          <w:b/>
          <w:bCs/>
        </w:rPr>
        <w:t>M,</w:t>
      </w:r>
      <w:r>
        <w:t xml:space="preserve"> para el 2024 dicha cifra se había reducido a </w:t>
      </w:r>
      <w:r w:rsidRPr="00227403">
        <w:rPr>
          <w:b/>
          <w:bCs/>
        </w:rPr>
        <w:t>3.4 millones de TM</w:t>
      </w:r>
      <w:r>
        <w:t xml:space="preserve">.  Esto corresponde a una contracción </w:t>
      </w:r>
      <w:r w:rsidRPr="00227403">
        <w:rPr>
          <w:b/>
          <w:bCs/>
        </w:rPr>
        <w:t>3.7 millones de TM</w:t>
      </w:r>
      <w:r>
        <w:t xml:space="preserve"> entre el 2021 y el 2022, lo que refleja una importante capacidad ociosa para fines de exportar.  Esto le </w:t>
      </w:r>
      <w:r w:rsidR="00227403">
        <w:t>brinda u</w:t>
      </w:r>
      <w:r>
        <w:t xml:space="preserve">na amplia capacidad para aumentar sus exportaciones. </w:t>
      </w:r>
    </w:p>
    <w:p w14:paraId="16ABCE00" w14:textId="77777777" w:rsidR="002A1F0F" w:rsidRPr="002A1F0F" w:rsidRDefault="002A1F0F" w:rsidP="002A1F0F"/>
    <w:p w14:paraId="733382AD" w14:textId="65F4EBF5" w:rsidR="00A00477" w:rsidRPr="00FD4B13" w:rsidRDefault="00A00477" w:rsidP="00A00477">
      <w:pPr>
        <w:spacing w:line="240" w:lineRule="auto"/>
        <w:rPr>
          <w:rFonts w:ascii="Calibri" w:hAnsi="Calibri" w:cs="Calibri"/>
          <w:b/>
          <w:sz w:val="24"/>
          <w:szCs w:val="24"/>
        </w:rPr>
      </w:pPr>
      <w:bookmarkStart w:id="0" w:name="_Hlk69159645"/>
      <w:r w:rsidRPr="00FD4B13">
        <w:rPr>
          <w:rFonts w:ascii="Calibri" w:hAnsi="Calibri" w:cs="Calibri"/>
          <w:b/>
          <w:caps/>
          <w:sz w:val="24"/>
          <w:szCs w:val="24"/>
        </w:rPr>
        <w:lastRenderedPageBreak/>
        <w:t xml:space="preserve">LOS ESTADOS UNIDOS Y OTROS PAISES IMPORTANTES HAN CERRADO SUS MERCADOS CON MEDIDAS DE DEFENSA COMERCIAL CREANDO UNA DESVIACION A OTROS DESTINOS DE LAS EXPORTACIONES TURCAS DE BARRAS DE ACERO CORRUGADAS </w:t>
      </w:r>
    </w:p>
    <w:bookmarkEnd w:id="0"/>
    <w:p w14:paraId="65C2F79E" w14:textId="258086FC" w:rsidR="00605F80" w:rsidRPr="00227403" w:rsidRDefault="002A1F0F" w:rsidP="00605F80">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P</w:t>
      </w:r>
      <w:r w:rsidRPr="002A1F0F">
        <w:rPr>
          <w:rFonts w:ascii="Calibri" w:eastAsiaTheme="minorEastAsia" w:hAnsi="Calibri" w:cs="Calibri"/>
          <w:color w:val="000000" w:themeColor="text1"/>
          <w:kern w:val="24"/>
          <w:sz w:val="24"/>
          <w:szCs w:val="24"/>
          <w:lang w:eastAsia="es-DO"/>
        </w:rPr>
        <w:t xml:space="preserve">revio a las medidas de defensa comercial tomadas por la Administración Trump en el 2018, Turquía exportó a los Estados Unidos   </w:t>
      </w:r>
      <w:r w:rsidRPr="002A1F0F">
        <w:rPr>
          <w:rFonts w:ascii="Calibri" w:eastAsiaTheme="minorEastAsia" w:hAnsi="Calibri" w:cs="Calibri"/>
          <w:b/>
          <w:bCs/>
          <w:color w:val="000000" w:themeColor="text1"/>
          <w:kern w:val="24"/>
          <w:sz w:val="24"/>
          <w:szCs w:val="24"/>
          <w:lang w:eastAsia="es-DO"/>
        </w:rPr>
        <w:t>1,364,852 TM</w:t>
      </w:r>
      <w:r w:rsidRPr="002A1F0F">
        <w:rPr>
          <w:rFonts w:ascii="Calibri" w:eastAsiaTheme="minorEastAsia" w:hAnsi="Calibri" w:cs="Calibri"/>
          <w:color w:val="000000" w:themeColor="text1"/>
          <w:kern w:val="24"/>
          <w:sz w:val="24"/>
          <w:szCs w:val="24"/>
          <w:lang w:eastAsia="es-DO"/>
        </w:rPr>
        <w:t xml:space="preserve"> en el </w:t>
      </w:r>
      <w:r w:rsidRPr="002A1F0F">
        <w:rPr>
          <w:rFonts w:ascii="Calibri" w:eastAsiaTheme="minorEastAsia" w:hAnsi="Calibri" w:cs="Calibri"/>
          <w:b/>
          <w:bCs/>
          <w:color w:val="000000" w:themeColor="text1"/>
          <w:kern w:val="24"/>
          <w:sz w:val="24"/>
          <w:szCs w:val="24"/>
          <w:lang w:eastAsia="es-DO"/>
        </w:rPr>
        <w:t>2016</w:t>
      </w:r>
      <w:r w:rsidRPr="002A1F0F">
        <w:rPr>
          <w:rFonts w:ascii="Calibri" w:eastAsiaTheme="minorEastAsia" w:hAnsi="Calibri" w:cs="Calibri"/>
          <w:color w:val="000000" w:themeColor="text1"/>
          <w:kern w:val="24"/>
          <w:sz w:val="24"/>
          <w:szCs w:val="24"/>
          <w:lang w:eastAsia="es-DO"/>
        </w:rPr>
        <w:t xml:space="preserve">, cifra que se ha visto reducir a apenas </w:t>
      </w:r>
      <w:r w:rsidRPr="002A1F0F">
        <w:rPr>
          <w:rFonts w:ascii="Calibri" w:eastAsiaTheme="minorEastAsia" w:hAnsi="Calibri" w:cs="Calibri"/>
          <w:b/>
          <w:bCs/>
          <w:color w:val="000000" w:themeColor="text1"/>
          <w:kern w:val="24"/>
          <w:sz w:val="24"/>
          <w:szCs w:val="24"/>
          <w:lang w:eastAsia="es-DO"/>
        </w:rPr>
        <w:t>103 mil TM en el 2024</w:t>
      </w:r>
      <w:r w:rsidRPr="002A1F0F">
        <w:rPr>
          <w:rFonts w:ascii="Calibri" w:eastAsiaTheme="minorEastAsia" w:hAnsi="Calibri" w:cs="Calibri"/>
          <w:color w:val="000000" w:themeColor="text1"/>
          <w:kern w:val="24"/>
          <w:sz w:val="24"/>
          <w:szCs w:val="24"/>
          <w:lang w:eastAsia="es-DO"/>
        </w:rPr>
        <w:t>, es decir menos del 10% de lo que históricamente llegó a exportar.  El Canadá ha tomado también acciones contra las varillas, lo que ha reducido sus exportaciones a dicho mer</w:t>
      </w:r>
      <w:r w:rsidR="00605F80">
        <w:rPr>
          <w:rFonts w:ascii="Calibri" w:eastAsiaTheme="minorEastAsia" w:hAnsi="Calibri" w:cs="Calibri"/>
          <w:color w:val="000000" w:themeColor="text1"/>
          <w:kern w:val="24"/>
          <w:sz w:val="24"/>
          <w:szCs w:val="24"/>
          <w:lang w:eastAsia="es-DO"/>
        </w:rPr>
        <w:t xml:space="preserve">cado. Así también una amplia variedad de países ha tomado acciones de defensa de </w:t>
      </w:r>
      <w:r w:rsidR="00605F80" w:rsidRPr="00227403">
        <w:rPr>
          <w:rFonts w:ascii="Calibri" w:eastAsiaTheme="minorEastAsia" w:hAnsi="Calibri" w:cs="Calibri"/>
          <w:color w:val="000000" w:themeColor="text1"/>
          <w:kern w:val="24"/>
          <w:sz w:val="24"/>
          <w:szCs w:val="24"/>
          <w:lang w:eastAsia="es-DO"/>
        </w:rPr>
        <w:t xml:space="preserve">su mercado interno. </w:t>
      </w:r>
    </w:p>
    <w:p w14:paraId="7C809646" w14:textId="2E07472D" w:rsidR="00605F80" w:rsidRPr="00227403" w:rsidRDefault="00023F9E" w:rsidP="00605F80">
      <w:pPr>
        <w:spacing w:line="240" w:lineRule="auto"/>
        <w:jc w:val="both"/>
        <w:rPr>
          <w:rFonts w:ascii="Calibri" w:hAnsi="Calibri" w:cs="Calibri"/>
          <w:sz w:val="24"/>
          <w:szCs w:val="24"/>
        </w:rPr>
      </w:pPr>
      <w:r w:rsidRPr="00227403">
        <w:rPr>
          <w:rFonts w:ascii="Calibri" w:hAnsi="Calibri" w:cs="Calibri"/>
          <w:sz w:val="24"/>
          <w:szCs w:val="24"/>
        </w:rPr>
        <w:t xml:space="preserve">De acuerdo con la base de datos del </w:t>
      </w:r>
      <w:r w:rsidRPr="00227403">
        <w:rPr>
          <w:rFonts w:ascii="Calibri" w:hAnsi="Calibri" w:cs="Calibri"/>
          <w:i/>
          <w:iCs/>
          <w:sz w:val="24"/>
          <w:szCs w:val="24"/>
        </w:rPr>
        <w:t xml:space="preserve">Global </w:t>
      </w:r>
      <w:proofErr w:type="spellStart"/>
      <w:r w:rsidRPr="00227403">
        <w:rPr>
          <w:rFonts w:ascii="Calibri" w:hAnsi="Calibri" w:cs="Calibri"/>
          <w:i/>
          <w:iCs/>
          <w:sz w:val="24"/>
          <w:szCs w:val="24"/>
        </w:rPr>
        <w:t>Trade</w:t>
      </w:r>
      <w:proofErr w:type="spellEnd"/>
      <w:r w:rsidRPr="00227403">
        <w:rPr>
          <w:rFonts w:ascii="Calibri" w:hAnsi="Calibri" w:cs="Calibri"/>
          <w:i/>
          <w:iCs/>
          <w:sz w:val="24"/>
          <w:szCs w:val="24"/>
        </w:rPr>
        <w:t xml:space="preserve"> </w:t>
      </w:r>
      <w:proofErr w:type="spellStart"/>
      <w:r w:rsidRPr="00227403">
        <w:rPr>
          <w:rFonts w:ascii="Calibri" w:hAnsi="Calibri" w:cs="Calibri"/>
          <w:i/>
          <w:iCs/>
          <w:sz w:val="24"/>
          <w:szCs w:val="24"/>
        </w:rPr>
        <w:t>Alert</w:t>
      </w:r>
      <w:proofErr w:type="spellEnd"/>
      <w:r w:rsidRPr="00227403">
        <w:rPr>
          <w:rFonts w:ascii="Calibri" w:hAnsi="Calibri" w:cs="Calibri"/>
          <w:i/>
          <w:iCs/>
          <w:sz w:val="24"/>
          <w:szCs w:val="24"/>
        </w:rPr>
        <w:t xml:space="preserve"> (GTA</w:t>
      </w:r>
      <w:r w:rsidRPr="00227403">
        <w:rPr>
          <w:rFonts w:ascii="Calibri" w:hAnsi="Calibri" w:cs="Calibri"/>
          <w:sz w:val="24"/>
          <w:szCs w:val="24"/>
        </w:rPr>
        <w:t xml:space="preserve">), entre el 2018 y el 2025 </w:t>
      </w:r>
      <w:r w:rsidR="00605F80" w:rsidRPr="00227403">
        <w:rPr>
          <w:rFonts w:ascii="Calibri" w:hAnsi="Calibri" w:cs="Calibri"/>
          <w:sz w:val="24"/>
          <w:szCs w:val="24"/>
        </w:rPr>
        <w:t xml:space="preserve">el mundo tomó 1,691 acciones de protección para su industria del acero, de esas 916, es decir el </w:t>
      </w:r>
      <w:r w:rsidR="00605F80" w:rsidRPr="00227403">
        <w:rPr>
          <w:rFonts w:ascii="Calibri" w:hAnsi="Calibri" w:cs="Calibri"/>
          <w:b/>
          <w:bCs/>
          <w:sz w:val="24"/>
          <w:szCs w:val="24"/>
        </w:rPr>
        <w:t>54%, estaban dirigidas hacia Turquía</w:t>
      </w:r>
      <w:r w:rsidR="00605F80" w:rsidRPr="00227403">
        <w:rPr>
          <w:rFonts w:ascii="Calibri" w:hAnsi="Calibri" w:cs="Calibri"/>
          <w:sz w:val="24"/>
          <w:szCs w:val="24"/>
        </w:rPr>
        <w:t>. En lo que respecta a varillas</w:t>
      </w:r>
      <w:r w:rsidR="00227403">
        <w:rPr>
          <w:rFonts w:ascii="Calibri" w:hAnsi="Calibri" w:cs="Calibri"/>
          <w:sz w:val="24"/>
          <w:szCs w:val="24"/>
        </w:rPr>
        <w:t>, en</w:t>
      </w:r>
      <w:r w:rsidR="00605F80" w:rsidRPr="00227403">
        <w:rPr>
          <w:rFonts w:ascii="Calibri" w:hAnsi="Calibri" w:cs="Calibri"/>
          <w:sz w:val="24"/>
          <w:szCs w:val="24"/>
        </w:rPr>
        <w:t xml:space="preserve"> este mismo periodo se tomaron 174 acciones </w:t>
      </w:r>
      <w:r w:rsidR="00227403">
        <w:rPr>
          <w:rFonts w:ascii="Calibri" w:hAnsi="Calibri" w:cs="Calibri"/>
          <w:sz w:val="24"/>
          <w:szCs w:val="24"/>
        </w:rPr>
        <w:t xml:space="preserve">hacia </w:t>
      </w:r>
      <w:r w:rsidR="00605F80" w:rsidRPr="00227403">
        <w:rPr>
          <w:rFonts w:ascii="Calibri" w:hAnsi="Calibri" w:cs="Calibri"/>
          <w:sz w:val="24"/>
          <w:szCs w:val="24"/>
        </w:rPr>
        <w:t xml:space="preserve">las varillas turcas, de las cuales </w:t>
      </w:r>
      <w:r w:rsidR="00227403">
        <w:rPr>
          <w:rFonts w:ascii="Calibri" w:hAnsi="Calibri" w:cs="Calibri"/>
          <w:sz w:val="24"/>
          <w:szCs w:val="24"/>
        </w:rPr>
        <w:t xml:space="preserve">143 aún </w:t>
      </w:r>
      <w:r w:rsidR="00605F80" w:rsidRPr="00227403">
        <w:rPr>
          <w:rFonts w:ascii="Calibri" w:hAnsi="Calibri" w:cs="Calibri"/>
          <w:sz w:val="24"/>
          <w:szCs w:val="24"/>
        </w:rPr>
        <w:t>están vigentes</w:t>
      </w:r>
      <w:r w:rsidR="00227403">
        <w:rPr>
          <w:rFonts w:ascii="Calibri" w:hAnsi="Calibri" w:cs="Calibri"/>
          <w:sz w:val="24"/>
          <w:szCs w:val="24"/>
        </w:rPr>
        <w:t xml:space="preserve">. </w:t>
      </w:r>
      <w:r w:rsidR="00605F80" w:rsidRPr="00227403">
        <w:rPr>
          <w:rFonts w:ascii="Calibri" w:hAnsi="Calibri" w:cs="Calibri"/>
          <w:sz w:val="24"/>
          <w:szCs w:val="24"/>
        </w:rPr>
        <w:t xml:space="preserve">Esto pone en evidencia la proliferación de diferentes medidas de protección </w:t>
      </w:r>
      <w:r w:rsidR="00227403">
        <w:rPr>
          <w:rFonts w:ascii="Calibri" w:hAnsi="Calibri" w:cs="Calibri"/>
          <w:sz w:val="24"/>
          <w:szCs w:val="24"/>
        </w:rPr>
        <w:t xml:space="preserve">a las industrias nacionales </w:t>
      </w:r>
      <w:r w:rsidR="00605F80" w:rsidRPr="00227403">
        <w:rPr>
          <w:rFonts w:ascii="Calibri" w:hAnsi="Calibri" w:cs="Calibri"/>
          <w:sz w:val="24"/>
          <w:szCs w:val="24"/>
        </w:rPr>
        <w:t xml:space="preserve">de varillas, contra </w:t>
      </w:r>
      <w:r w:rsidR="00227403">
        <w:rPr>
          <w:rFonts w:ascii="Calibri" w:hAnsi="Calibri" w:cs="Calibri"/>
          <w:sz w:val="24"/>
          <w:szCs w:val="24"/>
        </w:rPr>
        <w:t xml:space="preserve">específicamente </w:t>
      </w:r>
      <w:r w:rsidR="00605F80" w:rsidRPr="00227403">
        <w:rPr>
          <w:rFonts w:ascii="Calibri" w:hAnsi="Calibri" w:cs="Calibri"/>
          <w:sz w:val="24"/>
          <w:szCs w:val="24"/>
        </w:rPr>
        <w:t>los exportadores turcos</w:t>
      </w:r>
      <w:r w:rsidR="00227403">
        <w:rPr>
          <w:rFonts w:ascii="Calibri" w:hAnsi="Calibri" w:cs="Calibri"/>
          <w:sz w:val="24"/>
          <w:szCs w:val="24"/>
        </w:rPr>
        <w:t xml:space="preserve">.  Esto </w:t>
      </w:r>
      <w:r w:rsidR="00605F80" w:rsidRPr="00227403">
        <w:rPr>
          <w:rFonts w:ascii="Calibri" w:hAnsi="Calibri" w:cs="Calibri"/>
          <w:sz w:val="24"/>
          <w:szCs w:val="24"/>
        </w:rPr>
        <w:t xml:space="preserve">ha limitado su capacidad exportadora, presionando a diversificarse hacia otros mercados.  </w:t>
      </w:r>
    </w:p>
    <w:tbl>
      <w:tblPr>
        <w:tblW w:w="10072" w:type="dxa"/>
        <w:tblLook w:val="04A0" w:firstRow="1" w:lastRow="0" w:firstColumn="1" w:lastColumn="0" w:noHBand="0" w:noVBand="1"/>
      </w:tblPr>
      <w:tblGrid>
        <w:gridCol w:w="3685"/>
        <w:gridCol w:w="2520"/>
        <w:gridCol w:w="3150"/>
        <w:gridCol w:w="717"/>
      </w:tblGrid>
      <w:tr w:rsidR="00023F9E" w:rsidRPr="00227403" w14:paraId="17E9AEE0" w14:textId="77777777" w:rsidTr="006001DE">
        <w:trPr>
          <w:gridAfter w:val="1"/>
          <w:wAfter w:w="717" w:type="dxa"/>
          <w:trHeight w:val="499"/>
        </w:trPr>
        <w:tc>
          <w:tcPr>
            <w:tcW w:w="9355"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44913911" w14:textId="77777777" w:rsidR="00023F9E" w:rsidRPr="00227403" w:rsidRDefault="00023F9E" w:rsidP="006001DE">
            <w:pPr>
              <w:spacing w:after="0" w:line="240" w:lineRule="auto"/>
              <w:jc w:val="center"/>
              <w:rPr>
                <w:rFonts w:ascii="Calibri" w:eastAsia="Times New Roman" w:hAnsi="Calibri" w:cs="Calibri"/>
                <w:b/>
                <w:bCs/>
                <w:color w:val="000000"/>
              </w:rPr>
            </w:pPr>
            <w:r w:rsidRPr="00227403">
              <w:rPr>
                <w:rFonts w:ascii="Calibri" w:eastAsia="Times New Roman" w:hAnsi="Calibri" w:cs="Calibri"/>
                <w:b/>
                <w:bCs/>
                <w:color w:val="000000"/>
              </w:rPr>
              <w:t xml:space="preserve">Cantidad Intervenciones de Protección a la Industria del Acero (HS 72) </w:t>
            </w:r>
          </w:p>
          <w:p w14:paraId="124719BE" w14:textId="77777777" w:rsidR="00023F9E" w:rsidRPr="00227403" w:rsidRDefault="00023F9E" w:rsidP="006001DE">
            <w:pPr>
              <w:spacing w:after="0" w:line="240" w:lineRule="auto"/>
              <w:jc w:val="center"/>
              <w:rPr>
                <w:rFonts w:ascii="Calibri" w:eastAsia="Times New Roman" w:hAnsi="Calibri" w:cs="Calibri"/>
                <w:b/>
                <w:bCs/>
                <w:color w:val="000000"/>
              </w:rPr>
            </w:pPr>
            <w:r w:rsidRPr="00227403">
              <w:rPr>
                <w:rFonts w:ascii="Calibri" w:eastAsia="Times New Roman" w:hAnsi="Calibri" w:cs="Calibri"/>
                <w:b/>
                <w:bCs/>
                <w:color w:val="000000"/>
              </w:rPr>
              <w:t>Excluyendo las intervenciones de "Contratación Pública”</w:t>
            </w:r>
          </w:p>
          <w:p w14:paraId="4CB35C53" w14:textId="77777777" w:rsidR="00023F9E" w:rsidRPr="00227403" w:rsidRDefault="00023F9E" w:rsidP="006001DE">
            <w:pPr>
              <w:spacing w:after="0" w:line="240" w:lineRule="auto"/>
              <w:jc w:val="center"/>
              <w:rPr>
                <w:rFonts w:ascii="Calibri" w:eastAsia="Times New Roman" w:hAnsi="Calibri" w:cs="Calibri"/>
                <w:b/>
                <w:bCs/>
                <w:color w:val="000000"/>
              </w:rPr>
            </w:pPr>
            <w:r w:rsidRPr="00227403">
              <w:rPr>
                <w:rFonts w:ascii="Calibri" w:eastAsia="Times New Roman" w:hAnsi="Calibri" w:cs="Calibri"/>
                <w:b/>
                <w:bCs/>
                <w:color w:val="000000"/>
              </w:rPr>
              <w:t xml:space="preserve">Análisis Comparativo por periodo  </w:t>
            </w:r>
          </w:p>
        </w:tc>
      </w:tr>
      <w:tr w:rsidR="00023F9E" w:rsidRPr="00227403" w14:paraId="12F47674" w14:textId="77777777" w:rsidTr="006001DE">
        <w:trPr>
          <w:trHeight w:val="292"/>
        </w:trPr>
        <w:tc>
          <w:tcPr>
            <w:tcW w:w="9355" w:type="dxa"/>
            <w:gridSpan w:val="3"/>
            <w:vMerge/>
            <w:tcBorders>
              <w:top w:val="single" w:sz="4" w:space="0" w:color="auto"/>
              <w:left w:val="single" w:sz="4" w:space="0" w:color="auto"/>
              <w:bottom w:val="single" w:sz="4" w:space="0" w:color="000000"/>
              <w:right w:val="single" w:sz="4" w:space="0" w:color="000000"/>
            </w:tcBorders>
            <w:vAlign w:val="center"/>
            <w:hideMark/>
          </w:tcPr>
          <w:p w14:paraId="7AE68F3A" w14:textId="77777777" w:rsidR="00023F9E" w:rsidRPr="00227403" w:rsidRDefault="00023F9E" w:rsidP="006001DE">
            <w:pPr>
              <w:spacing w:after="0" w:line="240" w:lineRule="auto"/>
              <w:rPr>
                <w:rFonts w:ascii="Calibri" w:eastAsia="Times New Roman" w:hAnsi="Calibri" w:cs="Calibri"/>
                <w:b/>
                <w:bCs/>
                <w:color w:val="000000"/>
              </w:rPr>
            </w:pPr>
          </w:p>
        </w:tc>
        <w:tc>
          <w:tcPr>
            <w:tcW w:w="717" w:type="dxa"/>
            <w:tcBorders>
              <w:top w:val="nil"/>
              <w:left w:val="nil"/>
              <w:bottom w:val="nil"/>
              <w:right w:val="nil"/>
            </w:tcBorders>
            <w:noWrap/>
            <w:vAlign w:val="bottom"/>
            <w:hideMark/>
          </w:tcPr>
          <w:p w14:paraId="7A11ABB0" w14:textId="77777777" w:rsidR="00023F9E" w:rsidRPr="00227403" w:rsidRDefault="00023F9E" w:rsidP="006001DE">
            <w:pPr>
              <w:spacing w:after="0" w:line="240" w:lineRule="auto"/>
              <w:jc w:val="center"/>
              <w:rPr>
                <w:rFonts w:ascii="Calibri" w:eastAsia="Times New Roman" w:hAnsi="Calibri" w:cs="Calibri"/>
                <w:b/>
                <w:bCs/>
                <w:color w:val="000000"/>
              </w:rPr>
            </w:pPr>
          </w:p>
        </w:tc>
      </w:tr>
      <w:tr w:rsidR="00023F9E" w:rsidRPr="00227403" w14:paraId="3DD69F8E" w14:textId="77777777" w:rsidTr="006001DE">
        <w:trPr>
          <w:trHeight w:val="292"/>
        </w:trPr>
        <w:tc>
          <w:tcPr>
            <w:tcW w:w="3685" w:type="dxa"/>
            <w:tcBorders>
              <w:top w:val="nil"/>
              <w:left w:val="single" w:sz="4" w:space="0" w:color="auto"/>
              <w:bottom w:val="single" w:sz="4" w:space="0" w:color="auto"/>
              <w:right w:val="single" w:sz="4" w:space="0" w:color="auto"/>
            </w:tcBorders>
            <w:noWrap/>
            <w:vAlign w:val="center"/>
            <w:hideMark/>
          </w:tcPr>
          <w:p w14:paraId="4770E8D4" w14:textId="77777777" w:rsidR="00023F9E" w:rsidRPr="00227403" w:rsidRDefault="00023F9E" w:rsidP="006001DE">
            <w:pPr>
              <w:spacing w:after="0" w:line="240" w:lineRule="auto"/>
              <w:jc w:val="center"/>
              <w:rPr>
                <w:rFonts w:ascii="Calibri" w:eastAsia="Times New Roman" w:hAnsi="Calibri" w:cs="Calibri"/>
                <w:b/>
                <w:bCs/>
                <w:color w:val="000000"/>
              </w:rPr>
            </w:pPr>
            <w:r w:rsidRPr="00227403">
              <w:rPr>
                <w:rFonts w:ascii="Calibri" w:eastAsia="Times New Roman" w:hAnsi="Calibri" w:cs="Calibri"/>
                <w:b/>
                <w:bCs/>
                <w:color w:val="000000"/>
              </w:rPr>
              <w:t>Categoría</w:t>
            </w:r>
          </w:p>
        </w:tc>
        <w:tc>
          <w:tcPr>
            <w:tcW w:w="2520" w:type="dxa"/>
            <w:tcBorders>
              <w:top w:val="nil"/>
              <w:left w:val="nil"/>
              <w:bottom w:val="single" w:sz="4" w:space="0" w:color="auto"/>
              <w:right w:val="single" w:sz="4" w:space="0" w:color="auto"/>
            </w:tcBorders>
            <w:shd w:val="clear" w:color="000000" w:fill="FDE9D9"/>
            <w:noWrap/>
            <w:vAlign w:val="center"/>
            <w:hideMark/>
          </w:tcPr>
          <w:p w14:paraId="51A0D8B1" w14:textId="77777777" w:rsidR="00023F9E" w:rsidRPr="00227403" w:rsidRDefault="00023F9E" w:rsidP="006001DE">
            <w:pPr>
              <w:spacing w:after="0" w:line="240" w:lineRule="auto"/>
              <w:jc w:val="center"/>
              <w:rPr>
                <w:rFonts w:ascii="Calibri" w:eastAsia="Times New Roman" w:hAnsi="Calibri" w:cs="Calibri"/>
                <w:b/>
                <w:bCs/>
                <w:color w:val="000000"/>
              </w:rPr>
            </w:pPr>
            <w:r w:rsidRPr="00227403">
              <w:rPr>
                <w:rFonts w:ascii="Calibri" w:eastAsia="Times New Roman" w:hAnsi="Calibri" w:cs="Calibri"/>
                <w:b/>
                <w:bCs/>
                <w:color w:val="000000"/>
              </w:rPr>
              <w:t>(2009 - 2017)</w:t>
            </w:r>
          </w:p>
        </w:tc>
        <w:tc>
          <w:tcPr>
            <w:tcW w:w="3150" w:type="dxa"/>
            <w:tcBorders>
              <w:top w:val="nil"/>
              <w:left w:val="nil"/>
              <w:bottom w:val="single" w:sz="4" w:space="0" w:color="auto"/>
              <w:right w:val="single" w:sz="4" w:space="0" w:color="auto"/>
            </w:tcBorders>
            <w:shd w:val="clear" w:color="000000" w:fill="EBF1DE"/>
            <w:noWrap/>
            <w:vAlign w:val="center"/>
            <w:hideMark/>
          </w:tcPr>
          <w:p w14:paraId="22A5E9AD" w14:textId="77777777" w:rsidR="00023F9E" w:rsidRPr="00227403" w:rsidRDefault="00023F9E" w:rsidP="006001DE">
            <w:pPr>
              <w:spacing w:after="0" w:line="240" w:lineRule="auto"/>
              <w:jc w:val="center"/>
              <w:rPr>
                <w:rFonts w:ascii="Calibri" w:eastAsia="Times New Roman" w:hAnsi="Calibri" w:cs="Calibri"/>
                <w:b/>
                <w:bCs/>
                <w:color w:val="000000"/>
              </w:rPr>
            </w:pPr>
            <w:r w:rsidRPr="00227403">
              <w:rPr>
                <w:rFonts w:ascii="Calibri" w:eastAsia="Times New Roman" w:hAnsi="Calibri" w:cs="Calibri"/>
                <w:b/>
                <w:bCs/>
                <w:color w:val="000000"/>
              </w:rPr>
              <w:t>(2018 - 2025)</w:t>
            </w:r>
          </w:p>
        </w:tc>
        <w:tc>
          <w:tcPr>
            <w:tcW w:w="717" w:type="dxa"/>
            <w:vAlign w:val="center"/>
            <w:hideMark/>
          </w:tcPr>
          <w:p w14:paraId="5202507D" w14:textId="77777777" w:rsidR="00023F9E" w:rsidRPr="00227403" w:rsidRDefault="00023F9E" w:rsidP="006001DE">
            <w:pPr>
              <w:spacing w:after="0" w:line="240" w:lineRule="auto"/>
              <w:rPr>
                <w:rFonts w:ascii="Calibri" w:eastAsia="Times New Roman" w:hAnsi="Calibri" w:cs="Calibri"/>
                <w:sz w:val="20"/>
                <w:szCs w:val="20"/>
              </w:rPr>
            </w:pPr>
          </w:p>
        </w:tc>
      </w:tr>
      <w:tr w:rsidR="00023F9E" w:rsidRPr="00227403" w14:paraId="3FD87E42" w14:textId="77777777" w:rsidTr="006001DE">
        <w:trPr>
          <w:trHeight w:val="602"/>
        </w:trPr>
        <w:tc>
          <w:tcPr>
            <w:tcW w:w="3685" w:type="dxa"/>
            <w:tcBorders>
              <w:top w:val="nil"/>
              <w:left w:val="single" w:sz="4" w:space="0" w:color="auto"/>
              <w:bottom w:val="single" w:sz="4" w:space="0" w:color="auto"/>
              <w:right w:val="single" w:sz="4" w:space="0" w:color="auto"/>
            </w:tcBorders>
            <w:noWrap/>
            <w:vAlign w:val="center"/>
            <w:hideMark/>
          </w:tcPr>
          <w:p w14:paraId="6DB3E3C0" w14:textId="44981B23" w:rsidR="00023F9E" w:rsidRPr="00227403" w:rsidRDefault="00023F9E" w:rsidP="006001DE">
            <w:pPr>
              <w:spacing w:after="0" w:line="240" w:lineRule="auto"/>
              <w:rPr>
                <w:rFonts w:ascii="Calibri" w:eastAsia="Times New Roman" w:hAnsi="Calibri" w:cs="Calibri"/>
                <w:color w:val="000000"/>
              </w:rPr>
            </w:pPr>
            <w:proofErr w:type="gramStart"/>
            <w:r w:rsidRPr="00227403">
              <w:rPr>
                <w:rFonts w:ascii="Calibri" w:eastAsia="Times New Roman" w:hAnsi="Calibri" w:cs="Calibri"/>
                <w:b/>
                <w:bCs/>
                <w:color w:val="000000"/>
              </w:rPr>
              <w:t>Total</w:t>
            </w:r>
            <w:proofErr w:type="gramEnd"/>
            <w:r w:rsidR="00605F80" w:rsidRPr="00227403">
              <w:rPr>
                <w:rFonts w:ascii="Calibri" w:eastAsia="Times New Roman" w:hAnsi="Calibri" w:cs="Calibri"/>
                <w:b/>
                <w:bCs/>
                <w:color w:val="000000"/>
              </w:rPr>
              <w:t xml:space="preserve"> de acciones de protección </w:t>
            </w:r>
          </w:p>
        </w:tc>
        <w:tc>
          <w:tcPr>
            <w:tcW w:w="2520" w:type="dxa"/>
            <w:tcBorders>
              <w:top w:val="nil"/>
              <w:left w:val="nil"/>
              <w:bottom w:val="single" w:sz="4" w:space="0" w:color="auto"/>
              <w:right w:val="single" w:sz="4" w:space="0" w:color="auto"/>
            </w:tcBorders>
            <w:shd w:val="clear" w:color="000000" w:fill="FDE9D9"/>
            <w:noWrap/>
            <w:vAlign w:val="center"/>
            <w:hideMark/>
          </w:tcPr>
          <w:p w14:paraId="29351C6F"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1,078</w:t>
            </w:r>
          </w:p>
        </w:tc>
        <w:tc>
          <w:tcPr>
            <w:tcW w:w="3150" w:type="dxa"/>
            <w:tcBorders>
              <w:top w:val="nil"/>
              <w:left w:val="nil"/>
              <w:bottom w:val="single" w:sz="4" w:space="0" w:color="auto"/>
              <w:right w:val="single" w:sz="4" w:space="0" w:color="auto"/>
            </w:tcBorders>
            <w:shd w:val="clear" w:color="000000" w:fill="EBF1DE"/>
            <w:noWrap/>
            <w:vAlign w:val="center"/>
            <w:hideMark/>
          </w:tcPr>
          <w:p w14:paraId="7590A683"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1,691</w:t>
            </w:r>
          </w:p>
        </w:tc>
        <w:tc>
          <w:tcPr>
            <w:tcW w:w="717" w:type="dxa"/>
            <w:vAlign w:val="center"/>
            <w:hideMark/>
          </w:tcPr>
          <w:p w14:paraId="4950E7C6" w14:textId="77777777" w:rsidR="00023F9E" w:rsidRPr="00227403" w:rsidRDefault="00023F9E" w:rsidP="006001DE">
            <w:pPr>
              <w:spacing w:after="0" w:line="240" w:lineRule="auto"/>
              <w:rPr>
                <w:rFonts w:ascii="Calibri" w:eastAsia="Times New Roman" w:hAnsi="Calibri" w:cs="Calibri"/>
                <w:sz w:val="20"/>
                <w:szCs w:val="20"/>
              </w:rPr>
            </w:pPr>
          </w:p>
        </w:tc>
      </w:tr>
      <w:tr w:rsidR="00023F9E" w:rsidRPr="00227403" w14:paraId="6CA07C6E" w14:textId="77777777" w:rsidTr="006001DE">
        <w:trPr>
          <w:trHeight w:val="292"/>
        </w:trPr>
        <w:tc>
          <w:tcPr>
            <w:tcW w:w="3685" w:type="dxa"/>
            <w:tcBorders>
              <w:top w:val="nil"/>
              <w:left w:val="single" w:sz="4" w:space="0" w:color="auto"/>
              <w:bottom w:val="single" w:sz="4" w:space="0" w:color="auto"/>
              <w:right w:val="single" w:sz="4" w:space="0" w:color="auto"/>
            </w:tcBorders>
            <w:vAlign w:val="center"/>
            <w:hideMark/>
          </w:tcPr>
          <w:p w14:paraId="6F706FF5" w14:textId="77777777" w:rsidR="00023F9E" w:rsidRPr="00227403" w:rsidRDefault="00023F9E" w:rsidP="006001DE">
            <w:pPr>
              <w:spacing w:after="0" w:line="240" w:lineRule="auto"/>
              <w:rPr>
                <w:rFonts w:ascii="Calibri" w:eastAsia="Times New Roman" w:hAnsi="Calibri" w:cs="Calibri"/>
                <w:color w:val="000000"/>
              </w:rPr>
            </w:pPr>
            <w:r w:rsidRPr="00227403">
              <w:rPr>
                <w:rFonts w:ascii="Calibri" w:eastAsia="Times New Roman" w:hAnsi="Calibri" w:cs="Calibri"/>
                <w:color w:val="000000"/>
              </w:rPr>
              <w:t>Intervenciones de protección dirigidas a Turquía</w:t>
            </w:r>
          </w:p>
        </w:tc>
        <w:tc>
          <w:tcPr>
            <w:tcW w:w="2520" w:type="dxa"/>
            <w:tcBorders>
              <w:top w:val="nil"/>
              <w:left w:val="nil"/>
              <w:bottom w:val="single" w:sz="4" w:space="0" w:color="auto"/>
              <w:right w:val="single" w:sz="4" w:space="0" w:color="auto"/>
            </w:tcBorders>
            <w:shd w:val="clear" w:color="000000" w:fill="FDE9D9"/>
            <w:noWrap/>
            <w:vAlign w:val="center"/>
            <w:hideMark/>
          </w:tcPr>
          <w:p w14:paraId="4783FCDE"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507</w:t>
            </w:r>
          </w:p>
        </w:tc>
        <w:tc>
          <w:tcPr>
            <w:tcW w:w="3150" w:type="dxa"/>
            <w:tcBorders>
              <w:top w:val="nil"/>
              <w:left w:val="nil"/>
              <w:bottom w:val="single" w:sz="4" w:space="0" w:color="auto"/>
              <w:right w:val="single" w:sz="4" w:space="0" w:color="auto"/>
            </w:tcBorders>
            <w:shd w:val="clear" w:color="000000" w:fill="EBF1DE"/>
            <w:noWrap/>
            <w:vAlign w:val="center"/>
            <w:hideMark/>
          </w:tcPr>
          <w:p w14:paraId="2D88BC06"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916</w:t>
            </w:r>
          </w:p>
        </w:tc>
        <w:tc>
          <w:tcPr>
            <w:tcW w:w="717" w:type="dxa"/>
            <w:vAlign w:val="center"/>
            <w:hideMark/>
          </w:tcPr>
          <w:p w14:paraId="71A1F0D1" w14:textId="77777777" w:rsidR="00023F9E" w:rsidRPr="00227403" w:rsidRDefault="00023F9E" w:rsidP="006001DE">
            <w:pPr>
              <w:spacing w:after="0" w:line="240" w:lineRule="auto"/>
              <w:rPr>
                <w:rFonts w:ascii="Calibri" w:eastAsia="Times New Roman" w:hAnsi="Calibri" w:cs="Calibri"/>
                <w:sz w:val="20"/>
                <w:szCs w:val="20"/>
              </w:rPr>
            </w:pPr>
          </w:p>
        </w:tc>
      </w:tr>
      <w:tr w:rsidR="00023F9E" w:rsidRPr="00227403" w14:paraId="2C83F43D" w14:textId="77777777" w:rsidTr="006001DE">
        <w:trPr>
          <w:trHeight w:val="584"/>
        </w:trPr>
        <w:tc>
          <w:tcPr>
            <w:tcW w:w="3685" w:type="dxa"/>
            <w:tcBorders>
              <w:top w:val="nil"/>
              <w:left w:val="single" w:sz="4" w:space="0" w:color="auto"/>
              <w:bottom w:val="single" w:sz="4" w:space="0" w:color="auto"/>
              <w:right w:val="single" w:sz="4" w:space="0" w:color="auto"/>
            </w:tcBorders>
            <w:vAlign w:val="center"/>
            <w:hideMark/>
          </w:tcPr>
          <w:p w14:paraId="63D28790" w14:textId="77777777" w:rsidR="00023F9E" w:rsidRPr="00227403" w:rsidRDefault="00023F9E" w:rsidP="006001DE">
            <w:pPr>
              <w:spacing w:after="0" w:line="240" w:lineRule="auto"/>
              <w:rPr>
                <w:rFonts w:ascii="Calibri" w:eastAsia="Times New Roman" w:hAnsi="Calibri" w:cs="Calibri"/>
                <w:color w:val="000000"/>
              </w:rPr>
            </w:pPr>
            <w:r w:rsidRPr="00227403">
              <w:rPr>
                <w:rFonts w:ascii="Calibri" w:eastAsia="Times New Roman" w:hAnsi="Calibri" w:cs="Calibri"/>
                <w:color w:val="000000"/>
              </w:rPr>
              <w:t>Intervenciones de protección dirigidas a Turquía e incluyen varillas (HS 721420)</w:t>
            </w:r>
          </w:p>
        </w:tc>
        <w:tc>
          <w:tcPr>
            <w:tcW w:w="2520" w:type="dxa"/>
            <w:tcBorders>
              <w:top w:val="nil"/>
              <w:left w:val="nil"/>
              <w:bottom w:val="single" w:sz="4" w:space="0" w:color="auto"/>
              <w:right w:val="single" w:sz="4" w:space="0" w:color="auto"/>
            </w:tcBorders>
            <w:shd w:val="clear" w:color="000000" w:fill="FDE9D9"/>
            <w:noWrap/>
            <w:vAlign w:val="center"/>
            <w:hideMark/>
          </w:tcPr>
          <w:p w14:paraId="1EA7860B"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244</w:t>
            </w:r>
          </w:p>
        </w:tc>
        <w:tc>
          <w:tcPr>
            <w:tcW w:w="3150" w:type="dxa"/>
            <w:tcBorders>
              <w:top w:val="nil"/>
              <w:left w:val="nil"/>
              <w:bottom w:val="single" w:sz="4" w:space="0" w:color="auto"/>
              <w:right w:val="single" w:sz="4" w:space="0" w:color="auto"/>
            </w:tcBorders>
            <w:shd w:val="clear" w:color="000000" w:fill="EBF1DE"/>
            <w:noWrap/>
            <w:vAlign w:val="center"/>
            <w:hideMark/>
          </w:tcPr>
          <w:p w14:paraId="1BCE0899"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174</w:t>
            </w:r>
          </w:p>
        </w:tc>
        <w:tc>
          <w:tcPr>
            <w:tcW w:w="717" w:type="dxa"/>
            <w:vAlign w:val="center"/>
            <w:hideMark/>
          </w:tcPr>
          <w:p w14:paraId="4A2C9CB0" w14:textId="77777777" w:rsidR="00023F9E" w:rsidRPr="00227403" w:rsidRDefault="00023F9E" w:rsidP="006001DE">
            <w:pPr>
              <w:spacing w:after="0" w:line="240" w:lineRule="auto"/>
              <w:rPr>
                <w:rFonts w:ascii="Calibri" w:eastAsia="Times New Roman" w:hAnsi="Calibri" w:cs="Calibri"/>
                <w:sz w:val="20"/>
                <w:szCs w:val="20"/>
              </w:rPr>
            </w:pPr>
          </w:p>
        </w:tc>
      </w:tr>
      <w:tr w:rsidR="00023F9E" w:rsidRPr="00227403" w14:paraId="3990432E" w14:textId="77777777" w:rsidTr="006001DE">
        <w:trPr>
          <w:trHeight w:val="877"/>
        </w:trPr>
        <w:tc>
          <w:tcPr>
            <w:tcW w:w="3685" w:type="dxa"/>
            <w:tcBorders>
              <w:top w:val="nil"/>
              <w:left w:val="single" w:sz="4" w:space="0" w:color="auto"/>
              <w:bottom w:val="single" w:sz="4" w:space="0" w:color="auto"/>
              <w:right w:val="single" w:sz="4" w:space="0" w:color="auto"/>
            </w:tcBorders>
            <w:vAlign w:val="center"/>
            <w:hideMark/>
          </w:tcPr>
          <w:p w14:paraId="5D3D9C01" w14:textId="77777777" w:rsidR="00023F9E" w:rsidRPr="00227403" w:rsidRDefault="00023F9E" w:rsidP="006001DE">
            <w:pPr>
              <w:spacing w:after="0" w:line="240" w:lineRule="auto"/>
              <w:rPr>
                <w:rFonts w:ascii="Calibri" w:eastAsia="Times New Roman" w:hAnsi="Calibri" w:cs="Calibri"/>
                <w:color w:val="000000"/>
              </w:rPr>
            </w:pPr>
            <w:r w:rsidRPr="00227403">
              <w:rPr>
                <w:rFonts w:ascii="Calibri" w:eastAsia="Times New Roman" w:hAnsi="Calibri" w:cs="Calibri"/>
                <w:color w:val="000000"/>
              </w:rPr>
              <w:t>Intervenciones de protección dirigidas a Turquía e incluyen varillas (HS 721420) que siguen vigentes</w:t>
            </w:r>
          </w:p>
        </w:tc>
        <w:tc>
          <w:tcPr>
            <w:tcW w:w="2520" w:type="dxa"/>
            <w:tcBorders>
              <w:top w:val="nil"/>
              <w:left w:val="nil"/>
              <w:bottom w:val="single" w:sz="4" w:space="0" w:color="auto"/>
              <w:right w:val="single" w:sz="4" w:space="0" w:color="auto"/>
            </w:tcBorders>
            <w:shd w:val="clear" w:color="000000" w:fill="FDE9D9"/>
            <w:noWrap/>
            <w:vAlign w:val="center"/>
            <w:hideMark/>
          </w:tcPr>
          <w:p w14:paraId="1F96B605"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194</w:t>
            </w:r>
          </w:p>
        </w:tc>
        <w:tc>
          <w:tcPr>
            <w:tcW w:w="3150" w:type="dxa"/>
            <w:tcBorders>
              <w:top w:val="nil"/>
              <w:left w:val="nil"/>
              <w:bottom w:val="single" w:sz="4" w:space="0" w:color="auto"/>
              <w:right w:val="single" w:sz="4" w:space="0" w:color="auto"/>
            </w:tcBorders>
            <w:shd w:val="clear" w:color="000000" w:fill="EBF1DE"/>
            <w:noWrap/>
            <w:vAlign w:val="center"/>
            <w:hideMark/>
          </w:tcPr>
          <w:p w14:paraId="73D1A79E" w14:textId="77777777" w:rsidR="00023F9E" w:rsidRPr="00227403" w:rsidRDefault="00023F9E" w:rsidP="006001DE">
            <w:pPr>
              <w:spacing w:after="0" w:line="240" w:lineRule="auto"/>
              <w:jc w:val="center"/>
              <w:rPr>
                <w:rFonts w:ascii="Calibri" w:eastAsia="Times New Roman" w:hAnsi="Calibri" w:cs="Calibri"/>
                <w:color w:val="000000"/>
              </w:rPr>
            </w:pPr>
            <w:r w:rsidRPr="00227403">
              <w:rPr>
                <w:rFonts w:ascii="Calibri" w:eastAsia="Times New Roman" w:hAnsi="Calibri" w:cs="Calibri"/>
                <w:color w:val="000000"/>
              </w:rPr>
              <w:t>143</w:t>
            </w:r>
          </w:p>
        </w:tc>
        <w:tc>
          <w:tcPr>
            <w:tcW w:w="717" w:type="dxa"/>
            <w:vAlign w:val="center"/>
            <w:hideMark/>
          </w:tcPr>
          <w:p w14:paraId="4D185561" w14:textId="77777777" w:rsidR="00023F9E" w:rsidRPr="00227403" w:rsidRDefault="00023F9E" w:rsidP="006001DE">
            <w:pPr>
              <w:spacing w:after="0" w:line="240" w:lineRule="auto"/>
              <w:rPr>
                <w:rFonts w:ascii="Calibri" w:eastAsia="Times New Roman" w:hAnsi="Calibri" w:cs="Calibri"/>
                <w:sz w:val="20"/>
                <w:szCs w:val="20"/>
              </w:rPr>
            </w:pPr>
          </w:p>
        </w:tc>
      </w:tr>
    </w:tbl>
    <w:p w14:paraId="6E6E067D" w14:textId="77777777" w:rsidR="00023F9E" w:rsidRPr="00227403" w:rsidRDefault="00023F9E" w:rsidP="00023F9E">
      <w:pPr>
        <w:rPr>
          <w:rFonts w:ascii="Calibri" w:hAnsi="Calibri" w:cs="Calibri"/>
          <w:sz w:val="18"/>
          <w:szCs w:val="18"/>
        </w:rPr>
      </w:pPr>
      <w:r w:rsidRPr="00227403">
        <w:rPr>
          <w:rFonts w:ascii="Calibri" w:hAnsi="Calibri" w:cs="Calibri"/>
          <w:sz w:val="18"/>
          <w:szCs w:val="18"/>
        </w:rPr>
        <w:t>Fuente: Elaborado por RPN con datos de GTA</w:t>
      </w:r>
    </w:p>
    <w:p w14:paraId="58B047FD" w14:textId="77777777" w:rsidR="002A1F0F" w:rsidRPr="00FD4B13" w:rsidRDefault="002A1F0F" w:rsidP="00A00477">
      <w:pPr>
        <w:spacing w:line="240" w:lineRule="auto"/>
        <w:jc w:val="both"/>
        <w:rPr>
          <w:rFonts w:ascii="Calibri" w:eastAsiaTheme="minorEastAsia" w:hAnsi="Calibri" w:cs="Calibri"/>
          <w:color w:val="000000" w:themeColor="text1"/>
          <w:kern w:val="24"/>
          <w:sz w:val="24"/>
          <w:szCs w:val="24"/>
          <w:lang w:eastAsia="es-DO"/>
        </w:rPr>
      </w:pPr>
    </w:p>
    <w:p w14:paraId="199D66AB" w14:textId="4D357043" w:rsidR="00A00477" w:rsidRPr="00FD4B13" w:rsidRDefault="00A00477" w:rsidP="00A00477">
      <w:pPr>
        <w:spacing w:line="240" w:lineRule="auto"/>
        <w:jc w:val="both"/>
        <w:rPr>
          <w:rFonts w:ascii="Calibri" w:eastAsiaTheme="minorEastAsia" w:hAnsi="Calibri" w:cs="Calibri"/>
          <w:b/>
          <w:bCs/>
          <w:color w:val="000000" w:themeColor="text1"/>
          <w:kern w:val="24"/>
          <w:sz w:val="24"/>
          <w:szCs w:val="24"/>
          <w:lang w:eastAsia="es-DO"/>
        </w:rPr>
      </w:pPr>
      <w:r w:rsidRPr="00FD4B13">
        <w:rPr>
          <w:rFonts w:ascii="Calibri" w:eastAsiaTheme="minorEastAsia" w:hAnsi="Calibri" w:cs="Calibri"/>
          <w:b/>
          <w:bCs/>
          <w:color w:val="000000" w:themeColor="text1"/>
          <w:kern w:val="24"/>
          <w:sz w:val="24"/>
          <w:szCs w:val="24"/>
          <w:lang w:eastAsia="es-DO"/>
        </w:rPr>
        <w:t xml:space="preserve">TURQUIA ESTA EXPORTANDO VOLUMENES IMPORTANTES DE VARILLAS A LA REPUBLICA DOMINICANA PARA SER RE-EXPORTADAS </w:t>
      </w:r>
    </w:p>
    <w:p w14:paraId="71673CEE" w14:textId="07636A91" w:rsidR="00605F80" w:rsidRPr="00605F80" w:rsidRDefault="00605F80" w:rsidP="00227403">
      <w:pPr>
        <w:jc w:val="both"/>
        <w:rPr>
          <w:rFonts w:ascii="Calibri" w:eastAsia="Times New Roman" w:hAnsi="Calibri" w:cs="Calibri"/>
          <w:color w:val="000000"/>
          <w:sz w:val="24"/>
          <w:szCs w:val="24"/>
          <w:lang w:eastAsia="es-DO"/>
        </w:rPr>
      </w:pPr>
      <w:r w:rsidRPr="00605F80">
        <w:rPr>
          <w:rFonts w:ascii="Calibri" w:eastAsia="Times New Roman" w:hAnsi="Calibri" w:cs="Calibri"/>
          <w:color w:val="000000"/>
          <w:sz w:val="24"/>
          <w:szCs w:val="24"/>
          <w:lang w:eastAsia="es-DO"/>
        </w:rPr>
        <w:t xml:space="preserve">Fruto de las medidas de defensa comercial por los mercados tradicionales de Turquía, </w:t>
      </w:r>
      <w:r w:rsidR="00A4691D">
        <w:rPr>
          <w:rFonts w:ascii="Calibri" w:eastAsia="Times New Roman" w:hAnsi="Calibri" w:cs="Calibri"/>
          <w:color w:val="000000"/>
          <w:sz w:val="24"/>
          <w:szCs w:val="24"/>
          <w:lang w:eastAsia="es-DO"/>
        </w:rPr>
        <w:t xml:space="preserve">sus exportadores se han visto </w:t>
      </w:r>
      <w:r w:rsidRPr="00605F80">
        <w:rPr>
          <w:rFonts w:ascii="Calibri" w:eastAsia="Times New Roman" w:hAnsi="Calibri" w:cs="Calibri"/>
          <w:color w:val="000000"/>
          <w:sz w:val="24"/>
          <w:szCs w:val="24"/>
          <w:lang w:eastAsia="es-DO"/>
        </w:rPr>
        <w:t xml:space="preserve">en la necesidad de ser más agresivos </w:t>
      </w:r>
      <w:r w:rsidR="00A4691D">
        <w:rPr>
          <w:rFonts w:ascii="Calibri" w:eastAsia="Times New Roman" w:hAnsi="Calibri" w:cs="Calibri"/>
          <w:color w:val="000000"/>
          <w:sz w:val="24"/>
          <w:szCs w:val="24"/>
          <w:lang w:eastAsia="es-DO"/>
        </w:rPr>
        <w:t xml:space="preserve">colocando sus productos en otros </w:t>
      </w:r>
      <w:r w:rsidRPr="00605F80">
        <w:rPr>
          <w:rFonts w:ascii="Calibri" w:eastAsia="Times New Roman" w:hAnsi="Calibri" w:cs="Calibri"/>
          <w:color w:val="000000"/>
          <w:sz w:val="24"/>
          <w:szCs w:val="24"/>
          <w:lang w:eastAsia="es-DO"/>
        </w:rPr>
        <w:t xml:space="preserve">destinos, incluyendo la región del caribe y Centroamérica. Entre el 2018 y el 2024 </w:t>
      </w:r>
      <w:r w:rsidR="00227403">
        <w:rPr>
          <w:rFonts w:ascii="Calibri" w:eastAsia="Times New Roman" w:hAnsi="Calibri" w:cs="Calibri"/>
          <w:color w:val="000000"/>
          <w:sz w:val="24"/>
          <w:szCs w:val="24"/>
          <w:lang w:eastAsia="es-DO"/>
        </w:rPr>
        <w:t>e</w:t>
      </w:r>
      <w:r w:rsidRPr="00605F80">
        <w:rPr>
          <w:rFonts w:ascii="Calibri" w:eastAsia="Times New Roman" w:hAnsi="Calibri" w:cs="Calibri"/>
          <w:color w:val="000000"/>
          <w:sz w:val="24"/>
          <w:szCs w:val="24"/>
          <w:lang w:eastAsia="es-DO"/>
        </w:rPr>
        <w:t>l promedio de exportaci</w:t>
      </w:r>
      <w:r w:rsidR="00227403">
        <w:rPr>
          <w:rFonts w:ascii="Calibri" w:eastAsia="Times New Roman" w:hAnsi="Calibri" w:cs="Calibri"/>
          <w:color w:val="000000"/>
          <w:sz w:val="24"/>
          <w:szCs w:val="24"/>
          <w:lang w:eastAsia="es-DO"/>
        </w:rPr>
        <w:t xml:space="preserve">ones de varillas turcas a la región fue de </w:t>
      </w:r>
      <w:r w:rsidR="00227403" w:rsidRPr="00605F80">
        <w:rPr>
          <w:rFonts w:ascii="Calibri" w:eastAsia="Times New Roman" w:hAnsi="Calibri" w:cs="Calibri"/>
          <w:color w:val="000000"/>
          <w:sz w:val="24"/>
          <w:szCs w:val="24"/>
          <w:lang w:eastAsia="es-DO"/>
        </w:rPr>
        <w:t>407</w:t>
      </w:r>
      <w:r w:rsidRPr="00605F80">
        <w:rPr>
          <w:rFonts w:ascii="Calibri" w:eastAsia="Times New Roman" w:hAnsi="Calibri" w:cs="Calibri"/>
          <w:color w:val="000000"/>
          <w:sz w:val="24"/>
          <w:szCs w:val="24"/>
          <w:lang w:eastAsia="es-DO"/>
        </w:rPr>
        <w:t xml:space="preserve"> mil toneladas</w:t>
      </w:r>
      <w:r w:rsidR="00227403">
        <w:rPr>
          <w:rFonts w:ascii="Calibri" w:eastAsia="Times New Roman" w:hAnsi="Calibri" w:cs="Calibri"/>
          <w:color w:val="000000"/>
          <w:sz w:val="24"/>
          <w:szCs w:val="24"/>
          <w:lang w:eastAsia="es-DO"/>
        </w:rPr>
        <w:t xml:space="preserve">.  </w:t>
      </w:r>
      <w:r w:rsidR="00A4691D">
        <w:rPr>
          <w:rFonts w:ascii="Calibri" w:eastAsia="Times New Roman" w:hAnsi="Calibri" w:cs="Calibri"/>
          <w:color w:val="000000"/>
          <w:sz w:val="24"/>
          <w:szCs w:val="24"/>
          <w:lang w:eastAsia="es-DO"/>
        </w:rPr>
        <w:t xml:space="preserve">  Mientras las exportaciones </w:t>
      </w:r>
      <w:r w:rsidR="00A4691D">
        <w:rPr>
          <w:rFonts w:ascii="Calibri" w:eastAsia="Times New Roman" w:hAnsi="Calibri" w:cs="Calibri"/>
          <w:color w:val="000000"/>
          <w:sz w:val="24"/>
          <w:szCs w:val="24"/>
          <w:lang w:eastAsia="es-DO"/>
        </w:rPr>
        <w:lastRenderedPageBreak/>
        <w:t xml:space="preserve">turcas se han contraído al mundo, en esta región se ha mantenido. </w:t>
      </w:r>
      <w:r w:rsidRPr="00605F80">
        <w:rPr>
          <w:rFonts w:ascii="Calibri" w:eastAsia="Times New Roman" w:hAnsi="Calibri" w:cs="Calibri"/>
          <w:color w:val="000000"/>
          <w:sz w:val="24"/>
          <w:szCs w:val="24"/>
          <w:lang w:eastAsia="es-DO"/>
        </w:rPr>
        <w:t xml:space="preserve"> </w:t>
      </w:r>
      <w:r w:rsidR="00A4691D">
        <w:rPr>
          <w:rFonts w:ascii="Calibri" w:eastAsia="Times New Roman" w:hAnsi="Calibri" w:cs="Calibri"/>
          <w:color w:val="000000"/>
          <w:sz w:val="24"/>
          <w:szCs w:val="24"/>
          <w:lang w:eastAsia="es-DO"/>
        </w:rPr>
        <w:t xml:space="preserve">De hecho, entre el 2023 y el 2024, las exportaciones turcas de varillas pasaron de 386 mil toneladas a 404 mil toneladas.  </w:t>
      </w:r>
    </w:p>
    <w:p w14:paraId="7B5FF4B0" w14:textId="2A53CBA7" w:rsidR="00A00477" w:rsidRDefault="00A4691D"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Mas relevante </w:t>
      </w:r>
      <w:r w:rsidR="00D41CEC">
        <w:rPr>
          <w:rFonts w:ascii="Calibri" w:eastAsiaTheme="minorEastAsia" w:hAnsi="Calibri" w:cs="Calibri"/>
          <w:color w:val="000000" w:themeColor="text1"/>
          <w:kern w:val="24"/>
          <w:sz w:val="24"/>
          <w:szCs w:val="24"/>
          <w:lang w:eastAsia="es-DO"/>
        </w:rPr>
        <w:t>aun, las</w:t>
      </w:r>
      <w:r>
        <w:rPr>
          <w:rFonts w:ascii="Calibri" w:eastAsiaTheme="minorEastAsia" w:hAnsi="Calibri" w:cs="Calibri"/>
          <w:color w:val="000000" w:themeColor="text1"/>
          <w:kern w:val="24"/>
          <w:sz w:val="24"/>
          <w:szCs w:val="24"/>
          <w:lang w:eastAsia="es-DO"/>
        </w:rPr>
        <w:t xml:space="preserve"> cifras </w:t>
      </w:r>
      <w:r w:rsidR="00D41CEC">
        <w:rPr>
          <w:rFonts w:ascii="Calibri" w:eastAsiaTheme="minorEastAsia" w:hAnsi="Calibri" w:cs="Calibri"/>
          <w:color w:val="000000" w:themeColor="text1"/>
          <w:kern w:val="24"/>
          <w:sz w:val="24"/>
          <w:szCs w:val="24"/>
          <w:lang w:eastAsia="es-DO"/>
        </w:rPr>
        <w:t xml:space="preserve">reportadas por </w:t>
      </w:r>
      <w:r>
        <w:rPr>
          <w:rFonts w:ascii="Calibri" w:eastAsiaTheme="minorEastAsia" w:hAnsi="Calibri" w:cs="Calibri"/>
          <w:color w:val="000000" w:themeColor="text1"/>
          <w:kern w:val="24"/>
          <w:sz w:val="24"/>
          <w:szCs w:val="24"/>
          <w:lang w:eastAsia="es-DO"/>
        </w:rPr>
        <w:t xml:space="preserve">Turquía indican que sus exportaciones a la Republica Dominicana se han incremento de forma </w:t>
      </w:r>
      <w:r w:rsidR="00D41CEC">
        <w:rPr>
          <w:rFonts w:ascii="Calibri" w:eastAsiaTheme="minorEastAsia" w:hAnsi="Calibri" w:cs="Calibri"/>
          <w:color w:val="000000" w:themeColor="text1"/>
          <w:kern w:val="24"/>
          <w:sz w:val="24"/>
          <w:szCs w:val="24"/>
          <w:lang w:eastAsia="es-DO"/>
        </w:rPr>
        <w:t xml:space="preserve">substancial. </w:t>
      </w:r>
      <w:r>
        <w:rPr>
          <w:rFonts w:ascii="Calibri" w:eastAsiaTheme="minorEastAsia" w:hAnsi="Calibri" w:cs="Calibri"/>
          <w:color w:val="000000" w:themeColor="text1"/>
          <w:kern w:val="24"/>
          <w:sz w:val="24"/>
          <w:szCs w:val="24"/>
          <w:lang w:eastAsia="es-DO"/>
        </w:rPr>
        <w:t xml:space="preserve"> Mientras la tendencia de las exportaciones turcas mundiales es a la baja, las cifras de las exportaciones hacia la Republica Dominicana son al alza.    Las cifras oficiales turcas indica</w:t>
      </w:r>
      <w:r w:rsidR="00D41CEC">
        <w:rPr>
          <w:rFonts w:ascii="Calibri" w:eastAsiaTheme="minorEastAsia" w:hAnsi="Calibri" w:cs="Calibri"/>
          <w:color w:val="000000" w:themeColor="text1"/>
          <w:kern w:val="24"/>
          <w:sz w:val="24"/>
          <w:szCs w:val="24"/>
          <w:lang w:eastAsia="es-DO"/>
        </w:rPr>
        <w:t>n</w:t>
      </w:r>
      <w:r>
        <w:rPr>
          <w:rFonts w:ascii="Calibri" w:eastAsiaTheme="minorEastAsia" w:hAnsi="Calibri" w:cs="Calibri"/>
          <w:color w:val="000000" w:themeColor="text1"/>
          <w:kern w:val="24"/>
          <w:sz w:val="24"/>
          <w:szCs w:val="24"/>
          <w:lang w:eastAsia="es-DO"/>
        </w:rPr>
        <w:t xml:space="preserve"> que en el </w:t>
      </w:r>
      <w:r w:rsidRPr="00D41CEC">
        <w:rPr>
          <w:rFonts w:ascii="Calibri" w:eastAsiaTheme="minorEastAsia" w:hAnsi="Calibri" w:cs="Calibri"/>
          <w:b/>
          <w:bCs/>
          <w:color w:val="000000" w:themeColor="text1"/>
          <w:kern w:val="24"/>
          <w:sz w:val="24"/>
          <w:szCs w:val="24"/>
          <w:lang w:eastAsia="es-DO"/>
        </w:rPr>
        <w:t>2020 exportaron 7,405 TM</w:t>
      </w:r>
      <w:r>
        <w:rPr>
          <w:rFonts w:ascii="Calibri" w:eastAsiaTheme="minorEastAsia" w:hAnsi="Calibri" w:cs="Calibri"/>
          <w:color w:val="000000" w:themeColor="text1"/>
          <w:kern w:val="24"/>
          <w:sz w:val="24"/>
          <w:szCs w:val="24"/>
          <w:lang w:eastAsia="es-DO"/>
        </w:rPr>
        <w:t xml:space="preserve">, aumentando a 24,646 TM e el 2021, </w:t>
      </w:r>
      <w:r w:rsidR="00D41CEC">
        <w:rPr>
          <w:rFonts w:ascii="Calibri" w:eastAsiaTheme="minorEastAsia" w:hAnsi="Calibri" w:cs="Calibri"/>
          <w:color w:val="000000" w:themeColor="text1"/>
          <w:kern w:val="24"/>
          <w:sz w:val="24"/>
          <w:szCs w:val="24"/>
          <w:lang w:eastAsia="es-DO"/>
        </w:rPr>
        <w:t xml:space="preserve">llegando a totalizar </w:t>
      </w:r>
      <w:r w:rsidRPr="00D41CEC">
        <w:rPr>
          <w:rFonts w:ascii="Calibri" w:eastAsiaTheme="minorEastAsia" w:hAnsi="Calibri" w:cs="Calibri"/>
          <w:b/>
          <w:bCs/>
          <w:color w:val="000000" w:themeColor="text1"/>
          <w:kern w:val="24"/>
          <w:sz w:val="24"/>
          <w:szCs w:val="24"/>
          <w:lang w:eastAsia="es-DO"/>
        </w:rPr>
        <w:t>104 mil TM en el 2024</w:t>
      </w:r>
      <w:r>
        <w:rPr>
          <w:rFonts w:ascii="Calibri" w:eastAsiaTheme="minorEastAsia" w:hAnsi="Calibri" w:cs="Calibri"/>
          <w:color w:val="000000" w:themeColor="text1"/>
          <w:kern w:val="24"/>
          <w:sz w:val="24"/>
          <w:szCs w:val="24"/>
          <w:lang w:eastAsia="es-DO"/>
        </w:rPr>
        <w:t xml:space="preserve">.  Mientras en el 2020, la Republica Dominicana representaba el 0.1% de </w:t>
      </w:r>
      <w:r w:rsidR="00D41CEC">
        <w:rPr>
          <w:rFonts w:ascii="Calibri" w:eastAsiaTheme="minorEastAsia" w:hAnsi="Calibri" w:cs="Calibri"/>
          <w:color w:val="000000" w:themeColor="text1"/>
          <w:kern w:val="24"/>
          <w:sz w:val="24"/>
          <w:szCs w:val="24"/>
          <w:lang w:eastAsia="es-DO"/>
        </w:rPr>
        <w:t xml:space="preserve">las </w:t>
      </w:r>
      <w:r>
        <w:rPr>
          <w:rFonts w:ascii="Calibri" w:eastAsiaTheme="minorEastAsia" w:hAnsi="Calibri" w:cs="Calibri"/>
          <w:color w:val="000000" w:themeColor="text1"/>
          <w:kern w:val="24"/>
          <w:sz w:val="24"/>
          <w:szCs w:val="24"/>
          <w:lang w:eastAsia="es-DO"/>
        </w:rPr>
        <w:t>exportaciones de varillas</w:t>
      </w:r>
      <w:r w:rsidR="00D41CEC">
        <w:rPr>
          <w:rFonts w:ascii="Calibri" w:eastAsiaTheme="minorEastAsia" w:hAnsi="Calibri" w:cs="Calibri"/>
          <w:color w:val="000000" w:themeColor="text1"/>
          <w:kern w:val="24"/>
          <w:sz w:val="24"/>
          <w:szCs w:val="24"/>
          <w:lang w:eastAsia="es-DO"/>
        </w:rPr>
        <w:t xml:space="preserve"> turcas</w:t>
      </w:r>
      <w:r>
        <w:rPr>
          <w:rFonts w:ascii="Calibri" w:eastAsiaTheme="minorEastAsia" w:hAnsi="Calibri" w:cs="Calibri"/>
          <w:color w:val="000000" w:themeColor="text1"/>
          <w:kern w:val="24"/>
          <w:sz w:val="24"/>
          <w:szCs w:val="24"/>
          <w:lang w:eastAsia="es-DO"/>
        </w:rPr>
        <w:t xml:space="preserve">, para el 2024 esta cifra había aumentado a 3%.   </w:t>
      </w:r>
    </w:p>
    <w:tbl>
      <w:tblPr>
        <w:tblW w:w="9250" w:type="dxa"/>
        <w:tblCellMar>
          <w:left w:w="70" w:type="dxa"/>
          <w:right w:w="70" w:type="dxa"/>
        </w:tblCellMar>
        <w:tblLook w:val="04A0" w:firstRow="1" w:lastRow="0" w:firstColumn="1" w:lastColumn="0" w:noHBand="0" w:noVBand="1"/>
      </w:tblPr>
      <w:tblGrid>
        <w:gridCol w:w="3050"/>
        <w:gridCol w:w="1240"/>
        <w:gridCol w:w="1240"/>
        <w:gridCol w:w="1240"/>
        <w:gridCol w:w="1240"/>
        <w:gridCol w:w="1240"/>
      </w:tblGrid>
      <w:tr w:rsidR="00A4691D" w:rsidRPr="00A4691D" w14:paraId="11E66400" w14:textId="77777777" w:rsidTr="00A4691D">
        <w:trPr>
          <w:trHeight w:val="300"/>
        </w:trPr>
        <w:tc>
          <w:tcPr>
            <w:tcW w:w="3050" w:type="dxa"/>
            <w:tcBorders>
              <w:top w:val="single" w:sz="8" w:space="0" w:color="auto"/>
              <w:left w:val="single" w:sz="8" w:space="0" w:color="auto"/>
              <w:bottom w:val="single" w:sz="8" w:space="0" w:color="auto"/>
              <w:right w:val="single" w:sz="8" w:space="0" w:color="auto"/>
            </w:tcBorders>
            <w:shd w:val="clear" w:color="000000" w:fill="D0D0D0"/>
            <w:noWrap/>
            <w:vAlign w:val="center"/>
            <w:hideMark/>
          </w:tcPr>
          <w:p w14:paraId="4EC47539" w14:textId="77777777" w:rsidR="00A4691D" w:rsidRPr="00A4691D" w:rsidRDefault="00A4691D" w:rsidP="00A4691D">
            <w:pPr>
              <w:spacing w:after="0" w:line="240" w:lineRule="auto"/>
              <w:rPr>
                <w:rFonts w:ascii="Aptos Narrow" w:eastAsia="Times New Roman" w:hAnsi="Aptos Narrow" w:cs="Calibri"/>
                <w:b/>
                <w:bCs/>
                <w:color w:val="000000"/>
                <w:lang w:eastAsia="es-DO"/>
              </w:rPr>
            </w:pPr>
            <w:r w:rsidRPr="00A4691D">
              <w:rPr>
                <w:rFonts w:ascii="Aptos Narrow" w:eastAsia="Times New Roman" w:hAnsi="Aptos Narrow" w:cs="Calibri"/>
                <w:b/>
                <w:bCs/>
                <w:color w:val="000000"/>
                <w:lang w:eastAsia="es-DO"/>
              </w:rPr>
              <w:t xml:space="preserve">TM </w:t>
            </w:r>
          </w:p>
        </w:tc>
        <w:tc>
          <w:tcPr>
            <w:tcW w:w="1240" w:type="dxa"/>
            <w:tcBorders>
              <w:top w:val="single" w:sz="8" w:space="0" w:color="auto"/>
              <w:left w:val="nil"/>
              <w:bottom w:val="single" w:sz="8" w:space="0" w:color="auto"/>
              <w:right w:val="single" w:sz="8" w:space="0" w:color="auto"/>
            </w:tcBorders>
            <w:shd w:val="clear" w:color="000000" w:fill="D0D0D0"/>
            <w:noWrap/>
            <w:vAlign w:val="center"/>
            <w:hideMark/>
          </w:tcPr>
          <w:p w14:paraId="61D1F5F4" w14:textId="77777777" w:rsidR="00A4691D" w:rsidRPr="00A4691D" w:rsidRDefault="00A4691D" w:rsidP="00A4691D">
            <w:pPr>
              <w:spacing w:after="0" w:line="240" w:lineRule="auto"/>
              <w:jc w:val="right"/>
              <w:rPr>
                <w:rFonts w:ascii="Aptos Narrow" w:eastAsia="Times New Roman" w:hAnsi="Aptos Narrow" w:cs="Calibri"/>
                <w:b/>
                <w:bCs/>
                <w:color w:val="000000"/>
                <w:lang w:eastAsia="es-DO"/>
              </w:rPr>
            </w:pPr>
            <w:r w:rsidRPr="00A4691D">
              <w:rPr>
                <w:rFonts w:ascii="Aptos Narrow" w:eastAsia="Times New Roman" w:hAnsi="Aptos Narrow" w:cs="Calibri"/>
                <w:b/>
                <w:bCs/>
                <w:color w:val="000000"/>
                <w:lang w:eastAsia="es-DO"/>
              </w:rPr>
              <w:t>2020</w:t>
            </w:r>
          </w:p>
        </w:tc>
        <w:tc>
          <w:tcPr>
            <w:tcW w:w="1240" w:type="dxa"/>
            <w:tcBorders>
              <w:top w:val="single" w:sz="8" w:space="0" w:color="auto"/>
              <w:left w:val="nil"/>
              <w:bottom w:val="single" w:sz="8" w:space="0" w:color="auto"/>
              <w:right w:val="single" w:sz="8" w:space="0" w:color="auto"/>
            </w:tcBorders>
            <w:shd w:val="clear" w:color="000000" w:fill="D0D0D0"/>
            <w:noWrap/>
            <w:vAlign w:val="center"/>
            <w:hideMark/>
          </w:tcPr>
          <w:p w14:paraId="4ED58135" w14:textId="77777777" w:rsidR="00A4691D" w:rsidRPr="00A4691D" w:rsidRDefault="00A4691D" w:rsidP="00A4691D">
            <w:pPr>
              <w:spacing w:after="0" w:line="240" w:lineRule="auto"/>
              <w:jc w:val="right"/>
              <w:rPr>
                <w:rFonts w:ascii="Aptos Narrow" w:eastAsia="Times New Roman" w:hAnsi="Aptos Narrow" w:cs="Calibri"/>
                <w:b/>
                <w:bCs/>
                <w:color w:val="000000"/>
                <w:lang w:eastAsia="es-DO"/>
              </w:rPr>
            </w:pPr>
            <w:r w:rsidRPr="00A4691D">
              <w:rPr>
                <w:rFonts w:ascii="Aptos Narrow" w:eastAsia="Times New Roman" w:hAnsi="Aptos Narrow" w:cs="Calibri"/>
                <w:b/>
                <w:bCs/>
                <w:color w:val="000000"/>
                <w:lang w:eastAsia="es-DO"/>
              </w:rPr>
              <w:t>2021</w:t>
            </w:r>
          </w:p>
        </w:tc>
        <w:tc>
          <w:tcPr>
            <w:tcW w:w="1240" w:type="dxa"/>
            <w:tcBorders>
              <w:top w:val="single" w:sz="8" w:space="0" w:color="auto"/>
              <w:left w:val="nil"/>
              <w:bottom w:val="single" w:sz="8" w:space="0" w:color="auto"/>
              <w:right w:val="single" w:sz="8" w:space="0" w:color="auto"/>
            </w:tcBorders>
            <w:shd w:val="clear" w:color="000000" w:fill="D0D0D0"/>
            <w:noWrap/>
            <w:vAlign w:val="center"/>
            <w:hideMark/>
          </w:tcPr>
          <w:p w14:paraId="6FCAB9D9" w14:textId="77777777" w:rsidR="00A4691D" w:rsidRPr="00A4691D" w:rsidRDefault="00A4691D" w:rsidP="00A4691D">
            <w:pPr>
              <w:spacing w:after="0" w:line="240" w:lineRule="auto"/>
              <w:jc w:val="right"/>
              <w:rPr>
                <w:rFonts w:ascii="Aptos Narrow" w:eastAsia="Times New Roman" w:hAnsi="Aptos Narrow" w:cs="Calibri"/>
                <w:b/>
                <w:bCs/>
                <w:color w:val="000000"/>
                <w:lang w:eastAsia="es-DO"/>
              </w:rPr>
            </w:pPr>
            <w:r w:rsidRPr="00A4691D">
              <w:rPr>
                <w:rFonts w:ascii="Aptos Narrow" w:eastAsia="Times New Roman" w:hAnsi="Aptos Narrow" w:cs="Calibri"/>
                <w:b/>
                <w:bCs/>
                <w:color w:val="000000"/>
                <w:lang w:eastAsia="es-DO"/>
              </w:rPr>
              <w:t>2022</w:t>
            </w:r>
          </w:p>
        </w:tc>
        <w:tc>
          <w:tcPr>
            <w:tcW w:w="1240" w:type="dxa"/>
            <w:tcBorders>
              <w:top w:val="single" w:sz="8" w:space="0" w:color="auto"/>
              <w:left w:val="nil"/>
              <w:bottom w:val="single" w:sz="8" w:space="0" w:color="auto"/>
              <w:right w:val="single" w:sz="8" w:space="0" w:color="auto"/>
            </w:tcBorders>
            <w:shd w:val="clear" w:color="000000" w:fill="D0D0D0"/>
            <w:noWrap/>
            <w:vAlign w:val="center"/>
            <w:hideMark/>
          </w:tcPr>
          <w:p w14:paraId="4F48B3BD" w14:textId="77777777" w:rsidR="00A4691D" w:rsidRPr="00A4691D" w:rsidRDefault="00A4691D" w:rsidP="00A4691D">
            <w:pPr>
              <w:spacing w:after="0" w:line="240" w:lineRule="auto"/>
              <w:jc w:val="right"/>
              <w:rPr>
                <w:rFonts w:ascii="Aptos Narrow" w:eastAsia="Times New Roman" w:hAnsi="Aptos Narrow" w:cs="Calibri"/>
                <w:b/>
                <w:bCs/>
                <w:color w:val="000000"/>
                <w:lang w:eastAsia="es-DO"/>
              </w:rPr>
            </w:pPr>
            <w:r w:rsidRPr="00A4691D">
              <w:rPr>
                <w:rFonts w:ascii="Aptos Narrow" w:eastAsia="Times New Roman" w:hAnsi="Aptos Narrow" w:cs="Calibri"/>
                <w:b/>
                <w:bCs/>
                <w:color w:val="000000"/>
                <w:lang w:eastAsia="es-DO"/>
              </w:rPr>
              <w:t>2023</w:t>
            </w:r>
          </w:p>
        </w:tc>
        <w:tc>
          <w:tcPr>
            <w:tcW w:w="1240" w:type="dxa"/>
            <w:tcBorders>
              <w:top w:val="single" w:sz="8" w:space="0" w:color="auto"/>
              <w:left w:val="nil"/>
              <w:bottom w:val="single" w:sz="8" w:space="0" w:color="auto"/>
              <w:right w:val="single" w:sz="8" w:space="0" w:color="auto"/>
            </w:tcBorders>
            <w:shd w:val="clear" w:color="000000" w:fill="D0D0D0"/>
            <w:noWrap/>
            <w:vAlign w:val="center"/>
            <w:hideMark/>
          </w:tcPr>
          <w:p w14:paraId="332447E1" w14:textId="77777777" w:rsidR="00A4691D" w:rsidRPr="00A4691D" w:rsidRDefault="00A4691D" w:rsidP="00A4691D">
            <w:pPr>
              <w:spacing w:after="0" w:line="240" w:lineRule="auto"/>
              <w:jc w:val="right"/>
              <w:rPr>
                <w:rFonts w:ascii="Aptos Narrow" w:eastAsia="Times New Roman" w:hAnsi="Aptos Narrow" w:cs="Calibri"/>
                <w:b/>
                <w:bCs/>
                <w:color w:val="000000"/>
                <w:lang w:eastAsia="es-DO"/>
              </w:rPr>
            </w:pPr>
            <w:r w:rsidRPr="00A4691D">
              <w:rPr>
                <w:rFonts w:ascii="Aptos Narrow" w:eastAsia="Times New Roman" w:hAnsi="Aptos Narrow" w:cs="Calibri"/>
                <w:b/>
                <w:bCs/>
                <w:color w:val="000000"/>
                <w:lang w:eastAsia="es-DO"/>
              </w:rPr>
              <w:t>2024</w:t>
            </w:r>
          </w:p>
        </w:tc>
      </w:tr>
      <w:tr w:rsidR="00A4691D" w:rsidRPr="00A4691D" w14:paraId="6D7750EE" w14:textId="77777777" w:rsidTr="00A4691D">
        <w:trPr>
          <w:trHeight w:val="300"/>
        </w:trPr>
        <w:tc>
          <w:tcPr>
            <w:tcW w:w="3050" w:type="dxa"/>
            <w:tcBorders>
              <w:top w:val="nil"/>
              <w:left w:val="single" w:sz="8" w:space="0" w:color="auto"/>
              <w:bottom w:val="single" w:sz="8" w:space="0" w:color="auto"/>
              <w:right w:val="single" w:sz="8" w:space="0" w:color="auto"/>
            </w:tcBorders>
            <w:noWrap/>
            <w:vAlign w:val="center"/>
            <w:hideMark/>
          </w:tcPr>
          <w:p w14:paraId="4E96FEA2" w14:textId="4B60F734" w:rsidR="00A4691D" w:rsidRPr="00A4691D" w:rsidRDefault="00A4691D" w:rsidP="00A4691D">
            <w:pPr>
              <w:spacing w:after="0" w:line="240" w:lineRule="auto"/>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 xml:space="preserve">Exportaciones </w:t>
            </w:r>
            <w:r>
              <w:rPr>
                <w:rFonts w:ascii="Aptos Narrow" w:eastAsia="Times New Roman" w:hAnsi="Aptos Narrow" w:cs="Calibri"/>
                <w:color w:val="000000"/>
                <w:lang w:eastAsia="es-DO"/>
              </w:rPr>
              <w:t xml:space="preserve">Totales </w:t>
            </w:r>
          </w:p>
        </w:tc>
        <w:tc>
          <w:tcPr>
            <w:tcW w:w="1240" w:type="dxa"/>
            <w:tcBorders>
              <w:top w:val="nil"/>
              <w:left w:val="nil"/>
              <w:bottom w:val="single" w:sz="8" w:space="0" w:color="auto"/>
              <w:right w:val="single" w:sz="8" w:space="0" w:color="auto"/>
            </w:tcBorders>
            <w:noWrap/>
            <w:vAlign w:val="center"/>
            <w:hideMark/>
          </w:tcPr>
          <w:p w14:paraId="11B37441"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5,650,706</w:t>
            </w:r>
          </w:p>
        </w:tc>
        <w:tc>
          <w:tcPr>
            <w:tcW w:w="1240" w:type="dxa"/>
            <w:tcBorders>
              <w:top w:val="nil"/>
              <w:left w:val="nil"/>
              <w:bottom w:val="single" w:sz="8" w:space="0" w:color="auto"/>
              <w:right w:val="single" w:sz="8" w:space="0" w:color="auto"/>
            </w:tcBorders>
            <w:noWrap/>
            <w:vAlign w:val="center"/>
            <w:hideMark/>
          </w:tcPr>
          <w:p w14:paraId="2C7FAE91"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7,139,406</w:t>
            </w:r>
          </w:p>
        </w:tc>
        <w:tc>
          <w:tcPr>
            <w:tcW w:w="1240" w:type="dxa"/>
            <w:tcBorders>
              <w:top w:val="nil"/>
              <w:left w:val="nil"/>
              <w:bottom w:val="single" w:sz="8" w:space="0" w:color="auto"/>
              <w:right w:val="single" w:sz="8" w:space="0" w:color="auto"/>
            </w:tcBorders>
            <w:noWrap/>
            <w:vAlign w:val="center"/>
            <w:hideMark/>
          </w:tcPr>
          <w:p w14:paraId="3958B90F"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5,466,691</w:t>
            </w:r>
          </w:p>
        </w:tc>
        <w:tc>
          <w:tcPr>
            <w:tcW w:w="1240" w:type="dxa"/>
            <w:tcBorders>
              <w:top w:val="nil"/>
              <w:left w:val="nil"/>
              <w:bottom w:val="single" w:sz="8" w:space="0" w:color="auto"/>
              <w:right w:val="single" w:sz="8" w:space="0" w:color="auto"/>
            </w:tcBorders>
            <w:noWrap/>
            <w:vAlign w:val="center"/>
            <w:hideMark/>
          </w:tcPr>
          <w:p w14:paraId="1BC039C3"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3,434,700</w:t>
            </w:r>
          </w:p>
        </w:tc>
        <w:tc>
          <w:tcPr>
            <w:tcW w:w="1240" w:type="dxa"/>
            <w:tcBorders>
              <w:top w:val="nil"/>
              <w:left w:val="nil"/>
              <w:bottom w:val="single" w:sz="8" w:space="0" w:color="auto"/>
              <w:right w:val="single" w:sz="8" w:space="0" w:color="auto"/>
            </w:tcBorders>
            <w:noWrap/>
            <w:vAlign w:val="center"/>
            <w:hideMark/>
          </w:tcPr>
          <w:p w14:paraId="3874A1FE"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3,424,383</w:t>
            </w:r>
          </w:p>
        </w:tc>
      </w:tr>
      <w:tr w:rsidR="00A4691D" w:rsidRPr="00A4691D" w14:paraId="2E52CAC4" w14:textId="77777777" w:rsidTr="00A4691D">
        <w:trPr>
          <w:trHeight w:val="290"/>
        </w:trPr>
        <w:tc>
          <w:tcPr>
            <w:tcW w:w="3050" w:type="dxa"/>
            <w:tcBorders>
              <w:top w:val="nil"/>
              <w:left w:val="single" w:sz="8" w:space="0" w:color="auto"/>
              <w:bottom w:val="nil"/>
              <w:right w:val="single" w:sz="8" w:space="0" w:color="auto"/>
            </w:tcBorders>
            <w:noWrap/>
            <w:vAlign w:val="center"/>
            <w:hideMark/>
          </w:tcPr>
          <w:p w14:paraId="1568BB7E" w14:textId="597ECE83" w:rsidR="00A4691D" w:rsidRPr="00A4691D" w:rsidRDefault="00A4691D" w:rsidP="00A4691D">
            <w:pPr>
              <w:spacing w:after="0" w:line="240" w:lineRule="auto"/>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 xml:space="preserve">Exportaciones </w:t>
            </w:r>
            <w:r>
              <w:rPr>
                <w:rFonts w:ascii="Aptos Narrow" w:eastAsia="Times New Roman" w:hAnsi="Aptos Narrow" w:cs="Calibri"/>
                <w:color w:val="000000"/>
                <w:lang w:eastAsia="es-DO"/>
              </w:rPr>
              <w:t xml:space="preserve">a </w:t>
            </w:r>
            <w:r w:rsidRPr="00A4691D">
              <w:rPr>
                <w:rFonts w:ascii="Aptos Narrow" w:eastAsia="Times New Roman" w:hAnsi="Aptos Narrow" w:cs="Calibri"/>
                <w:color w:val="000000"/>
                <w:lang w:eastAsia="es-DO"/>
              </w:rPr>
              <w:t>RD</w:t>
            </w:r>
          </w:p>
        </w:tc>
        <w:tc>
          <w:tcPr>
            <w:tcW w:w="1240" w:type="dxa"/>
            <w:tcBorders>
              <w:top w:val="nil"/>
              <w:left w:val="nil"/>
              <w:bottom w:val="nil"/>
              <w:right w:val="single" w:sz="8" w:space="0" w:color="auto"/>
            </w:tcBorders>
            <w:noWrap/>
            <w:vAlign w:val="center"/>
            <w:hideMark/>
          </w:tcPr>
          <w:p w14:paraId="6DED7C28"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7,405</w:t>
            </w:r>
          </w:p>
        </w:tc>
        <w:tc>
          <w:tcPr>
            <w:tcW w:w="1240" w:type="dxa"/>
            <w:tcBorders>
              <w:top w:val="nil"/>
              <w:left w:val="nil"/>
              <w:bottom w:val="nil"/>
              <w:right w:val="single" w:sz="8" w:space="0" w:color="auto"/>
            </w:tcBorders>
            <w:noWrap/>
            <w:vAlign w:val="center"/>
            <w:hideMark/>
          </w:tcPr>
          <w:p w14:paraId="4AC0EAE4"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24,646</w:t>
            </w:r>
          </w:p>
        </w:tc>
        <w:tc>
          <w:tcPr>
            <w:tcW w:w="1240" w:type="dxa"/>
            <w:tcBorders>
              <w:top w:val="nil"/>
              <w:left w:val="nil"/>
              <w:bottom w:val="nil"/>
              <w:right w:val="single" w:sz="8" w:space="0" w:color="auto"/>
            </w:tcBorders>
            <w:noWrap/>
            <w:vAlign w:val="center"/>
            <w:hideMark/>
          </w:tcPr>
          <w:p w14:paraId="65FFF714"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85,827</w:t>
            </w:r>
          </w:p>
        </w:tc>
        <w:tc>
          <w:tcPr>
            <w:tcW w:w="1240" w:type="dxa"/>
            <w:tcBorders>
              <w:top w:val="nil"/>
              <w:left w:val="nil"/>
              <w:bottom w:val="nil"/>
              <w:right w:val="single" w:sz="8" w:space="0" w:color="auto"/>
            </w:tcBorders>
            <w:noWrap/>
            <w:vAlign w:val="center"/>
            <w:hideMark/>
          </w:tcPr>
          <w:p w14:paraId="27B6BAB2"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39,677</w:t>
            </w:r>
          </w:p>
        </w:tc>
        <w:tc>
          <w:tcPr>
            <w:tcW w:w="1240" w:type="dxa"/>
            <w:tcBorders>
              <w:top w:val="nil"/>
              <w:left w:val="nil"/>
              <w:bottom w:val="nil"/>
              <w:right w:val="single" w:sz="8" w:space="0" w:color="auto"/>
            </w:tcBorders>
            <w:noWrap/>
            <w:vAlign w:val="center"/>
            <w:hideMark/>
          </w:tcPr>
          <w:p w14:paraId="2824FEE1" w14:textId="77777777" w:rsidR="00A4691D" w:rsidRPr="00A4691D" w:rsidRDefault="00A4691D" w:rsidP="00A4691D">
            <w:pPr>
              <w:spacing w:after="0" w:line="240" w:lineRule="auto"/>
              <w:jc w:val="right"/>
              <w:rPr>
                <w:rFonts w:ascii="Aptos Narrow" w:eastAsia="Times New Roman" w:hAnsi="Aptos Narrow" w:cs="Calibri"/>
                <w:color w:val="000000"/>
                <w:lang w:eastAsia="es-DO"/>
              </w:rPr>
            </w:pPr>
            <w:r w:rsidRPr="00A4691D">
              <w:rPr>
                <w:rFonts w:ascii="Aptos Narrow" w:eastAsia="Times New Roman" w:hAnsi="Aptos Narrow" w:cs="Calibri"/>
                <w:color w:val="000000"/>
                <w:lang w:eastAsia="es-DO"/>
              </w:rPr>
              <w:t>104,059</w:t>
            </w:r>
          </w:p>
        </w:tc>
      </w:tr>
      <w:tr w:rsidR="00A4691D" w:rsidRPr="00A4691D" w14:paraId="151656E7" w14:textId="77777777" w:rsidTr="00A4691D">
        <w:trPr>
          <w:trHeight w:val="290"/>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3939908E" w14:textId="237226AB" w:rsidR="00A4691D" w:rsidRPr="00A4691D" w:rsidRDefault="00A4691D" w:rsidP="00A4691D">
            <w:pPr>
              <w:spacing w:after="0" w:line="240" w:lineRule="auto"/>
              <w:rPr>
                <w:rFonts w:ascii="Calibri" w:eastAsia="Times New Roman" w:hAnsi="Calibri" w:cs="Calibri"/>
                <w:color w:val="000000"/>
                <w:lang w:eastAsia="es-DO"/>
              </w:rPr>
            </w:pPr>
            <w:r>
              <w:rPr>
                <w:rFonts w:ascii="Calibri" w:eastAsia="Times New Roman" w:hAnsi="Calibri" w:cs="Calibri"/>
                <w:color w:val="000000"/>
                <w:lang w:eastAsia="es-DO"/>
              </w:rPr>
              <w:t>%</w:t>
            </w:r>
            <w:r w:rsidRPr="00A4691D">
              <w:rPr>
                <w:rFonts w:ascii="Calibri" w:eastAsia="Times New Roman" w:hAnsi="Calibri" w:cs="Calibri"/>
                <w:color w:val="000000"/>
                <w:lang w:eastAsia="es-DO"/>
              </w:rPr>
              <w:t>s Exportaciones Turcas a RD</w:t>
            </w:r>
          </w:p>
        </w:tc>
        <w:tc>
          <w:tcPr>
            <w:tcW w:w="1240" w:type="dxa"/>
            <w:tcBorders>
              <w:top w:val="single" w:sz="4" w:space="0" w:color="auto"/>
              <w:left w:val="nil"/>
              <w:bottom w:val="single" w:sz="4" w:space="0" w:color="auto"/>
              <w:right w:val="single" w:sz="4" w:space="0" w:color="auto"/>
            </w:tcBorders>
            <w:noWrap/>
            <w:vAlign w:val="bottom"/>
            <w:hideMark/>
          </w:tcPr>
          <w:p w14:paraId="706B58C5" w14:textId="77777777" w:rsidR="00A4691D" w:rsidRPr="00A4691D" w:rsidRDefault="00A4691D" w:rsidP="00A4691D">
            <w:pPr>
              <w:spacing w:after="0" w:line="240" w:lineRule="auto"/>
              <w:jc w:val="right"/>
              <w:rPr>
                <w:rFonts w:ascii="Calibri" w:eastAsia="Times New Roman" w:hAnsi="Calibri" w:cs="Calibri"/>
                <w:color w:val="000000"/>
                <w:lang w:eastAsia="es-DO"/>
              </w:rPr>
            </w:pPr>
            <w:r w:rsidRPr="00A4691D">
              <w:rPr>
                <w:rFonts w:ascii="Calibri" w:eastAsia="Times New Roman" w:hAnsi="Calibri" w:cs="Calibri"/>
                <w:color w:val="000000"/>
                <w:lang w:eastAsia="es-DO"/>
              </w:rPr>
              <w:t>0.1%</w:t>
            </w:r>
          </w:p>
        </w:tc>
        <w:tc>
          <w:tcPr>
            <w:tcW w:w="1240" w:type="dxa"/>
            <w:tcBorders>
              <w:top w:val="single" w:sz="4" w:space="0" w:color="auto"/>
              <w:left w:val="nil"/>
              <w:bottom w:val="single" w:sz="4" w:space="0" w:color="auto"/>
              <w:right w:val="single" w:sz="4" w:space="0" w:color="auto"/>
            </w:tcBorders>
            <w:noWrap/>
            <w:vAlign w:val="bottom"/>
            <w:hideMark/>
          </w:tcPr>
          <w:p w14:paraId="61397ED1" w14:textId="77777777" w:rsidR="00A4691D" w:rsidRPr="00A4691D" w:rsidRDefault="00A4691D" w:rsidP="00A4691D">
            <w:pPr>
              <w:spacing w:after="0" w:line="240" w:lineRule="auto"/>
              <w:jc w:val="right"/>
              <w:rPr>
                <w:rFonts w:ascii="Calibri" w:eastAsia="Times New Roman" w:hAnsi="Calibri" w:cs="Calibri"/>
                <w:color w:val="000000"/>
                <w:lang w:eastAsia="es-DO"/>
              </w:rPr>
            </w:pPr>
            <w:r w:rsidRPr="00A4691D">
              <w:rPr>
                <w:rFonts w:ascii="Calibri" w:eastAsia="Times New Roman" w:hAnsi="Calibri" w:cs="Calibri"/>
                <w:color w:val="000000"/>
                <w:lang w:eastAsia="es-DO"/>
              </w:rPr>
              <w:t>0.3%</w:t>
            </w:r>
          </w:p>
        </w:tc>
        <w:tc>
          <w:tcPr>
            <w:tcW w:w="1240" w:type="dxa"/>
            <w:tcBorders>
              <w:top w:val="single" w:sz="4" w:space="0" w:color="auto"/>
              <w:left w:val="nil"/>
              <w:bottom w:val="single" w:sz="4" w:space="0" w:color="auto"/>
              <w:right w:val="single" w:sz="4" w:space="0" w:color="auto"/>
            </w:tcBorders>
            <w:noWrap/>
            <w:vAlign w:val="bottom"/>
            <w:hideMark/>
          </w:tcPr>
          <w:p w14:paraId="75C2FE80" w14:textId="77777777" w:rsidR="00A4691D" w:rsidRPr="00A4691D" w:rsidRDefault="00A4691D" w:rsidP="00A4691D">
            <w:pPr>
              <w:spacing w:after="0" w:line="240" w:lineRule="auto"/>
              <w:jc w:val="right"/>
              <w:rPr>
                <w:rFonts w:ascii="Calibri" w:eastAsia="Times New Roman" w:hAnsi="Calibri" w:cs="Calibri"/>
                <w:color w:val="000000"/>
                <w:lang w:eastAsia="es-DO"/>
              </w:rPr>
            </w:pPr>
            <w:r w:rsidRPr="00A4691D">
              <w:rPr>
                <w:rFonts w:ascii="Calibri" w:eastAsia="Times New Roman" w:hAnsi="Calibri" w:cs="Calibri"/>
                <w:color w:val="000000"/>
                <w:lang w:eastAsia="es-DO"/>
              </w:rPr>
              <w:t>1.6%</w:t>
            </w:r>
          </w:p>
        </w:tc>
        <w:tc>
          <w:tcPr>
            <w:tcW w:w="1240" w:type="dxa"/>
            <w:tcBorders>
              <w:top w:val="single" w:sz="4" w:space="0" w:color="auto"/>
              <w:left w:val="nil"/>
              <w:bottom w:val="single" w:sz="4" w:space="0" w:color="auto"/>
              <w:right w:val="single" w:sz="4" w:space="0" w:color="auto"/>
            </w:tcBorders>
            <w:noWrap/>
            <w:vAlign w:val="bottom"/>
            <w:hideMark/>
          </w:tcPr>
          <w:p w14:paraId="54AA67E3" w14:textId="77777777" w:rsidR="00A4691D" w:rsidRPr="00A4691D" w:rsidRDefault="00A4691D" w:rsidP="00A4691D">
            <w:pPr>
              <w:spacing w:after="0" w:line="240" w:lineRule="auto"/>
              <w:jc w:val="right"/>
              <w:rPr>
                <w:rFonts w:ascii="Calibri" w:eastAsia="Times New Roman" w:hAnsi="Calibri" w:cs="Calibri"/>
                <w:color w:val="000000"/>
                <w:lang w:eastAsia="es-DO"/>
              </w:rPr>
            </w:pPr>
            <w:r w:rsidRPr="00A4691D">
              <w:rPr>
                <w:rFonts w:ascii="Calibri" w:eastAsia="Times New Roman" w:hAnsi="Calibri" w:cs="Calibri"/>
                <w:color w:val="000000"/>
                <w:lang w:eastAsia="es-DO"/>
              </w:rPr>
              <w:t>1.2%</w:t>
            </w:r>
          </w:p>
        </w:tc>
        <w:tc>
          <w:tcPr>
            <w:tcW w:w="1240" w:type="dxa"/>
            <w:tcBorders>
              <w:top w:val="single" w:sz="4" w:space="0" w:color="auto"/>
              <w:left w:val="nil"/>
              <w:bottom w:val="single" w:sz="4" w:space="0" w:color="auto"/>
              <w:right w:val="single" w:sz="4" w:space="0" w:color="auto"/>
            </w:tcBorders>
            <w:noWrap/>
            <w:vAlign w:val="bottom"/>
            <w:hideMark/>
          </w:tcPr>
          <w:p w14:paraId="2860652E" w14:textId="77777777" w:rsidR="00A4691D" w:rsidRPr="00A4691D" w:rsidRDefault="00A4691D" w:rsidP="00A4691D">
            <w:pPr>
              <w:spacing w:after="0" w:line="240" w:lineRule="auto"/>
              <w:jc w:val="right"/>
              <w:rPr>
                <w:rFonts w:ascii="Calibri" w:eastAsia="Times New Roman" w:hAnsi="Calibri" w:cs="Calibri"/>
                <w:color w:val="000000"/>
                <w:lang w:eastAsia="es-DO"/>
              </w:rPr>
            </w:pPr>
            <w:r w:rsidRPr="00A4691D">
              <w:rPr>
                <w:rFonts w:ascii="Calibri" w:eastAsia="Times New Roman" w:hAnsi="Calibri" w:cs="Calibri"/>
                <w:color w:val="000000"/>
                <w:lang w:eastAsia="es-DO"/>
              </w:rPr>
              <w:t>3.0%</w:t>
            </w:r>
          </w:p>
        </w:tc>
      </w:tr>
    </w:tbl>
    <w:p w14:paraId="3CA67D7D" w14:textId="32A5E501" w:rsidR="00A4691D" w:rsidRDefault="00D41CEC"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Fuente:  en base a datos de </w:t>
      </w:r>
      <w:proofErr w:type="spellStart"/>
      <w:r>
        <w:rPr>
          <w:rFonts w:ascii="Calibri" w:eastAsiaTheme="minorEastAsia" w:hAnsi="Calibri" w:cs="Calibri"/>
          <w:color w:val="000000" w:themeColor="text1"/>
          <w:kern w:val="24"/>
          <w:sz w:val="24"/>
          <w:szCs w:val="24"/>
          <w:lang w:eastAsia="es-DO"/>
        </w:rPr>
        <w:t>trademap</w:t>
      </w:r>
      <w:proofErr w:type="spellEnd"/>
    </w:p>
    <w:p w14:paraId="3AA2712C" w14:textId="3E345940" w:rsidR="00A4691D" w:rsidRPr="00605F80" w:rsidRDefault="00A4691D"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Estas cifras ponen en evidencia la rápida y alta capacidad exportadora turca. </w:t>
      </w:r>
    </w:p>
    <w:p w14:paraId="5CD77C0C" w14:textId="39C2E0DF" w:rsidR="002A1F0F" w:rsidRPr="00FD4B13" w:rsidRDefault="002A1F0F" w:rsidP="00A00477">
      <w:pPr>
        <w:spacing w:line="240" w:lineRule="auto"/>
        <w:jc w:val="both"/>
        <w:rPr>
          <w:rFonts w:ascii="Calibri" w:eastAsiaTheme="minorEastAsia" w:hAnsi="Calibri" w:cs="Calibri"/>
          <w:b/>
          <w:bCs/>
          <w:color w:val="000000" w:themeColor="text1"/>
          <w:kern w:val="24"/>
          <w:sz w:val="24"/>
          <w:szCs w:val="24"/>
          <w:lang w:eastAsia="es-DO"/>
        </w:rPr>
      </w:pPr>
    </w:p>
    <w:p w14:paraId="139BD980" w14:textId="6DF06F2C" w:rsidR="00A00477" w:rsidRPr="00FD4B13" w:rsidRDefault="00A00477" w:rsidP="00A00477">
      <w:pPr>
        <w:spacing w:line="240" w:lineRule="auto"/>
        <w:jc w:val="both"/>
        <w:rPr>
          <w:rFonts w:ascii="Calibri" w:eastAsiaTheme="minorEastAsia" w:hAnsi="Calibri" w:cs="Calibri"/>
          <w:b/>
          <w:bCs/>
          <w:color w:val="000000" w:themeColor="text1"/>
          <w:kern w:val="24"/>
          <w:sz w:val="24"/>
          <w:szCs w:val="24"/>
          <w:lang w:eastAsia="es-DO"/>
        </w:rPr>
      </w:pPr>
      <w:r w:rsidRPr="00FD4B13">
        <w:rPr>
          <w:rFonts w:ascii="Calibri" w:eastAsiaTheme="minorEastAsia" w:hAnsi="Calibri" w:cs="Calibri"/>
          <w:b/>
          <w:bCs/>
          <w:color w:val="000000" w:themeColor="text1"/>
          <w:kern w:val="24"/>
          <w:sz w:val="24"/>
          <w:szCs w:val="24"/>
          <w:lang w:eastAsia="es-DO"/>
        </w:rPr>
        <w:t xml:space="preserve">LAS VARILLAS EXPORTADAS </w:t>
      </w:r>
      <w:r w:rsidR="00D41CEC">
        <w:rPr>
          <w:rFonts w:ascii="Calibri" w:eastAsiaTheme="minorEastAsia" w:hAnsi="Calibri" w:cs="Calibri"/>
          <w:b/>
          <w:bCs/>
          <w:color w:val="000000" w:themeColor="text1"/>
          <w:kern w:val="24"/>
          <w:sz w:val="24"/>
          <w:szCs w:val="24"/>
          <w:lang w:eastAsia="es-DO"/>
        </w:rPr>
        <w:t xml:space="preserve">POR TURQUIA </w:t>
      </w:r>
      <w:r w:rsidRPr="00FD4B13">
        <w:rPr>
          <w:rFonts w:ascii="Calibri" w:eastAsiaTheme="minorEastAsia" w:hAnsi="Calibri" w:cs="Calibri"/>
          <w:b/>
          <w:bCs/>
          <w:color w:val="000000" w:themeColor="text1"/>
          <w:kern w:val="24"/>
          <w:sz w:val="24"/>
          <w:szCs w:val="24"/>
          <w:lang w:eastAsia="es-DO"/>
        </w:rPr>
        <w:t xml:space="preserve">A </w:t>
      </w:r>
      <w:r w:rsidR="00D41CEC">
        <w:rPr>
          <w:rFonts w:ascii="Calibri" w:eastAsiaTheme="minorEastAsia" w:hAnsi="Calibri" w:cs="Calibri"/>
          <w:b/>
          <w:bCs/>
          <w:color w:val="000000" w:themeColor="text1"/>
          <w:kern w:val="24"/>
          <w:sz w:val="24"/>
          <w:szCs w:val="24"/>
          <w:lang w:eastAsia="es-DO"/>
        </w:rPr>
        <w:t xml:space="preserve">LA </w:t>
      </w:r>
      <w:r w:rsidRPr="00FD4B13">
        <w:rPr>
          <w:rFonts w:ascii="Calibri" w:eastAsiaTheme="minorEastAsia" w:hAnsi="Calibri" w:cs="Calibri"/>
          <w:b/>
          <w:bCs/>
          <w:color w:val="000000" w:themeColor="text1"/>
          <w:kern w:val="24"/>
          <w:sz w:val="24"/>
          <w:szCs w:val="24"/>
          <w:lang w:eastAsia="es-DO"/>
        </w:rPr>
        <w:t xml:space="preserve">REPUBLICA DOMINICANA </w:t>
      </w:r>
      <w:r w:rsidR="00D41CEC">
        <w:rPr>
          <w:rFonts w:ascii="Calibri" w:eastAsiaTheme="minorEastAsia" w:hAnsi="Calibri" w:cs="Calibri"/>
          <w:b/>
          <w:bCs/>
          <w:color w:val="000000" w:themeColor="text1"/>
          <w:kern w:val="24"/>
          <w:sz w:val="24"/>
          <w:szCs w:val="24"/>
          <w:lang w:eastAsia="es-DO"/>
        </w:rPr>
        <w:t xml:space="preserve">SON PRINCIPALEMNTE PARA SER </w:t>
      </w:r>
      <w:r w:rsidRPr="00FD4B13">
        <w:rPr>
          <w:rFonts w:ascii="Calibri" w:eastAsiaTheme="minorEastAsia" w:hAnsi="Calibri" w:cs="Calibri"/>
          <w:b/>
          <w:bCs/>
          <w:color w:val="000000" w:themeColor="text1"/>
          <w:kern w:val="24"/>
          <w:sz w:val="24"/>
          <w:szCs w:val="24"/>
          <w:lang w:eastAsia="es-DO"/>
        </w:rPr>
        <w:t xml:space="preserve">RE-EXPORTADAS </w:t>
      </w:r>
    </w:p>
    <w:p w14:paraId="0AEBB60E" w14:textId="0EAD8DEA" w:rsidR="00D41CEC" w:rsidRDefault="00D41CEC"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E</w:t>
      </w:r>
      <w:r w:rsidR="00A4691D">
        <w:rPr>
          <w:rFonts w:ascii="Calibri" w:eastAsiaTheme="minorEastAsia" w:hAnsi="Calibri" w:cs="Calibri"/>
          <w:color w:val="000000" w:themeColor="text1"/>
          <w:kern w:val="24"/>
          <w:sz w:val="24"/>
          <w:szCs w:val="24"/>
          <w:lang w:eastAsia="es-DO"/>
        </w:rPr>
        <w:t xml:space="preserve">s importante </w:t>
      </w:r>
      <w:r>
        <w:rPr>
          <w:rFonts w:ascii="Calibri" w:eastAsiaTheme="minorEastAsia" w:hAnsi="Calibri" w:cs="Calibri"/>
          <w:color w:val="000000" w:themeColor="text1"/>
          <w:kern w:val="24"/>
          <w:sz w:val="24"/>
          <w:szCs w:val="24"/>
          <w:lang w:eastAsia="es-DO"/>
        </w:rPr>
        <w:t>señalar que</w:t>
      </w:r>
      <w:r w:rsidR="00A4691D">
        <w:rPr>
          <w:rFonts w:ascii="Calibri" w:eastAsiaTheme="minorEastAsia" w:hAnsi="Calibri" w:cs="Calibri"/>
          <w:color w:val="000000" w:themeColor="text1"/>
          <w:kern w:val="24"/>
          <w:sz w:val="24"/>
          <w:szCs w:val="24"/>
          <w:lang w:eastAsia="es-DO"/>
        </w:rPr>
        <w:t xml:space="preserve"> las cifras de exportaci</w:t>
      </w:r>
      <w:r>
        <w:rPr>
          <w:rFonts w:ascii="Calibri" w:eastAsiaTheme="minorEastAsia" w:hAnsi="Calibri" w:cs="Calibri"/>
          <w:color w:val="000000" w:themeColor="text1"/>
          <w:kern w:val="24"/>
          <w:sz w:val="24"/>
          <w:szCs w:val="24"/>
          <w:lang w:eastAsia="es-DO"/>
        </w:rPr>
        <w:t xml:space="preserve">ones de </w:t>
      </w:r>
      <w:r w:rsidR="00A4691D">
        <w:rPr>
          <w:rFonts w:ascii="Calibri" w:eastAsiaTheme="minorEastAsia" w:hAnsi="Calibri" w:cs="Calibri"/>
          <w:color w:val="000000" w:themeColor="text1"/>
          <w:kern w:val="24"/>
          <w:sz w:val="24"/>
          <w:szCs w:val="24"/>
          <w:lang w:eastAsia="es-DO"/>
        </w:rPr>
        <w:t xml:space="preserve">Turquía no </w:t>
      </w:r>
      <w:r>
        <w:rPr>
          <w:rFonts w:ascii="Calibri" w:eastAsiaTheme="minorEastAsia" w:hAnsi="Calibri" w:cs="Calibri"/>
          <w:color w:val="000000" w:themeColor="text1"/>
          <w:kern w:val="24"/>
          <w:sz w:val="24"/>
          <w:szCs w:val="24"/>
          <w:lang w:eastAsia="es-DO"/>
        </w:rPr>
        <w:t xml:space="preserve">han llegado a </w:t>
      </w:r>
      <w:r w:rsidR="00A4691D">
        <w:rPr>
          <w:rFonts w:ascii="Calibri" w:eastAsiaTheme="minorEastAsia" w:hAnsi="Calibri" w:cs="Calibri"/>
          <w:color w:val="000000" w:themeColor="text1"/>
          <w:kern w:val="24"/>
          <w:sz w:val="24"/>
          <w:szCs w:val="24"/>
          <w:lang w:eastAsia="es-DO"/>
        </w:rPr>
        <w:t>ser interna</w:t>
      </w:r>
      <w:r>
        <w:rPr>
          <w:rFonts w:ascii="Calibri" w:eastAsiaTheme="minorEastAsia" w:hAnsi="Calibri" w:cs="Calibri"/>
          <w:color w:val="000000" w:themeColor="text1"/>
          <w:kern w:val="24"/>
          <w:sz w:val="24"/>
          <w:szCs w:val="24"/>
          <w:lang w:eastAsia="es-DO"/>
        </w:rPr>
        <w:t xml:space="preserve">lizadas en su totalidad al mercado </w:t>
      </w:r>
      <w:r w:rsidR="00A4691D">
        <w:rPr>
          <w:rFonts w:ascii="Calibri" w:eastAsiaTheme="minorEastAsia" w:hAnsi="Calibri" w:cs="Calibri"/>
          <w:color w:val="000000" w:themeColor="text1"/>
          <w:kern w:val="24"/>
          <w:sz w:val="24"/>
          <w:szCs w:val="24"/>
          <w:lang w:eastAsia="es-DO"/>
        </w:rPr>
        <w:t>nacional</w:t>
      </w:r>
      <w:r>
        <w:rPr>
          <w:rFonts w:ascii="Calibri" w:eastAsiaTheme="minorEastAsia" w:hAnsi="Calibri" w:cs="Calibri"/>
          <w:color w:val="000000" w:themeColor="text1"/>
          <w:kern w:val="24"/>
          <w:sz w:val="24"/>
          <w:szCs w:val="24"/>
          <w:lang w:eastAsia="es-DO"/>
        </w:rPr>
        <w:t xml:space="preserve">, de hecho, la gran mayoría no forman parte de las cifras oficiales de importación de Republica Dominicana. </w:t>
      </w:r>
    </w:p>
    <w:p w14:paraId="1249BAB1" w14:textId="713EAFDD" w:rsidR="00A00477" w:rsidRDefault="00A4691D"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Las cifras </w:t>
      </w:r>
      <w:r w:rsidR="00D41CEC">
        <w:rPr>
          <w:rFonts w:ascii="Calibri" w:eastAsiaTheme="minorEastAsia" w:hAnsi="Calibri" w:cs="Calibri"/>
          <w:color w:val="000000" w:themeColor="text1"/>
          <w:kern w:val="24"/>
          <w:sz w:val="24"/>
          <w:szCs w:val="24"/>
          <w:lang w:eastAsia="es-DO"/>
        </w:rPr>
        <w:t xml:space="preserve">de importación </w:t>
      </w:r>
      <w:r>
        <w:rPr>
          <w:rFonts w:ascii="Calibri" w:eastAsiaTheme="minorEastAsia" w:hAnsi="Calibri" w:cs="Calibri"/>
          <w:color w:val="000000" w:themeColor="text1"/>
          <w:kern w:val="24"/>
          <w:sz w:val="24"/>
          <w:szCs w:val="24"/>
          <w:lang w:eastAsia="es-DO"/>
        </w:rPr>
        <w:t xml:space="preserve">la Direccion General de Aduanas </w:t>
      </w:r>
      <w:r w:rsidR="00D41CEC">
        <w:rPr>
          <w:rFonts w:ascii="Calibri" w:eastAsiaTheme="minorEastAsia" w:hAnsi="Calibri" w:cs="Calibri"/>
          <w:color w:val="000000" w:themeColor="text1"/>
          <w:kern w:val="24"/>
          <w:sz w:val="24"/>
          <w:szCs w:val="24"/>
          <w:lang w:eastAsia="es-DO"/>
        </w:rPr>
        <w:t xml:space="preserve">originarias de Turquía </w:t>
      </w:r>
      <w:r>
        <w:rPr>
          <w:rFonts w:ascii="Calibri" w:eastAsiaTheme="minorEastAsia" w:hAnsi="Calibri" w:cs="Calibri"/>
          <w:color w:val="000000" w:themeColor="text1"/>
          <w:kern w:val="24"/>
          <w:sz w:val="24"/>
          <w:szCs w:val="24"/>
          <w:lang w:eastAsia="es-DO"/>
        </w:rPr>
        <w:t>reflejan montos substancialmente inferiores</w:t>
      </w:r>
      <w:r w:rsidR="00D41CEC">
        <w:rPr>
          <w:rFonts w:ascii="Calibri" w:eastAsiaTheme="minorEastAsia" w:hAnsi="Calibri" w:cs="Calibri"/>
          <w:color w:val="000000" w:themeColor="text1"/>
          <w:kern w:val="24"/>
          <w:sz w:val="24"/>
          <w:szCs w:val="24"/>
          <w:lang w:eastAsia="es-DO"/>
        </w:rPr>
        <w:t xml:space="preserve">.  Las cifras que refleja la DGA </w:t>
      </w:r>
      <w:r>
        <w:rPr>
          <w:rFonts w:ascii="Calibri" w:eastAsiaTheme="minorEastAsia" w:hAnsi="Calibri" w:cs="Calibri"/>
          <w:color w:val="000000" w:themeColor="text1"/>
          <w:kern w:val="24"/>
          <w:sz w:val="24"/>
          <w:szCs w:val="24"/>
          <w:lang w:eastAsia="es-DO"/>
        </w:rPr>
        <w:t xml:space="preserve">se basaron, como bien se explica en otra sección de este documento, en importaciones puntuales realizadas </w:t>
      </w:r>
      <w:r w:rsidR="00D41CEC">
        <w:rPr>
          <w:rFonts w:ascii="Calibri" w:eastAsiaTheme="minorEastAsia" w:hAnsi="Calibri" w:cs="Calibri"/>
          <w:color w:val="000000" w:themeColor="text1"/>
          <w:kern w:val="24"/>
          <w:sz w:val="24"/>
          <w:szCs w:val="24"/>
          <w:lang w:eastAsia="es-DO"/>
        </w:rPr>
        <w:t>bajo la figura de fideicomisos</w:t>
      </w:r>
      <w:r w:rsidR="00FE6295">
        <w:rPr>
          <w:rFonts w:ascii="Calibri" w:eastAsiaTheme="minorEastAsia" w:hAnsi="Calibri" w:cs="Calibri"/>
          <w:color w:val="000000" w:themeColor="text1"/>
          <w:kern w:val="24"/>
          <w:sz w:val="24"/>
          <w:szCs w:val="24"/>
          <w:lang w:eastAsia="es-DO"/>
        </w:rPr>
        <w:t xml:space="preserve"> públicos, los cuales gozan de beneficios impositivos y van dirigidos a proyectos puntuales</w:t>
      </w:r>
      <w:r w:rsidR="00D41CEC">
        <w:rPr>
          <w:rFonts w:ascii="Calibri" w:eastAsiaTheme="minorEastAsia" w:hAnsi="Calibri" w:cs="Calibri"/>
          <w:color w:val="000000" w:themeColor="text1"/>
          <w:kern w:val="24"/>
          <w:sz w:val="24"/>
          <w:szCs w:val="24"/>
          <w:lang w:eastAsia="es-DO"/>
        </w:rPr>
        <w:t xml:space="preserve"> del gobierno central</w:t>
      </w:r>
      <w:r w:rsidR="00FE6295">
        <w:rPr>
          <w:rFonts w:ascii="Calibri" w:eastAsiaTheme="minorEastAsia" w:hAnsi="Calibri" w:cs="Calibri"/>
          <w:color w:val="000000" w:themeColor="text1"/>
          <w:kern w:val="24"/>
          <w:sz w:val="24"/>
          <w:szCs w:val="24"/>
          <w:lang w:eastAsia="es-DO"/>
        </w:rPr>
        <w:t xml:space="preserve">, siendo estas importaciones no sujetas al cobro de impuestos, y por ende no formaron parte de la dinámica comercial del mercado doméstico de varillas. </w:t>
      </w:r>
    </w:p>
    <w:p w14:paraId="1724D5AD" w14:textId="07D52183" w:rsidR="00FE6295" w:rsidRDefault="00FE6295"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Mientras en el 2024, las estadísticas de Turquía reflejan exportaciones a Republica Dominicana por </w:t>
      </w:r>
      <w:r w:rsidRPr="00D41CEC">
        <w:rPr>
          <w:rFonts w:ascii="Calibri" w:eastAsiaTheme="minorEastAsia" w:hAnsi="Calibri" w:cs="Calibri"/>
          <w:b/>
          <w:bCs/>
          <w:color w:val="000000" w:themeColor="text1"/>
          <w:kern w:val="24"/>
          <w:sz w:val="24"/>
          <w:szCs w:val="24"/>
          <w:lang w:eastAsia="es-DO"/>
        </w:rPr>
        <w:t>104 mil toneladas</w:t>
      </w:r>
      <w:r>
        <w:rPr>
          <w:rFonts w:ascii="Calibri" w:eastAsiaTheme="minorEastAsia" w:hAnsi="Calibri" w:cs="Calibri"/>
          <w:color w:val="000000" w:themeColor="text1"/>
          <w:kern w:val="24"/>
          <w:sz w:val="24"/>
          <w:szCs w:val="24"/>
          <w:lang w:eastAsia="es-DO"/>
        </w:rPr>
        <w:t xml:space="preserve">, las cifras de la DGA reflejan importaciones por unas </w:t>
      </w:r>
      <w:r w:rsidRPr="00D41CEC">
        <w:rPr>
          <w:rFonts w:ascii="Calibri" w:eastAsiaTheme="minorEastAsia" w:hAnsi="Calibri" w:cs="Calibri"/>
          <w:b/>
          <w:bCs/>
          <w:color w:val="000000" w:themeColor="text1"/>
          <w:kern w:val="24"/>
          <w:sz w:val="24"/>
          <w:szCs w:val="24"/>
          <w:lang w:eastAsia="es-DO"/>
        </w:rPr>
        <w:t xml:space="preserve">8,200 </w:t>
      </w:r>
      <w:r w:rsidR="00D41CEC" w:rsidRPr="00D41CEC">
        <w:rPr>
          <w:rFonts w:ascii="Calibri" w:eastAsiaTheme="minorEastAsia" w:hAnsi="Calibri" w:cs="Calibri"/>
          <w:b/>
          <w:bCs/>
          <w:color w:val="000000" w:themeColor="text1"/>
          <w:kern w:val="24"/>
          <w:sz w:val="24"/>
          <w:szCs w:val="24"/>
          <w:lang w:eastAsia="es-DO"/>
        </w:rPr>
        <w:t xml:space="preserve">TM </w:t>
      </w:r>
      <w:r>
        <w:rPr>
          <w:rFonts w:ascii="Calibri" w:eastAsiaTheme="minorEastAsia" w:hAnsi="Calibri" w:cs="Calibri"/>
          <w:color w:val="000000" w:themeColor="text1"/>
          <w:kern w:val="24"/>
          <w:sz w:val="24"/>
          <w:szCs w:val="24"/>
          <w:lang w:eastAsia="es-DO"/>
        </w:rPr>
        <w:t xml:space="preserve">de las cuales unas </w:t>
      </w:r>
      <w:r w:rsidRPr="00D41CEC">
        <w:rPr>
          <w:rFonts w:ascii="Calibri" w:eastAsiaTheme="minorEastAsia" w:hAnsi="Calibri" w:cs="Calibri"/>
          <w:b/>
          <w:bCs/>
          <w:color w:val="000000" w:themeColor="text1"/>
          <w:kern w:val="24"/>
          <w:sz w:val="24"/>
          <w:szCs w:val="24"/>
          <w:lang w:eastAsia="es-DO"/>
        </w:rPr>
        <w:t xml:space="preserve">6,900 </w:t>
      </w:r>
      <w:r w:rsidR="00D41CEC">
        <w:rPr>
          <w:rFonts w:ascii="Calibri" w:eastAsiaTheme="minorEastAsia" w:hAnsi="Calibri" w:cs="Calibri"/>
          <w:b/>
          <w:bCs/>
          <w:color w:val="000000" w:themeColor="text1"/>
          <w:kern w:val="24"/>
          <w:sz w:val="24"/>
          <w:szCs w:val="24"/>
          <w:lang w:eastAsia="es-DO"/>
        </w:rPr>
        <w:t xml:space="preserve">TM </w:t>
      </w:r>
      <w:r w:rsidRPr="00D41CEC">
        <w:rPr>
          <w:rFonts w:ascii="Calibri" w:eastAsiaTheme="minorEastAsia" w:hAnsi="Calibri" w:cs="Calibri"/>
          <w:b/>
          <w:bCs/>
          <w:color w:val="000000" w:themeColor="text1"/>
          <w:kern w:val="24"/>
          <w:sz w:val="24"/>
          <w:szCs w:val="24"/>
          <w:lang w:eastAsia="es-DO"/>
        </w:rPr>
        <w:t>gozaron</w:t>
      </w:r>
      <w:r>
        <w:rPr>
          <w:rFonts w:ascii="Calibri" w:eastAsiaTheme="minorEastAsia" w:hAnsi="Calibri" w:cs="Calibri"/>
          <w:color w:val="000000" w:themeColor="text1"/>
          <w:kern w:val="24"/>
          <w:sz w:val="24"/>
          <w:szCs w:val="24"/>
          <w:lang w:eastAsia="es-DO"/>
        </w:rPr>
        <w:t xml:space="preserve"> de beneficios impositiv</w:t>
      </w:r>
      <w:r w:rsidR="00D41CEC">
        <w:rPr>
          <w:rFonts w:ascii="Calibri" w:eastAsiaTheme="minorEastAsia" w:hAnsi="Calibri" w:cs="Calibri"/>
          <w:color w:val="000000" w:themeColor="text1"/>
          <w:kern w:val="24"/>
          <w:sz w:val="24"/>
          <w:szCs w:val="24"/>
          <w:lang w:eastAsia="es-DO"/>
        </w:rPr>
        <w:t>os</w:t>
      </w:r>
      <w:r>
        <w:rPr>
          <w:rFonts w:ascii="Calibri" w:eastAsiaTheme="minorEastAsia" w:hAnsi="Calibri" w:cs="Calibri"/>
          <w:color w:val="000000" w:themeColor="text1"/>
          <w:kern w:val="24"/>
          <w:sz w:val="24"/>
          <w:szCs w:val="24"/>
          <w:lang w:eastAsia="es-DO"/>
        </w:rPr>
        <w:t xml:space="preserve"> (arancel 0% ITBIS 0%). </w:t>
      </w:r>
      <w:r w:rsidR="00D41CEC">
        <w:rPr>
          <w:rFonts w:ascii="Calibri" w:eastAsiaTheme="minorEastAsia" w:hAnsi="Calibri" w:cs="Calibri"/>
          <w:color w:val="000000" w:themeColor="text1"/>
          <w:kern w:val="24"/>
          <w:sz w:val="24"/>
          <w:szCs w:val="24"/>
          <w:lang w:eastAsia="es-DO"/>
        </w:rPr>
        <w:t xml:space="preserve"> Estas 8,200 toneladas son apenas el 7.8% de lo que registra Turquía, por lo que restante 92.2% se debe dedicar a ser reexportado.  La RPN tiene conocimiento que importaciones de este tipo están siendo reexportadas a Haití. </w:t>
      </w:r>
    </w:p>
    <w:p w14:paraId="6128C775" w14:textId="77777777" w:rsidR="00D41CEC" w:rsidRDefault="00FE6295"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Al reconciliar está marcada diferencia entre las cifras reportadas por Turquía y las reportadas por </w:t>
      </w:r>
      <w:r w:rsidR="003333B1">
        <w:rPr>
          <w:rFonts w:ascii="Calibri" w:eastAsiaTheme="minorEastAsia" w:hAnsi="Calibri" w:cs="Calibri"/>
          <w:color w:val="000000" w:themeColor="text1"/>
          <w:kern w:val="24"/>
          <w:sz w:val="24"/>
          <w:szCs w:val="24"/>
          <w:lang w:eastAsia="es-DO"/>
        </w:rPr>
        <w:t>la Republica</w:t>
      </w:r>
      <w:r>
        <w:rPr>
          <w:rFonts w:ascii="Calibri" w:eastAsiaTheme="minorEastAsia" w:hAnsi="Calibri" w:cs="Calibri"/>
          <w:color w:val="000000" w:themeColor="text1"/>
          <w:kern w:val="24"/>
          <w:sz w:val="24"/>
          <w:szCs w:val="24"/>
          <w:lang w:eastAsia="es-DO"/>
        </w:rPr>
        <w:t xml:space="preserve"> Dominicana, las informaciones con que cuenta la RPN señala que dichas importaciones se debieron haber destinados a la </w:t>
      </w:r>
      <w:r w:rsidRPr="003333B1">
        <w:rPr>
          <w:rFonts w:ascii="Calibri" w:eastAsiaTheme="minorEastAsia" w:hAnsi="Calibri" w:cs="Calibri"/>
          <w:b/>
          <w:bCs/>
          <w:color w:val="000000" w:themeColor="text1"/>
          <w:kern w:val="24"/>
          <w:sz w:val="24"/>
          <w:szCs w:val="24"/>
          <w:lang w:eastAsia="es-DO"/>
        </w:rPr>
        <w:t>reexportación hacia otros destinos</w:t>
      </w:r>
      <w:r>
        <w:rPr>
          <w:rFonts w:ascii="Calibri" w:eastAsiaTheme="minorEastAsia" w:hAnsi="Calibri" w:cs="Calibri"/>
          <w:color w:val="000000" w:themeColor="text1"/>
          <w:kern w:val="24"/>
          <w:sz w:val="24"/>
          <w:szCs w:val="24"/>
          <w:lang w:eastAsia="es-DO"/>
        </w:rPr>
        <w:t xml:space="preserve">. </w:t>
      </w:r>
    </w:p>
    <w:p w14:paraId="45910ABC" w14:textId="5AB358BE" w:rsidR="00FE6295" w:rsidRDefault="003333B1"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lastRenderedPageBreak/>
        <w:t xml:space="preserve">Es importante destacar que estas exportaciones turcas realizadas a la Republica Dominicana con el objetivo de ser rexportaciones se realizaron a precios muy inferiores a los de la RPN (ver archivo anexo sobre comparación de precios reexportación y RPN). </w:t>
      </w:r>
    </w:p>
    <w:p w14:paraId="0377583D" w14:textId="31A32A35" w:rsidR="00AE27F2" w:rsidRDefault="00AE27F2" w:rsidP="00AE27F2">
      <w:pPr>
        <w:spacing w:line="240" w:lineRule="auto"/>
        <w:jc w:val="both"/>
        <w:rPr>
          <w:rFonts w:ascii="Calibri" w:eastAsiaTheme="minorEastAsia" w:hAnsi="Calibri" w:cs="Calibri"/>
          <w:b/>
          <w:bCs/>
          <w:color w:val="000000" w:themeColor="text1"/>
          <w:kern w:val="24"/>
          <w:sz w:val="24"/>
          <w:szCs w:val="24"/>
          <w:lang w:eastAsia="es-DO"/>
        </w:rPr>
      </w:pPr>
      <w:r>
        <w:rPr>
          <w:rFonts w:ascii="Calibri" w:eastAsiaTheme="minorEastAsia" w:hAnsi="Calibri" w:cs="Calibri"/>
          <w:b/>
          <w:bCs/>
          <w:color w:val="000000" w:themeColor="text1"/>
          <w:kern w:val="24"/>
          <w:sz w:val="24"/>
          <w:szCs w:val="24"/>
          <w:lang w:eastAsia="es-DO"/>
        </w:rPr>
        <w:t xml:space="preserve">LAS EXPORTACIOENES REGISTRADAS POR TURQUIA A LA REPUBLICA DOMINICANA HAN </w:t>
      </w:r>
      <w:r w:rsidRPr="00FD4B13">
        <w:rPr>
          <w:rFonts w:ascii="Calibri" w:eastAsiaTheme="minorEastAsia" w:hAnsi="Calibri" w:cs="Calibri"/>
          <w:b/>
          <w:bCs/>
          <w:color w:val="000000" w:themeColor="text1"/>
          <w:kern w:val="24"/>
          <w:sz w:val="24"/>
          <w:szCs w:val="24"/>
          <w:lang w:eastAsia="es-DO"/>
        </w:rPr>
        <w:t>EL ANALISIS DE ARIMA SENALA QUE TURQUIA SEGUIRA EXPORTANDO A PRECIOS INFERIORES A LOS DE LA RAMA DE PRODUCION NACIONAL</w:t>
      </w:r>
    </w:p>
    <w:p w14:paraId="1B948FB2" w14:textId="77777777" w:rsidR="00AE27F2" w:rsidRDefault="00AE27F2" w:rsidP="00AE27F2">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Si bien las cifras de la DGA indican que la gran mayoría de las exportaciones registradas por Turquía no fueron internalizadas al mercado doméstico, y que por ende fueron reexportadas, consideramos oportuno analizar el diferencial de precios entre los reportados por Turquía en sus exportados y los de la RPN. </w:t>
      </w:r>
    </w:p>
    <w:p w14:paraId="54B98490" w14:textId="009426C9" w:rsidR="00AE27F2" w:rsidRDefault="00AE27F2" w:rsidP="00AE27F2">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Para poder realizar un análisis comparativo entre ambos, ajustamos el valor FOB reportado por Turquía con los estimados de costo de flete y seguros, los cuales históricamente según las cifras de la DGA han representado el 6.5% del valor FOB del acero importado de Turquía.  Con este ajuste convertimos el valor FOB en valor CIF, y a estos le aplicamos el arancel de NMF de 20%.  Bajo esta metodología, se aprecia como los precios de Turquía en el 2022 fueron un 9.9% inferiores a la RPN, en el 2023 un 12%, en el 2024 un 18.5% y en el 2025, para los primeros seis meses, un 24.3%.  Aquí queda evidente la subvaloración de precios de las importaciones turcas en caso de que </w:t>
      </w:r>
      <w:r w:rsidR="00CA5FD6">
        <w:rPr>
          <w:rFonts w:ascii="Calibri" w:eastAsiaTheme="minorEastAsia" w:hAnsi="Calibri" w:cs="Calibri"/>
          <w:color w:val="000000" w:themeColor="text1"/>
          <w:kern w:val="24"/>
          <w:sz w:val="24"/>
          <w:szCs w:val="24"/>
          <w:lang w:eastAsia="es-DO"/>
        </w:rPr>
        <w:t xml:space="preserve">solo se aplique el arancel del 20% sin la tasa antidumping de 14%.  En términos de dólares por TM, la diferencia paso de US$115 la TM entre los precios de Turquía y la RPN en </w:t>
      </w:r>
      <w:proofErr w:type="gramStart"/>
      <w:r w:rsidR="00CA5FD6">
        <w:rPr>
          <w:rFonts w:ascii="Calibri" w:eastAsiaTheme="minorEastAsia" w:hAnsi="Calibri" w:cs="Calibri"/>
          <w:color w:val="000000" w:themeColor="text1"/>
          <w:kern w:val="24"/>
          <w:sz w:val="24"/>
          <w:szCs w:val="24"/>
          <w:lang w:eastAsia="es-DO"/>
        </w:rPr>
        <w:t>el  2022</w:t>
      </w:r>
      <w:proofErr w:type="gramEnd"/>
      <w:r w:rsidR="00CA5FD6">
        <w:rPr>
          <w:rFonts w:ascii="Calibri" w:eastAsiaTheme="minorEastAsia" w:hAnsi="Calibri" w:cs="Calibri"/>
          <w:color w:val="000000" w:themeColor="text1"/>
          <w:kern w:val="24"/>
          <w:sz w:val="24"/>
          <w:szCs w:val="24"/>
          <w:lang w:eastAsia="es-DO"/>
        </w:rPr>
        <w:t xml:space="preserve"> a US$243 TM en el 2025.  </w:t>
      </w:r>
    </w:p>
    <w:p w14:paraId="2042D8AE" w14:textId="77777777" w:rsidR="00AE27F2" w:rsidRPr="00FD4B13" w:rsidRDefault="00AE27F2" w:rsidP="00AE27F2">
      <w:pPr>
        <w:spacing w:line="240" w:lineRule="auto"/>
        <w:jc w:val="both"/>
        <w:rPr>
          <w:rFonts w:ascii="Calibri" w:eastAsiaTheme="minorEastAsia" w:hAnsi="Calibri" w:cs="Calibri"/>
          <w:b/>
          <w:bCs/>
          <w:color w:val="000000" w:themeColor="text1"/>
          <w:kern w:val="24"/>
          <w:sz w:val="24"/>
          <w:szCs w:val="24"/>
          <w:lang w:eastAsia="es-DO"/>
        </w:rPr>
      </w:pPr>
    </w:p>
    <w:tbl>
      <w:tblPr>
        <w:tblW w:w="9800" w:type="dxa"/>
        <w:tblCellMar>
          <w:left w:w="70" w:type="dxa"/>
          <w:right w:w="70" w:type="dxa"/>
        </w:tblCellMar>
        <w:tblLook w:val="04A0" w:firstRow="1" w:lastRow="0" w:firstColumn="1" w:lastColumn="0" w:noHBand="0" w:noVBand="1"/>
      </w:tblPr>
      <w:tblGrid>
        <w:gridCol w:w="1380"/>
        <w:gridCol w:w="2940"/>
        <w:gridCol w:w="2690"/>
        <w:gridCol w:w="2790"/>
      </w:tblGrid>
      <w:tr w:rsidR="00AE27F2" w:rsidRPr="00AE27F2" w14:paraId="4A41AA5E" w14:textId="77777777" w:rsidTr="00AE27F2">
        <w:trPr>
          <w:trHeight w:val="1160"/>
        </w:trPr>
        <w:tc>
          <w:tcPr>
            <w:tcW w:w="1380" w:type="dxa"/>
            <w:tcBorders>
              <w:top w:val="nil"/>
              <w:left w:val="nil"/>
              <w:bottom w:val="single" w:sz="4" w:space="0" w:color="8EA9DB"/>
              <w:right w:val="nil"/>
            </w:tcBorders>
            <w:shd w:val="clear" w:color="D9E1F2" w:fill="D9E1F2"/>
            <w:noWrap/>
            <w:vAlign w:val="bottom"/>
            <w:hideMark/>
          </w:tcPr>
          <w:p w14:paraId="757952A2" w14:textId="3B0A162C" w:rsidR="00AE27F2" w:rsidRPr="00AE27F2" w:rsidRDefault="00CA5FD6" w:rsidP="00AE27F2">
            <w:pPr>
              <w:spacing w:after="0" w:line="240" w:lineRule="auto"/>
              <w:rPr>
                <w:rFonts w:ascii="Calibri" w:eastAsia="Times New Roman" w:hAnsi="Calibri" w:cs="Calibri"/>
                <w:b/>
                <w:bCs/>
                <w:color w:val="000000"/>
                <w:lang w:eastAsia="es-DO"/>
              </w:rPr>
            </w:pPr>
            <w:r>
              <w:rPr>
                <w:rFonts w:ascii="Calibri" w:eastAsia="Times New Roman" w:hAnsi="Calibri" w:cs="Calibri"/>
                <w:b/>
                <w:bCs/>
                <w:color w:val="000000"/>
                <w:lang w:eastAsia="es-DO"/>
              </w:rPr>
              <w:t>Ano</w:t>
            </w:r>
            <w:r w:rsidR="00AE27F2" w:rsidRPr="00AE27F2">
              <w:rPr>
                <w:rFonts w:ascii="Calibri" w:eastAsia="Times New Roman" w:hAnsi="Calibri" w:cs="Calibri"/>
                <w:b/>
                <w:bCs/>
                <w:color w:val="000000"/>
                <w:lang w:eastAsia="es-DO"/>
              </w:rPr>
              <w:t>s</w:t>
            </w:r>
          </w:p>
        </w:tc>
        <w:tc>
          <w:tcPr>
            <w:tcW w:w="2940" w:type="dxa"/>
            <w:tcBorders>
              <w:top w:val="nil"/>
              <w:left w:val="nil"/>
              <w:bottom w:val="single" w:sz="4" w:space="0" w:color="8EA9DB"/>
              <w:right w:val="nil"/>
            </w:tcBorders>
            <w:shd w:val="clear" w:color="D9E1F2" w:fill="D9E1F2"/>
            <w:vAlign w:val="bottom"/>
            <w:hideMark/>
          </w:tcPr>
          <w:p w14:paraId="4A641A6B" w14:textId="28E604FF"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Volumen Exportado por </w:t>
            </w:r>
            <w:r w:rsidR="00CA5FD6" w:rsidRPr="00AE27F2">
              <w:rPr>
                <w:rFonts w:ascii="Calibri" w:eastAsia="Times New Roman" w:hAnsi="Calibri" w:cs="Calibri"/>
                <w:b/>
                <w:bCs/>
                <w:color w:val="000000"/>
                <w:lang w:eastAsia="es-DO"/>
              </w:rPr>
              <w:t>Turquía</w:t>
            </w:r>
            <w:r w:rsidRPr="00AE27F2">
              <w:rPr>
                <w:rFonts w:ascii="Calibri" w:eastAsia="Times New Roman" w:hAnsi="Calibri" w:cs="Calibri"/>
                <w:b/>
                <w:bCs/>
                <w:color w:val="000000"/>
                <w:lang w:eastAsia="es-DO"/>
              </w:rPr>
              <w:t xml:space="preserve"> a RD en TM (Reportado por </w:t>
            </w:r>
            <w:r w:rsidR="00CA5FD6" w:rsidRPr="00AE27F2">
              <w:rPr>
                <w:rFonts w:ascii="Calibri" w:eastAsia="Times New Roman" w:hAnsi="Calibri" w:cs="Calibri"/>
                <w:b/>
                <w:bCs/>
                <w:color w:val="000000"/>
                <w:lang w:eastAsia="es-DO"/>
              </w:rPr>
              <w:t>Turquía</w:t>
            </w:r>
            <w:r w:rsidRPr="00AE27F2">
              <w:rPr>
                <w:rFonts w:ascii="Calibri" w:eastAsia="Times New Roman" w:hAnsi="Calibri" w:cs="Calibri"/>
                <w:b/>
                <w:bCs/>
                <w:color w:val="000000"/>
                <w:lang w:eastAsia="es-DO"/>
              </w:rPr>
              <w:t xml:space="preserve">) </w:t>
            </w:r>
          </w:p>
        </w:tc>
        <w:tc>
          <w:tcPr>
            <w:tcW w:w="2690" w:type="dxa"/>
            <w:tcBorders>
              <w:top w:val="nil"/>
              <w:left w:val="nil"/>
              <w:bottom w:val="single" w:sz="4" w:space="0" w:color="8EA9DB"/>
              <w:right w:val="nil"/>
            </w:tcBorders>
            <w:shd w:val="clear" w:color="D9E1F2" w:fill="D9E1F2"/>
            <w:vAlign w:val="center"/>
            <w:hideMark/>
          </w:tcPr>
          <w:p w14:paraId="7D566797" w14:textId="77EA0CE6" w:rsidR="00AE27F2" w:rsidRPr="00AE27F2" w:rsidRDefault="00CA5FD6" w:rsidP="00AE27F2">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 xml:space="preserve">Promedio </w:t>
            </w:r>
            <w:r w:rsidRPr="00AE27F2">
              <w:rPr>
                <w:rFonts w:ascii="Calibri" w:eastAsia="Times New Roman" w:hAnsi="Calibri" w:cs="Calibri"/>
                <w:b/>
                <w:bCs/>
                <w:color w:val="000000"/>
                <w:lang w:eastAsia="es-DO"/>
              </w:rPr>
              <w:t>Margen</w:t>
            </w:r>
            <w:r w:rsidR="00AE27F2" w:rsidRPr="00AE27F2">
              <w:rPr>
                <w:rFonts w:ascii="Calibri" w:eastAsia="Times New Roman" w:hAnsi="Calibri" w:cs="Calibri"/>
                <w:b/>
                <w:bCs/>
                <w:color w:val="000000"/>
                <w:lang w:eastAsia="es-DO"/>
              </w:rPr>
              <w:t xml:space="preserve"> </w:t>
            </w:r>
            <w:r w:rsidRPr="00AE27F2">
              <w:rPr>
                <w:rFonts w:ascii="Calibri" w:eastAsia="Times New Roman" w:hAnsi="Calibri" w:cs="Calibri"/>
                <w:b/>
                <w:bCs/>
                <w:color w:val="000000"/>
                <w:lang w:eastAsia="es-DO"/>
              </w:rPr>
              <w:t>subvaloración</w:t>
            </w:r>
            <w:r w:rsidR="00AE27F2" w:rsidRPr="00AE27F2">
              <w:rPr>
                <w:rFonts w:ascii="Calibri" w:eastAsia="Times New Roman" w:hAnsi="Calibri" w:cs="Calibri"/>
                <w:b/>
                <w:bCs/>
                <w:color w:val="000000"/>
                <w:lang w:eastAsia="es-DO"/>
              </w:rPr>
              <w:t xml:space="preserve"> entre Precios </w:t>
            </w:r>
            <w:proofErr w:type="spellStart"/>
            <w:r w:rsidR="00AE27F2" w:rsidRPr="00AE27F2">
              <w:rPr>
                <w:rFonts w:ascii="Calibri" w:eastAsia="Times New Roman" w:hAnsi="Calibri" w:cs="Calibri"/>
                <w:b/>
                <w:bCs/>
                <w:color w:val="000000"/>
                <w:lang w:eastAsia="es-DO"/>
              </w:rPr>
              <w:t>Exp</w:t>
            </w:r>
            <w:proofErr w:type="spell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Trademap</w:t>
            </w:r>
            <w:proofErr w:type="spellEnd"/>
            <w:r w:rsidR="00AE27F2" w:rsidRPr="00AE27F2">
              <w:rPr>
                <w:rFonts w:ascii="Calibri" w:eastAsia="Times New Roman" w:hAnsi="Calibri" w:cs="Calibri"/>
                <w:b/>
                <w:bCs/>
                <w:color w:val="000000"/>
                <w:lang w:eastAsia="es-DO"/>
              </w:rPr>
              <w:t xml:space="preserve"> </w:t>
            </w:r>
            <w:r w:rsidRPr="00AE27F2">
              <w:rPr>
                <w:rFonts w:ascii="Calibri" w:eastAsia="Times New Roman" w:hAnsi="Calibri" w:cs="Calibri"/>
                <w:b/>
                <w:bCs/>
                <w:color w:val="000000"/>
                <w:lang w:eastAsia="es-DO"/>
              </w:rPr>
              <w:t>Turquía</w:t>
            </w:r>
            <w:r w:rsidR="00AE27F2" w:rsidRPr="00AE27F2">
              <w:rPr>
                <w:rFonts w:ascii="Calibri" w:eastAsia="Times New Roman" w:hAnsi="Calibri" w:cs="Calibri"/>
                <w:b/>
                <w:bCs/>
                <w:color w:val="000000"/>
                <w:lang w:eastAsia="es-DO"/>
              </w:rPr>
              <w:t xml:space="preserve"> y la RPN (Incluye ajuste a CIF y Arancel MFN), </w:t>
            </w:r>
            <w:r w:rsidRPr="00AE27F2">
              <w:rPr>
                <w:rFonts w:ascii="Calibri" w:eastAsia="Times New Roman" w:hAnsi="Calibri" w:cs="Calibri"/>
                <w:b/>
                <w:bCs/>
                <w:color w:val="000000"/>
                <w:lang w:eastAsia="es-DO"/>
              </w:rPr>
              <w:t>más</w:t>
            </w:r>
            <w:r w:rsidR="00AE27F2" w:rsidRPr="00AE27F2">
              <w:rPr>
                <w:rFonts w:ascii="Calibri" w:eastAsia="Times New Roman" w:hAnsi="Calibri" w:cs="Calibri"/>
                <w:b/>
                <w:bCs/>
                <w:color w:val="000000"/>
                <w:lang w:eastAsia="es-DO"/>
              </w:rPr>
              <w:t xml:space="preserve"> tasa antidumping - %</w:t>
            </w:r>
          </w:p>
        </w:tc>
        <w:tc>
          <w:tcPr>
            <w:tcW w:w="2790" w:type="dxa"/>
            <w:tcBorders>
              <w:top w:val="nil"/>
              <w:left w:val="nil"/>
              <w:bottom w:val="single" w:sz="4" w:space="0" w:color="8EA9DB"/>
              <w:right w:val="nil"/>
            </w:tcBorders>
            <w:shd w:val="clear" w:color="D9E1F2" w:fill="D9E1F2"/>
            <w:vAlign w:val="center"/>
            <w:hideMark/>
          </w:tcPr>
          <w:p w14:paraId="76D0FB32" w14:textId="6AC041AB" w:rsidR="00AE27F2" w:rsidRPr="00AE27F2" w:rsidRDefault="00CA5FD6" w:rsidP="00AE27F2">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 xml:space="preserve">Promedio </w:t>
            </w:r>
            <w:r w:rsidR="00AE27F2" w:rsidRPr="00AE27F2">
              <w:rPr>
                <w:rFonts w:ascii="Calibri" w:eastAsia="Times New Roman" w:hAnsi="Calibri" w:cs="Calibri"/>
                <w:b/>
                <w:bCs/>
                <w:color w:val="000000"/>
                <w:lang w:eastAsia="es-DO"/>
              </w:rPr>
              <w:t xml:space="preserve">Margen </w:t>
            </w:r>
            <w:r w:rsidRPr="00AE27F2">
              <w:rPr>
                <w:rFonts w:ascii="Calibri" w:eastAsia="Times New Roman" w:hAnsi="Calibri" w:cs="Calibri"/>
                <w:b/>
                <w:bCs/>
                <w:color w:val="000000"/>
                <w:lang w:eastAsia="es-DO"/>
              </w:rPr>
              <w:t>subvaloración</w:t>
            </w:r>
            <w:r w:rsidR="00AE27F2" w:rsidRPr="00AE27F2">
              <w:rPr>
                <w:rFonts w:ascii="Calibri" w:eastAsia="Times New Roman" w:hAnsi="Calibri" w:cs="Calibri"/>
                <w:b/>
                <w:bCs/>
                <w:color w:val="000000"/>
                <w:lang w:eastAsia="es-DO"/>
              </w:rPr>
              <w:t xml:space="preserve"> entre Precios </w:t>
            </w:r>
            <w:proofErr w:type="spellStart"/>
            <w:r w:rsidR="00AE27F2" w:rsidRPr="00AE27F2">
              <w:rPr>
                <w:rFonts w:ascii="Calibri" w:eastAsia="Times New Roman" w:hAnsi="Calibri" w:cs="Calibri"/>
                <w:b/>
                <w:bCs/>
                <w:color w:val="000000"/>
                <w:lang w:eastAsia="es-DO"/>
              </w:rPr>
              <w:t>Exp</w:t>
            </w:r>
            <w:proofErr w:type="spell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Trademap</w:t>
            </w:r>
            <w:proofErr w:type="spellEnd"/>
            <w:r w:rsidR="00AE27F2" w:rsidRPr="00AE27F2">
              <w:rPr>
                <w:rFonts w:ascii="Calibri" w:eastAsia="Times New Roman" w:hAnsi="Calibri" w:cs="Calibri"/>
                <w:b/>
                <w:bCs/>
                <w:color w:val="000000"/>
                <w:lang w:eastAsia="es-DO"/>
              </w:rPr>
              <w:t xml:space="preserve"> </w:t>
            </w:r>
            <w:r w:rsidRPr="00AE27F2">
              <w:rPr>
                <w:rFonts w:ascii="Calibri" w:eastAsia="Times New Roman" w:hAnsi="Calibri" w:cs="Calibri"/>
                <w:b/>
                <w:bCs/>
                <w:color w:val="000000"/>
                <w:lang w:eastAsia="es-DO"/>
              </w:rPr>
              <w:t>Turquía</w:t>
            </w:r>
            <w:r w:rsidR="00AE27F2" w:rsidRPr="00AE27F2">
              <w:rPr>
                <w:rFonts w:ascii="Calibri" w:eastAsia="Times New Roman" w:hAnsi="Calibri" w:cs="Calibri"/>
                <w:b/>
                <w:bCs/>
                <w:color w:val="000000"/>
                <w:lang w:eastAsia="es-DO"/>
              </w:rPr>
              <w:t xml:space="preserve"> y la RPN (Incluye ajuste a CIF y Arancel </w:t>
            </w:r>
            <w:proofErr w:type="gramStart"/>
            <w:r w:rsidR="00AE27F2" w:rsidRPr="00AE27F2">
              <w:rPr>
                <w:rFonts w:ascii="Calibri" w:eastAsia="Times New Roman" w:hAnsi="Calibri" w:cs="Calibri"/>
                <w:b/>
                <w:bCs/>
                <w:color w:val="000000"/>
                <w:lang w:eastAsia="es-DO"/>
              </w:rPr>
              <w:t>MFN)  -</w:t>
            </w:r>
            <w:proofErr w:type="gramEnd"/>
            <w:r w:rsidR="00AE27F2" w:rsidRPr="00AE27F2">
              <w:rPr>
                <w:rFonts w:ascii="Calibri" w:eastAsia="Times New Roman" w:hAnsi="Calibri" w:cs="Calibri"/>
                <w:b/>
                <w:bCs/>
                <w:color w:val="000000"/>
                <w:lang w:eastAsia="es-DO"/>
              </w:rPr>
              <w:t xml:space="preserve"> %</w:t>
            </w:r>
          </w:p>
        </w:tc>
      </w:tr>
      <w:tr w:rsidR="00AE27F2" w:rsidRPr="00AE27F2" w14:paraId="4204E024" w14:textId="77777777" w:rsidTr="00AE27F2">
        <w:trPr>
          <w:trHeight w:val="290"/>
        </w:trPr>
        <w:tc>
          <w:tcPr>
            <w:tcW w:w="1380" w:type="dxa"/>
            <w:tcBorders>
              <w:top w:val="nil"/>
              <w:left w:val="nil"/>
              <w:bottom w:val="single" w:sz="4" w:space="0" w:color="8EA9DB"/>
              <w:right w:val="nil"/>
            </w:tcBorders>
            <w:noWrap/>
            <w:vAlign w:val="bottom"/>
            <w:hideMark/>
          </w:tcPr>
          <w:p w14:paraId="5431C611"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2021</w:t>
            </w:r>
          </w:p>
        </w:tc>
        <w:tc>
          <w:tcPr>
            <w:tcW w:w="2940" w:type="dxa"/>
            <w:tcBorders>
              <w:top w:val="nil"/>
              <w:left w:val="nil"/>
              <w:bottom w:val="single" w:sz="4" w:space="0" w:color="8EA9DB"/>
              <w:right w:val="nil"/>
            </w:tcBorders>
            <w:vAlign w:val="bottom"/>
            <w:hideMark/>
          </w:tcPr>
          <w:p w14:paraId="148865ED"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24,646 </w:t>
            </w:r>
          </w:p>
        </w:tc>
        <w:tc>
          <w:tcPr>
            <w:tcW w:w="2690" w:type="dxa"/>
            <w:tcBorders>
              <w:top w:val="nil"/>
              <w:left w:val="nil"/>
              <w:bottom w:val="single" w:sz="4" w:space="0" w:color="8EA9DB"/>
              <w:right w:val="nil"/>
            </w:tcBorders>
            <w:vAlign w:val="bottom"/>
            <w:hideMark/>
          </w:tcPr>
          <w:p w14:paraId="4FBAF037"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-7.8%</w:t>
            </w:r>
          </w:p>
        </w:tc>
        <w:tc>
          <w:tcPr>
            <w:tcW w:w="2790" w:type="dxa"/>
            <w:tcBorders>
              <w:top w:val="nil"/>
              <w:left w:val="nil"/>
              <w:bottom w:val="single" w:sz="4" w:space="0" w:color="8EA9DB"/>
              <w:right w:val="nil"/>
            </w:tcBorders>
            <w:vAlign w:val="bottom"/>
            <w:hideMark/>
          </w:tcPr>
          <w:p w14:paraId="519E53E2"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-17.4%</w:t>
            </w:r>
          </w:p>
        </w:tc>
      </w:tr>
      <w:tr w:rsidR="00AE27F2" w:rsidRPr="00AE27F2" w14:paraId="4EC9849F" w14:textId="77777777" w:rsidTr="00AE27F2">
        <w:trPr>
          <w:trHeight w:val="290"/>
        </w:trPr>
        <w:tc>
          <w:tcPr>
            <w:tcW w:w="1380" w:type="dxa"/>
            <w:tcBorders>
              <w:top w:val="nil"/>
              <w:left w:val="nil"/>
              <w:bottom w:val="single" w:sz="4" w:space="0" w:color="8EA9DB"/>
              <w:right w:val="nil"/>
            </w:tcBorders>
            <w:noWrap/>
            <w:vAlign w:val="bottom"/>
            <w:hideMark/>
          </w:tcPr>
          <w:p w14:paraId="50179327"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2022</w:t>
            </w:r>
          </w:p>
        </w:tc>
        <w:tc>
          <w:tcPr>
            <w:tcW w:w="2940" w:type="dxa"/>
            <w:tcBorders>
              <w:top w:val="nil"/>
              <w:left w:val="nil"/>
              <w:bottom w:val="single" w:sz="4" w:space="0" w:color="8EA9DB"/>
              <w:right w:val="nil"/>
            </w:tcBorders>
            <w:vAlign w:val="bottom"/>
            <w:hideMark/>
          </w:tcPr>
          <w:p w14:paraId="33752359"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85,827 </w:t>
            </w:r>
          </w:p>
        </w:tc>
        <w:tc>
          <w:tcPr>
            <w:tcW w:w="2690" w:type="dxa"/>
            <w:tcBorders>
              <w:top w:val="nil"/>
              <w:left w:val="nil"/>
              <w:bottom w:val="single" w:sz="4" w:space="0" w:color="8EA9DB"/>
              <w:right w:val="nil"/>
            </w:tcBorders>
            <w:vAlign w:val="bottom"/>
            <w:hideMark/>
          </w:tcPr>
          <w:p w14:paraId="2FD9E18E"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0.6%</w:t>
            </w:r>
          </w:p>
        </w:tc>
        <w:tc>
          <w:tcPr>
            <w:tcW w:w="2790" w:type="dxa"/>
            <w:tcBorders>
              <w:top w:val="nil"/>
              <w:left w:val="nil"/>
              <w:bottom w:val="single" w:sz="4" w:space="0" w:color="8EA9DB"/>
              <w:right w:val="nil"/>
            </w:tcBorders>
            <w:vAlign w:val="bottom"/>
            <w:hideMark/>
          </w:tcPr>
          <w:p w14:paraId="54AEBE5B"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-9.9%</w:t>
            </w:r>
          </w:p>
        </w:tc>
      </w:tr>
      <w:tr w:rsidR="00AE27F2" w:rsidRPr="00AE27F2" w14:paraId="298F0EC9" w14:textId="77777777" w:rsidTr="00AE27F2">
        <w:trPr>
          <w:trHeight w:val="290"/>
        </w:trPr>
        <w:tc>
          <w:tcPr>
            <w:tcW w:w="1380" w:type="dxa"/>
            <w:tcBorders>
              <w:top w:val="nil"/>
              <w:left w:val="nil"/>
              <w:bottom w:val="single" w:sz="4" w:space="0" w:color="8EA9DB"/>
              <w:right w:val="nil"/>
            </w:tcBorders>
            <w:noWrap/>
            <w:vAlign w:val="bottom"/>
            <w:hideMark/>
          </w:tcPr>
          <w:p w14:paraId="23F1A041"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2023</w:t>
            </w:r>
          </w:p>
        </w:tc>
        <w:tc>
          <w:tcPr>
            <w:tcW w:w="2940" w:type="dxa"/>
            <w:tcBorders>
              <w:top w:val="nil"/>
              <w:left w:val="nil"/>
              <w:bottom w:val="single" w:sz="4" w:space="0" w:color="8EA9DB"/>
              <w:right w:val="nil"/>
            </w:tcBorders>
            <w:vAlign w:val="bottom"/>
            <w:hideMark/>
          </w:tcPr>
          <w:p w14:paraId="079DA4F3"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39,677 </w:t>
            </w:r>
          </w:p>
        </w:tc>
        <w:tc>
          <w:tcPr>
            <w:tcW w:w="2690" w:type="dxa"/>
            <w:tcBorders>
              <w:top w:val="nil"/>
              <w:left w:val="nil"/>
              <w:bottom w:val="single" w:sz="4" w:space="0" w:color="8EA9DB"/>
              <w:right w:val="nil"/>
            </w:tcBorders>
            <w:vAlign w:val="bottom"/>
            <w:hideMark/>
          </w:tcPr>
          <w:p w14:paraId="45CDAEC2"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-1.8%</w:t>
            </w:r>
          </w:p>
        </w:tc>
        <w:tc>
          <w:tcPr>
            <w:tcW w:w="2790" w:type="dxa"/>
            <w:tcBorders>
              <w:top w:val="nil"/>
              <w:left w:val="nil"/>
              <w:bottom w:val="single" w:sz="4" w:space="0" w:color="8EA9DB"/>
              <w:right w:val="nil"/>
            </w:tcBorders>
            <w:vAlign w:val="bottom"/>
            <w:hideMark/>
          </w:tcPr>
          <w:p w14:paraId="7EB60FF4"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-12.0%</w:t>
            </w:r>
          </w:p>
        </w:tc>
      </w:tr>
      <w:tr w:rsidR="00AE27F2" w:rsidRPr="00AE27F2" w14:paraId="235823D6" w14:textId="77777777" w:rsidTr="00AE27F2">
        <w:trPr>
          <w:trHeight w:val="290"/>
        </w:trPr>
        <w:tc>
          <w:tcPr>
            <w:tcW w:w="1380" w:type="dxa"/>
            <w:tcBorders>
              <w:top w:val="nil"/>
              <w:left w:val="nil"/>
              <w:bottom w:val="single" w:sz="4" w:space="0" w:color="8EA9DB"/>
              <w:right w:val="nil"/>
            </w:tcBorders>
            <w:noWrap/>
            <w:vAlign w:val="bottom"/>
            <w:hideMark/>
          </w:tcPr>
          <w:p w14:paraId="7036F455"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2024</w:t>
            </w:r>
          </w:p>
        </w:tc>
        <w:tc>
          <w:tcPr>
            <w:tcW w:w="2940" w:type="dxa"/>
            <w:tcBorders>
              <w:top w:val="nil"/>
              <w:left w:val="nil"/>
              <w:bottom w:val="single" w:sz="4" w:space="0" w:color="8EA9DB"/>
              <w:right w:val="nil"/>
            </w:tcBorders>
            <w:vAlign w:val="bottom"/>
            <w:hideMark/>
          </w:tcPr>
          <w:p w14:paraId="07484D61"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104,059 </w:t>
            </w:r>
          </w:p>
        </w:tc>
        <w:tc>
          <w:tcPr>
            <w:tcW w:w="2690" w:type="dxa"/>
            <w:tcBorders>
              <w:top w:val="nil"/>
              <w:left w:val="nil"/>
              <w:bottom w:val="single" w:sz="4" w:space="0" w:color="8EA9DB"/>
              <w:right w:val="nil"/>
            </w:tcBorders>
            <w:vAlign w:val="bottom"/>
            <w:hideMark/>
          </w:tcPr>
          <w:p w14:paraId="7BCD364F"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-9.0%</w:t>
            </w:r>
          </w:p>
        </w:tc>
        <w:tc>
          <w:tcPr>
            <w:tcW w:w="2790" w:type="dxa"/>
            <w:tcBorders>
              <w:top w:val="nil"/>
              <w:left w:val="nil"/>
              <w:bottom w:val="single" w:sz="4" w:space="0" w:color="8EA9DB"/>
              <w:right w:val="nil"/>
            </w:tcBorders>
            <w:vAlign w:val="bottom"/>
            <w:hideMark/>
          </w:tcPr>
          <w:p w14:paraId="0AA97E1F"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-18.5%</w:t>
            </w:r>
          </w:p>
        </w:tc>
      </w:tr>
      <w:tr w:rsidR="00AE27F2" w:rsidRPr="00AE27F2" w14:paraId="6922FBB0" w14:textId="77777777" w:rsidTr="00AE27F2">
        <w:trPr>
          <w:trHeight w:val="290"/>
        </w:trPr>
        <w:tc>
          <w:tcPr>
            <w:tcW w:w="1380" w:type="dxa"/>
            <w:tcBorders>
              <w:top w:val="nil"/>
              <w:left w:val="nil"/>
              <w:bottom w:val="single" w:sz="4" w:space="0" w:color="8EA9DB"/>
              <w:right w:val="nil"/>
            </w:tcBorders>
            <w:noWrap/>
            <w:vAlign w:val="bottom"/>
            <w:hideMark/>
          </w:tcPr>
          <w:p w14:paraId="0763818B" w14:textId="3000E7BD"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2025</w:t>
            </w:r>
            <w:r w:rsidR="00CA5FD6">
              <w:rPr>
                <w:rFonts w:ascii="Calibri" w:eastAsia="Times New Roman" w:hAnsi="Calibri" w:cs="Calibri"/>
                <w:b/>
                <w:bCs/>
                <w:color w:val="000000"/>
                <w:lang w:eastAsia="es-DO"/>
              </w:rPr>
              <w:t xml:space="preserve"> E-J</w:t>
            </w:r>
          </w:p>
        </w:tc>
        <w:tc>
          <w:tcPr>
            <w:tcW w:w="2940" w:type="dxa"/>
            <w:tcBorders>
              <w:top w:val="nil"/>
              <w:left w:val="nil"/>
              <w:bottom w:val="single" w:sz="4" w:space="0" w:color="8EA9DB"/>
              <w:right w:val="nil"/>
            </w:tcBorders>
            <w:vAlign w:val="bottom"/>
            <w:hideMark/>
          </w:tcPr>
          <w:p w14:paraId="0F6D58D6"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21,203 </w:t>
            </w:r>
          </w:p>
        </w:tc>
        <w:tc>
          <w:tcPr>
            <w:tcW w:w="2690" w:type="dxa"/>
            <w:tcBorders>
              <w:top w:val="nil"/>
              <w:left w:val="nil"/>
              <w:bottom w:val="single" w:sz="4" w:space="0" w:color="8EA9DB"/>
              <w:right w:val="nil"/>
            </w:tcBorders>
            <w:vAlign w:val="bottom"/>
            <w:hideMark/>
          </w:tcPr>
          <w:p w14:paraId="70F5CB14"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-15.5%</w:t>
            </w:r>
          </w:p>
        </w:tc>
        <w:tc>
          <w:tcPr>
            <w:tcW w:w="2790" w:type="dxa"/>
            <w:tcBorders>
              <w:top w:val="nil"/>
              <w:left w:val="nil"/>
              <w:bottom w:val="single" w:sz="4" w:space="0" w:color="8EA9DB"/>
              <w:right w:val="nil"/>
            </w:tcBorders>
            <w:vAlign w:val="bottom"/>
            <w:hideMark/>
          </w:tcPr>
          <w:p w14:paraId="207CA718"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-24.3%</w:t>
            </w:r>
          </w:p>
        </w:tc>
      </w:tr>
    </w:tbl>
    <w:p w14:paraId="4B5EADDD" w14:textId="77777777" w:rsidR="00AE27F2" w:rsidRDefault="00AE27F2" w:rsidP="00A00477">
      <w:pPr>
        <w:spacing w:line="240" w:lineRule="auto"/>
        <w:jc w:val="both"/>
        <w:rPr>
          <w:rFonts w:ascii="Calibri" w:eastAsiaTheme="minorEastAsia" w:hAnsi="Calibri" w:cs="Calibri"/>
          <w:color w:val="000000" w:themeColor="text1"/>
          <w:kern w:val="24"/>
          <w:sz w:val="24"/>
          <w:szCs w:val="24"/>
          <w:lang w:eastAsia="es-DO"/>
        </w:rPr>
      </w:pPr>
    </w:p>
    <w:tbl>
      <w:tblPr>
        <w:tblW w:w="9720" w:type="dxa"/>
        <w:tblCellMar>
          <w:left w:w="70" w:type="dxa"/>
          <w:right w:w="70" w:type="dxa"/>
        </w:tblCellMar>
        <w:tblLook w:val="04A0" w:firstRow="1" w:lastRow="0" w:firstColumn="1" w:lastColumn="0" w:noHBand="0" w:noVBand="1"/>
      </w:tblPr>
      <w:tblGrid>
        <w:gridCol w:w="1380"/>
        <w:gridCol w:w="2860"/>
        <w:gridCol w:w="2690"/>
        <w:gridCol w:w="2790"/>
      </w:tblGrid>
      <w:tr w:rsidR="00AE27F2" w:rsidRPr="00AE27F2" w14:paraId="2E06B1BA" w14:textId="77777777" w:rsidTr="00AE27F2">
        <w:trPr>
          <w:trHeight w:val="1160"/>
        </w:trPr>
        <w:tc>
          <w:tcPr>
            <w:tcW w:w="1380" w:type="dxa"/>
            <w:tcBorders>
              <w:top w:val="nil"/>
              <w:left w:val="nil"/>
              <w:bottom w:val="single" w:sz="4" w:space="0" w:color="8EA9DB"/>
              <w:right w:val="nil"/>
            </w:tcBorders>
            <w:shd w:val="clear" w:color="D9E1F2" w:fill="D9E1F2"/>
            <w:noWrap/>
            <w:vAlign w:val="bottom"/>
            <w:hideMark/>
          </w:tcPr>
          <w:p w14:paraId="3BB585C6" w14:textId="2DC70598" w:rsidR="00AE27F2" w:rsidRPr="00AE27F2" w:rsidRDefault="00CA5FD6" w:rsidP="00AE27F2">
            <w:pPr>
              <w:spacing w:after="0" w:line="240" w:lineRule="auto"/>
              <w:rPr>
                <w:rFonts w:ascii="Calibri" w:eastAsia="Times New Roman" w:hAnsi="Calibri" w:cs="Calibri"/>
                <w:b/>
                <w:bCs/>
                <w:color w:val="000000"/>
                <w:lang w:eastAsia="es-DO"/>
              </w:rPr>
            </w:pPr>
            <w:r>
              <w:rPr>
                <w:rFonts w:ascii="Calibri" w:eastAsia="Times New Roman" w:hAnsi="Calibri" w:cs="Calibri"/>
                <w:b/>
                <w:bCs/>
                <w:color w:val="000000"/>
                <w:lang w:eastAsia="es-DO"/>
              </w:rPr>
              <w:t xml:space="preserve">Anos </w:t>
            </w:r>
          </w:p>
        </w:tc>
        <w:tc>
          <w:tcPr>
            <w:tcW w:w="2860" w:type="dxa"/>
            <w:tcBorders>
              <w:top w:val="nil"/>
              <w:left w:val="nil"/>
              <w:bottom w:val="single" w:sz="4" w:space="0" w:color="8EA9DB"/>
              <w:right w:val="nil"/>
            </w:tcBorders>
            <w:shd w:val="clear" w:color="D9E1F2" w:fill="D9E1F2"/>
            <w:vAlign w:val="bottom"/>
            <w:hideMark/>
          </w:tcPr>
          <w:p w14:paraId="3DD9BDBE" w14:textId="2C7FA38A"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Volumen Exportado por </w:t>
            </w:r>
            <w:r w:rsidR="00CA5FD6" w:rsidRPr="00AE27F2">
              <w:rPr>
                <w:rFonts w:ascii="Calibri" w:eastAsia="Times New Roman" w:hAnsi="Calibri" w:cs="Calibri"/>
                <w:b/>
                <w:bCs/>
                <w:color w:val="000000"/>
                <w:lang w:eastAsia="es-DO"/>
              </w:rPr>
              <w:t>Turquía</w:t>
            </w:r>
            <w:r w:rsidRPr="00AE27F2">
              <w:rPr>
                <w:rFonts w:ascii="Calibri" w:eastAsia="Times New Roman" w:hAnsi="Calibri" w:cs="Calibri"/>
                <w:b/>
                <w:bCs/>
                <w:color w:val="000000"/>
                <w:lang w:eastAsia="es-DO"/>
              </w:rPr>
              <w:t xml:space="preserve"> a RD en TM (Reportado por </w:t>
            </w:r>
            <w:proofErr w:type="spellStart"/>
            <w:r w:rsidRPr="00AE27F2">
              <w:rPr>
                <w:rFonts w:ascii="Calibri" w:eastAsia="Times New Roman" w:hAnsi="Calibri" w:cs="Calibri"/>
                <w:b/>
                <w:bCs/>
                <w:color w:val="000000"/>
                <w:lang w:eastAsia="es-DO"/>
              </w:rPr>
              <w:t>Turquia</w:t>
            </w:r>
            <w:proofErr w:type="spellEnd"/>
            <w:r w:rsidRPr="00AE27F2">
              <w:rPr>
                <w:rFonts w:ascii="Calibri" w:eastAsia="Times New Roman" w:hAnsi="Calibri" w:cs="Calibri"/>
                <w:b/>
                <w:bCs/>
                <w:color w:val="000000"/>
                <w:lang w:eastAsia="es-DO"/>
              </w:rPr>
              <w:t>)</w:t>
            </w:r>
          </w:p>
        </w:tc>
        <w:tc>
          <w:tcPr>
            <w:tcW w:w="2690" w:type="dxa"/>
            <w:tcBorders>
              <w:top w:val="nil"/>
              <w:left w:val="nil"/>
              <w:bottom w:val="single" w:sz="4" w:space="0" w:color="8EA9DB"/>
              <w:right w:val="nil"/>
            </w:tcBorders>
            <w:shd w:val="clear" w:color="D9E1F2" w:fill="D9E1F2"/>
            <w:vAlign w:val="bottom"/>
            <w:hideMark/>
          </w:tcPr>
          <w:p w14:paraId="6551006E" w14:textId="49230EE0" w:rsidR="00AE27F2" w:rsidRPr="00AE27F2" w:rsidRDefault="00CA5FD6" w:rsidP="00AE27F2">
            <w:pPr>
              <w:spacing w:after="0" w:line="240" w:lineRule="auto"/>
              <w:jc w:val="center"/>
              <w:rPr>
                <w:rFonts w:ascii="Calibri" w:eastAsia="Times New Roman" w:hAnsi="Calibri" w:cs="Calibri"/>
                <w:b/>
                <w:bCs/>
                <w:color w:val="000000"/>
                <w:lang w:eastAsia="es-DO"/>
              </w:rPr>
            </w:pPr>
            <w:proofErr w:type="gramStart"/>
            <w:r>
              <w:rPr>
                <w:rFonts w:ascii="Calibri" w:eastAsia="Times New Roman" w:hAnsi="Calibri" w:cs="Calibri"/>
                <w:b/>
                <w:bCs/>
                <w:color w:val="000000"/>
                <w:lang w:eastAsia="es-DO"/>
              </w:rPr>
              <w:t xml:space="preserve">Promedio </w:t>
            </w:r>
            <w:r w:rsidR="00AE27F2" w:rsidRPr="00AE27F2">
              <w:rPr>
                <w:rFonts w:ascii="Calibri" w:eastAsia="Times New Roman" w:hAnsi="Calibri" w:cs="Calibri"/>
                <w:b/>
                <w:bCs/>
                <w:color w:val="000000"/>
                <w:lang w:eastAsia="es-DO"/>
              </w:rPr>
              <w:t xml:space="preserve"> Margen</w:t>
            </w:r>
            <w:proofErr w:type="gram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subvaloracion</w:t>
            </w:r>
            <w:proofErr w:type="spellEnd"/>
            <w:r w:rsidR="00AE27F2" w:rsidRPr="00AE27F2">
              <w:rPr>
                <w:rFonts w:ascii="Calibri" w:eastAsia="Times New Roman" w:hAnsi="Calibri" w:cs="Calibri"/>
                <w:b/>
                <w:bCs/>
                <w:color w:val="000000"/>
                <w:lang w:eastAsia="es-DO"/>
              </w:rPr>
              <w:t xml:space="preserve"> entre Precios </w:t>
            </w:r>
            <w:proofErr w:type="spellStart"/>
            <w:r w:rsidR="00AE27F2" w:rsidRPr="00AE27F2">
              <w:rPr>
                <w:rFonts w:ascii="Calibri" w:eastAsia="Times New Roman" w:hAnsi="Calibri" w:cs="Calibri"/>
                <w:b/>
                <w:bCs/>
                <w:color w:val="000000"/>
                <w:lang w:eastAsia="es-DO"/>
              </w:rPr>
              <w:t>Exp</w:t>
            </w:r>
            <w:proofErr w:type="spell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Trademap</w:t>
            </w:r>
            <w:proofErr w:type="spell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Turquia</w:t>
            </w:r>
            <w:proofErr w:type="spellEnd"/>
            <w:r w:rsidR="00AE27F2" w:rsidRPr="00AE27F2">
              <w:rPr>
                <w:rFonts w:ascii="Calibri" w:eastAsia="Times New Roman" w:hAnsi="Calibri" w:cs="Calibri"/>
                <w:b/>
                <w:bCs/>
                <w:color w:val="000000"/>
                <w:lang w:eastAsia="es-DO"/>
              </w:rPr>
              <w:t xml:space="preserve"> y la RPN (Incluye ajuste a CIF y Arancel MFN), </w:t>
            </w:r>
            <w:proofErr w:type="spellStart"/>
            <w:r w:rsidR="00AE27F2" w:rsidRPr="00AE27F2">
              <w:rPr>
                <w:rFonts w:ascii="Calibri" w:eastAsia="Times New Roman" w:hAnsi="Calibri" w:cs="Calibri"/>
                <w:b/>
                <w:bCs/>
                <w:color w:val="000000"/>
                <w:lang w:eastAsia="es-DO"/>
              </w:rPr>
              <w:t>mas</w:t>
            </w:r>
            <w:proofErr w:type="spellEnd"/>
            <w:r w:rsidR="00AE27F2" w:rsidRPr="00AE27F2">
              <w:rPr>
                <w:rFonts w:ascii="Calibri" w:eastAsia="Times New Roman" w:hAnsi="Calibri" w:cs="Calibri"/>
                <w:b/>
                <w:bCs/>
                <w:color w:val="000000"/>
                <w:lang w:eastAsia="es-DO"/>
              </w:rPr>
              <w:t xml:space="preserve"> tasa antidumping - TM</w:t>
            </w:r>
          </w:p>
        </w:tc>
        <w:tc>
          <w:tcPr>
            <w:tcW w:w="2790" w:type="dxa"/>
            <w:tcBorders>
              <w:top w:val="nil"/>
              <w:left w:val="nil"/>
              <w:bottom w:val="single" w:sz="4" w:space="0" w:color="8EA9DB"/>
              <w:right w:val="nil"/>
            </w:tcBorders>
            <w:shd w:val="clear" w:color="D9E1F2" w:fill="D9E1F2"/>
            <w:vAlign w:val="bottom"/>
            <w:hideMark/>
          </w:tcPr>
          <w:p w14:paraId="6F8A7711" w14:textId="5CE7B5CF" w:rsidR="00AE27F2" w:rsidRPr="00AE27F2" w:rsidRDefault="00CA5FD6" w:rsidP="00AE27F2">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 xml:space="preserve">Promedio </w:t>
            </w:r>
            <w:r w:rsidR="00AE27F2" w:rsidRPr="00AE27F2">
              <w:rPr>
                <w:rFonts w:ascii="Calibri" w:eastAsia="Times New Roman" w:hAnsi="Calibri" w:cs="Calibri"/>
                <w:b/>
                <w:bCs/>
                <w:color w:val="000000"/>
                <w:lang w:eastAsia="es-DO"/>
              </w:rPr>
              <w:t xml:space="preserve">Margen </w:t>
            </w:r>
            <w:proofErr w:type="spellStart"/>
            <w:r w:rsidR="00AE27F2" w:rsidRPr="00AE27F2">
              <w:rPr>
                <w:rFonts w:ascii="Calibri" w:eastAsia="Times New Roman" w:hAnsi="Calibri" w:cs="Calibri"/>
                <w:b/>
                <w:bCs/>
                <w:color w:val="000000"/>
                <w:lang w:eastAsia="es-DO"/>
              </w:rPr>
              <w:t>subvaloracion</w:t>
            </w:r>
            <w:proofErr w:type="spellEnd"/>
            <w:r w:rsidR="00AE27F2" w:rsidRPr="00AE27F2">
              <w:rPr>
                <w:rFonts w:ascii="Calibri" w:eastAsia="Times New Roman" w:hAnsi="Calibri" w:cs="Calibri"/>
                <w:b/>
                <w:bCs/>
                <w:color w:val="000000"/>
                <w:lang w:eastAsia="es-DO"/>
              </w:rPr>
              <w:t xml:space="preserve"> entre Precios </w:t>
            </w:r>
            <w:proofErr w:type="spellStart"/>
            <w:r w:rsidR="00AE27F2" w:rsidRPr="00AE27F2">
              <w:rPr>
                <w:rFonts w:ascii="Calibri" w:eastAsia="Times New Roman" w:hAnsi="Calibri" w:cs="Calibri"/>
                <w:b/>
                <w:bCs/>
                <w:color w:val="000000"/>
                <w:lang w:eastAsia="es-DO"/>
              </w:rPr>
              <w:t>Exp</w:t>
            </w:r>
            <w:proofErr w:type="spell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Trademap</w:t>
            </w:r>
            <w:proofErr w:type="spellEnd"/>
            <w:r w:rsidR="00AE27F2" w:rsidRPr="00AE27F2">
              <w:rPr>
                <w:rFonts w:ascii="Calibri" w:eastAsia="Times New Roman" w:hAnsi="Calibri" w:cs="Calibri"/>
                <w:b/>
                <w:bCs/>
                <w:color w:val="000000"/>
                <w:lang w:eastAsia="es-DO"/>
              </w:rPr>
              <w:t xml:space="preserve"> </w:t>
            </w:r>
            <w:proofErr w:type="spellStart"/>
            <w:r w:rsidR="00AE27F2" w:rsidRPr="00AE27F2">
              <w:rPr>
                <w:rFonts w:ascii="Calibri" w:eastAsia="Times New Roman" w:hAnsi="Calibri" w:cs="Calibri"/>
                <w:b/>
                <w:bCs/>
                <w:color w:val="000000"/>
                <w:lang w:eastAsia="es-DO"/>
              </w:rPr>
              <w:t>Turquia</w:t>
            </w:r>
            <w:proofErr w:type="spellEnd"/>
            <w:r w:rsidR="00AE27F2" w:rsidRPr="00AE27F2">
              <w:rPr>
                <w:rFonts w:ascii="Calibri" w:eastAsia="Times New Roman" w:hAnsi="Calibri" w:cs="Calibri"/>
                <w:b/>
                <w:bCs/>
                <w:color w:val="000000"/>
                <w:lang w:eastAsia="es-DO"/>
              </w:rPr>
              <w:t xml:space="preserve"> y la RPN (Incluye ajuste a CIF y Arancel </w:t>
            </w:r>
            <w:proofErr w:type="gramStart"/>
            <w:r w:rsidR="00AE27F2" w:rsidRPr="00AE27F2">
              <w:rPr>
                <w:rFonts w:ascii="Calibri" w:eastAsia="Times New Roman" w:hAnsi="Calibri" w:cs="Calibri"/>
                <w:b/>
                <w:bCs/>
                <w:color w:val="000000"/>
                <w:lang w:eastAsia="es-DO"/>
              </w:rPr>
              <w:t>MFN)  -</w:t>
            </w:r>
            <w:proofErr w:type="gramEnd"/>
            <w:r w:rsidR="00AE27F2" w:rsidRPr="00AE27F2">
              <w:rPr>
                <w:rFonts w:ascii="Calibri" w:eastAsia="Times New Roman" w:hAnsi="Calibri" w:cs="Calibri"/>
                <w:b/>
                <w:bCs/>
                <w:color w:val="000000"/>
                <w:lang w:eastAsia="es-DO"/>
              </w:rPr>
              <w:t xml:space="preserve"> TM</w:t>
            </w:r>
          </w:p>
        </w:tc>
      </w:tr>
      <w:tr w:rsidR="00AE27F2" w:rsidRPr="00AE27F2" w14:paraId="6ACBEC94" w14:textId="77777777" w:rsidTr="00AE27F2">
        <w:trPr>
          <w:trHeight w:val="290"/>
        </w:trPr>
        <w:tc>
          <w:tcPr>
            <w:tcW w:w="1380" w:type="dxa"/>
            <w:tcBorders>
              <w:top w:val="nil"/>
              <w:left w:val="nil"/>
              <w:bottom w:val="single" w:sz="4" w:space="0" w:color="8EA9DB"/>
              <w:right w:val="nil"/>
            </w:tcBorders>
            <w:noWrap/>
            <w:vAlign w:val="bottom"/>
            <w:hideMark/>
          </w:tcPr>
          <w:p w14:paraId="51DCEB6F"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2021</w:t>
            </w:r>
          </w:p>
        </w:tc>
        <w:tc>
          <w:tcPr>
            <w:tcW w:w="2860" w:type="dxa"/>
            <w:tcBorders>
              <w:top w:val="nil"/>
              <w:left w:val="nil"/>
              <w:bottom w:val="single" w:sz="4" w:space="0" w:color="8EA9DB"/>
              <w:right w:val="nil"/>
            </w:tcBorders>
            <w:vAlign w:val="bottom"/>
            <w:hideMark/>
          </w:tcPr>
          <w:p w14:paraId="2340EA60"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24,646 </w:t>
            </w:r>
          </w:p>
        </w:tc>
        <w:tc>
          <w:tcPr>
            <w:tcW w:w="2690" w:type="dxa"/>
            <w:tcBorders>
              <w:top w:val="nil"/>
              <w:left w:val="nil"/>
              <w:bottom w:val="single" w:sz="4" w:space="0" w:color="8EA9DB"/>
              <w:right w:val="nil"/>
            </w:tcBorders>
            <w:vAlign w:val="bottom"/>
            <w:hideMark/>
          </w:tcPr>
          <w:p w14:paraId="0C6C31AE"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-72</w:t>
            </w:r>
          </w:p>
        </w:tc>
        <w:tc>
          <w:tcPr>
            <w:tcW w:w="2790" w:type="dxa"/>
            <w:tcBorders>
              <w:top w:val="nil"/>
              <w:left w:val="nil"/>
              <w:bottom w:val="single" w:sz="4" w:space="0" w:color="8EA9DB"/>
              <w:right w:val="nil"/>
            </w:tcBorders>
            <w:vAlign w:val="bottom"/>
            <w:hideMark/>
          </w:tcPr>
          <w:p w14:paraId="2DBA9AA8"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-166</w:t>
            </w:r>
          </w:p>
        </w:tc>
      </w:tr>
      <w:tr w:rsidR="00AE27F2" w:rsidRPr="00AE27F2" w14:paraId="729CE333" w14:textId="77777777" w:rsidTr="00AE27F2">
        <w:trPr>
          <w:trHeight w:val="290"/>
        </w:trPr>
        <w:tc>
          <w:tcPr>
            <w:tcW w:w="1380" w:type="dxa"/>
            <w:tcBorders>
              <w:top w:val="nil"/>
              <w:left w:val="nil"/>
              <w:bottom w:val="single" w:sz="4" w:space="0" w:color="8EA9DB"/>
              <w:right w:val="nil"/>
            </w:tcBorders>
            <w:noWrap/>
            <w:vAlign w:val="bottom"/>
            <w:hideMark/>
          </w:tcPr>
          <w:p w14:paraId="2C3FE9E5"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lastRenderedPageBreak/>
              <w:t>2022</w:t>
            </w:r>
          </w:p>
        </w:tc>
        <w:tc>
          <w:tcPr>
            <w:tcW w:w="2860" w:type="dxa"/>
            <w:tcBorders>
              <w:top w:val="nil"/>
              <w:left w:val="nil"/>
              <w:bottom w:val="single" w:sz="4" w:space="0" w:color="8EA9DB"/>
              <w:right w:val="nil"/>
            </w:tcBorders>
            <w:vAlign w:val="bottom"/>
            <w:hideMark/>
          </w:tcPr>
          <w:p w14:paraId="2AFCC10C"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85,827 </w:t>
            </w:r>
          </w:p>
        </w:tc>
        <w:tc>
          <w:tcPr>
            <w:tcW w:w="2690" w:type="dxa"/>
            <w:tcBorders>
              <w:top w:val="nil"/>
              <w:left w:val="nil"/>
              <w:bottom w:val="single" w:sz="4" w:space="0" w:color="8EA9DB"/>
              <w:right w:val="nil"/>
            </w:tcBorders>
            <w:vAlign w:val="bottom"/>
            <w:hideMark/>
          </w:tcPr>
          <w:p w14:paraId="3D86AE72"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8</w:t>
            </w:r>
          </w:p>
        </w:tc>
        <w:tc>
          <w:tcPr>
            <w:tcW w:w="2790" w:type="dxa"/>
            <w:tcBorders>
              <w:top w:val="nil"/>
              <w:left w:val="nil"/>
              <w:bottom w:val="single" w:sz="4" w:space="0" w:color="8EA9DB"/>
              <w:right w:val="nil"/>
            </w:tcBorders>
            <w:vAlign w:val="bottom"/>
            <w:hideMark/>
          </w:tcPr>
          <w:p w14:paraId="72DF1105"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-115</w:t>
            </w:r>
          </w:p>
        </w:tc>
      </w:tr>
      <w:tr w:rsidR="00AE27F2" w:rsidRPr="00AE27F2" w14:paraId="0C112219" w14:textId="77777777" w:rsidTr="00AE27F2">
        <w:trPr>
          <w:trHeight w:val="290"/>
        </w:trPr>
        <w:tc>
          <w:tcPr>
            <w:tcW w:w="1380" w:type="dxa"/>
            <w:tcBorders>
              <w:top w:val="nil"/>
              <w:left w:val="nil"/>
              <w:bottom w:val="single" w:sz="4" w:space="0" w:color="8EA9DB"/>
              <w:right w:val="nil"/>
            </w:tcBorders>
            <w:noWrap/>
            <w:vAlign w:val="bottom"/>
            <w:hideMark/>
          </w:tcPr>
          <w:p w14:paraId="07C51B6F"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2023</w:t>
            </w:r>
          </w:p>
        </w:tc>
        <w:tc>
          <w:tcPr>
            <w:tcW w:w="2860" w:type="dxa"/>
            <w:tcBorders>
              <w:top w:val="nil"/>
              <w:left w:val="nil"/>
              <w:bottom w:val="single" w:sz="4" w:space="0" w:color="8EA9DB"/>
              <w:right w:val="nil"/>
            </w:tcBorders>
            <w:vAlign w:val="bottom"/>
            <w:hideMark/>
          </w:tcPr>
          <w:p w14:paraId="2FBA2733"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39,677 </w:t>
            </w:r>
          </w:p>
        </w:tc>
        <w:tc>
          <w:tcPr>
            <w:tcW w:w="2690" w:type="dxa"/>
            <w:tcBorders>
              <w:top w:val="nil"/>
              <w:left w:val="nil"/>
              <w:bottom w:val="single" w:sz="4" w:space="0" w:color="8EA9DB"/>
              <w:right w:val="nil"/>
            </w:tcBorders>
            <w:vAlign w:val="bottom"/>
            <w:hideMark/>
          </w:tcPr>
          <w:p w14:paraId="137E9A02"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-15</w:t>
            </w:r>
          </w:p>
        </w:tc>
        <w:tc>
          <w:tcPr>
            <w:tcW w:w="2790" w:type="dxa"/>
            <w:tcBorders>
              <w:top w:val="nil"/>
              <w:left w:val="nil"/>
              <w:bottom w:val="single" w:sz="4" w:space="0" w:color="8EA9DB"/>
              <w:right w:val="nil"/>
            </w:tcBorders>
            <w:vAlign w:val="bottom"/>
            <w:hideMark/>
          </w:tcPr>
          <w:p w14:paraId="7AE70754"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-113</w:t>
            </w:r>
          </w:p>
        </w:tc>
      </w:tr>
      <w:tr w:rsidR="00AE27F2" w:rsidRPr="00AE27F2" w14:paraId="2B0A9AE2" w14:textId="77777777" w:rsidTr="00AE27F2">
        <w:trPr>
          <w:trHeight w:val="290"/>
        </w:trPr>
        <w:tc>
          <w:tcPr>
            <w:tcW w:w="1380" w:type="dxa"/>
            <w:tcBorders>
              <w:top w:val="nil"/>
              <w:left w:val="nil"/>
              <w:bottom w:val="single" w:sz="4" w:space="0" w:color="8EA9DB"/>
              <w:right w:val="nil"/>
            </w:tcBorders>
            <w:noWrap/>
            <w:vAlign w:val="bottom"/>
            <w:hideMark/>
          </w:tcPr>
          <w:p w14:paraId="0855C0DF"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2024</w:t>
            </w:r>
          </w:p>
        </w:tc>
        <w:tc>
          <w:tcPr>
            <w:tcW w:w="2860" w:type="dxa"/>
            <w:tcBorders>
              <w:top w:val="nil"/>
              <w:left w:val="nil"/>
              <w:bottom w:val="single" w:sz="4" w:space="0" w:color="8EA9DB"/>
              <w:right w:val="nil"/>
            </w:tcBorders>
            <w:vAlign w:val="bottom"/>
            <w:hideMark/>
          </w:tcPr>
          <w:p w14:paraId="5CD4EFCB"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104,059 </w:t>
            </w:r>
          </w:p>
        </w:tc>
        <w:tc>
          <w:tcPr>
            <w:tcW w:w="2690" w:type="dxa"/>
            <w:tcBorders>
              <w:top w:val="nil"/>
              <w:left w:val="nil"/>
              <w:bottom w:val="single" w:sz="4" w:space="0" w:color="8EA9DB"/>
              <w:right w:val="nil"/>
            </w:tcBorders>
            <w:vAlign w:val="bottom"/>
            <w:hideMark/>
          </w:tcPr>
          <w:p w14:paraId="70003535"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-84</w:t>
            </w:r>
          </w:p>
        </w:tc>
        <w:tc>
          <w:tcPr>
            <w:tcW w:w="2790" w:type="dxa"/>
            <w:tcBorders>
              <w:top w:val="nil"/>
              <w:left w:val="nil"/>
              <w:bottom w:val="single" w:sz="4" w:space="0" w:color="8EA9DB"/>
              <w:right w:val="nil"/>
            </w:tcBorders>
            <w:vAlign w:val="bottom"/>
            <w:hideMark/>
          </w:tcPr>
          <w:p w14:paraId="530612C3"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-172</w:t>
            </w:r>
          </w:p>
        </w:tc>
      </w:tr>
      <w:tr w:rsidR="00AE27F2" w:rsidRPr="00AE27F2" w14:paraId="63EC8469" w14:textId="77777777" w:rsidTr="00AE27F2">
        <w:trPr>
          <w:trHeight w:val="290"/>
        </w:trPr>
        <w:tc>
          <w:tcPr>
            <w:tcW w:w="1380" w:type="dxa"/>
            <w:tcBorders>
              <w:top w:val="nil"/>
              <w:left w:val="nil"/>
              <w:bottom w:val="single" w:sz="4" w:space="0" w:color="8EA9DB"/>
              <w:right w:val="nil"/>
            </w:tcBorders>
            <w:noWrap/>
            <w:vAlign w:val="bottom"/>
            <w:hideMark/>
          </w:tcPr>
          <w:p w14:paraId="50E493FC" w14:textId="347CEED5"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2025</w:t>
            </w:r>
            <w:r w:rsidR="00CA5FD6">
              <w:rPr>
                <w:rFonts w:ascii="Calibri" w:eastAsia="Times New Roman" w:hAnsi="Calibri" w:cs="Calibri"/>
                <w:b/>
                <w:bCs/>
                <w:color w:val="000000"/>
                <w:lang w:eastAsia="es-DO"/>
              </w:rPr>
              <w:t xml:space="preserve"> E-J</w:t>
            </w:r>
          </w:p>
        </w:tc>
        <w:tc>
          <w:tcPr>
            <w:tcW w:w="2860" w:type="dxa"/>
            <w:tcBorders>
              <w:top w:val="nil"/>
              <w:left w:val="nil"/>
              <w:bottom w:val="single" w:sz="4" w:space="0" w:color="8EA9DB"/>
              <w:right w:val="nil"/>
            </w:tcBorders>
            <w:vAlign w:val="bottom"/>
            <w:hideMark/>
          </w:tcPr>
          <w:p w14:paraId="6C0E1A1D" w14:textId="77777777" w:rsidR="00AE27F2" w:rsidRPr="00AE27F2" w:rsidRDefault="00AE27F2" w:rsidP="00AE27F2">
            <w:pPr>
              <w:spacing w:after="0" w:line="240" w:lineRule="auto"/>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 xml:space="preserve">                                          21,203 </w:t>
            </w:r>
          </w:p>
        </w:tc>
        <w:tc>
          <w:tcPr>
            <w:tcW w:w="2690" w:type="dxa"/>
            <w:tcBorders>
              <w:top w:val="nil"/>
              <w:left w:val="nil"/>
              <w:bottom w:val="single" w:sz="4" w:space="0" w:color="8EA9DB"/>
              <w:right w:val="nil"/>
            </w:tcBorders>
            <w:vAlign w:val="bottom"/>
            <w:hideMark/>
          </w:tcPr>
          <w:p w14:paraId="740CB621"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-155</w:t>
            </w:r>
          </w:p>
        </w:tc>
        <w:tc>
          <w:tcPr>
            <w:tcW w:w="2790" w:type="dxa"/>
            <w:tcBorders>
              <w:top w:val="nil"/>
              <w:left w:val="nil"/>
              <w:bottom w:val="single" w:sz="4" w:space="0" w:color="8EA9DB"/>
              <w:right w:val="nil"/>
            </w:tcBorders>
            <w:vAlign w:val="bottom"/>
            <w:hideMark/>
          </w:tcPr>
          <w:p w14:paraId="26B409E6" w14:textId="77777777" w:rsidR="00AE27F2" w:rsidRPr="00AE27F2" w:rsidRDefault="00AE27F2" w:rsidP="00AE27F2">
            <w:pPr>
              <w:spacing w:after="0" w:line="240" w:lineRule="auto"/>
              <w:jc w:val="right"/>
              <w:rPr>
                <w:rFonts w:ascii="Calibri" w:eastAsia="Times New Roman" w:hAnsi="Calibri" w:cs="Calibri"/>
                <w:b/>
                <w:bCs/>
                <w:color w:val="000000"/>
                <w:lang w:eastAsia="es-DO"/>
              </w:rPr>
            </w:pPr>
            <w:r w:rsidRPr="00AE27F2">
              <w:rPr>
                <w:rFonts w:ascii="Calibri" w:eastAsia="Times New Roman" w:hAnsi="Calibri" w:cs="Calibri"/>
                <w:b/>
                <w:bCs/>
                <w:color w:val="000000"/>
                <w:lang w:eastAsia="es-DO"/>
              </w:rPr>
              <w:t>-243</w:t>
            </w:r>
          </w:p>
        </w:tc>
      </w:tr>
    </w:tbl>
    <w:p w14:paraId="742AA437" w14:textId="77777777" w:rsidR="00AE27F2" w:rsidRDefault="00AE27F2" w:rsidP="00A00477">
      <w:pPr>
        <w:spacing w:line="240" w:lineRule="auto"/>
        <w:jc w:val="both"/>
        <w:rPr>
          <w:rFonts w:ascii="Calibri" w:eastAsiaTheme="minorEastAsia" w:hAnsi="Calibri" w:cs="Calibri"/>
          <w:color w:val="000000" w:themeColor="text1"/>
          <w:kern w:val="24"/>
          <w:sz w:val="24"/>
          <w:szCs w:val="24"/>
          <w:lang w:eastAsia="es-DO"/>
        </w:rPr>
      </w:pPr>
    </w:p>
    <w:p w14:paraId="3994EF50" w14:textId="31665D17" w:rsidR="00AE27F2" w:rsidRDefault="00CA5FD6"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Como se puede apreciar la tendencia de los últimos 4 años es de un aumento en esta brecha lo que fortalece el argumento de probabilidad de daño a la RPN, y apoya el análisis prospectivo realizado por la metodología ARIMA sobre el diferencial de precios esperados para los próximos 36 meses. </w:t>
      </w:r>
    </w:p>
    <w:p w14:paraId="25350AC2" w14:textId="77777777" w:rsidR="00AE27F2" w:rsidRPr="00A4691D" w:rsidRDefault="00AE27F2" w:rsidP="00A00477">
      <w:pPr>
        <w:spacing w:line="240" w:lineRule="auto"/>
        <w:jc w:val="both"/>
        <w:rPr>
          <w:rFonts w:ascii="Calibri" w:eastAsiaTheme="minorEastAsia" w:hAnsi="Calibri" w:cs="Calibri"/>
          <w:color w:val="000000" w:themeColor="text1"/>
          <w:kern w:val="24"/>
          <w:sz w:val="24"/>
          <w:szCs w:val="24"/>
          <w:lang w:eastAsia="es-DO"/>
        </w:rPr>
      </w:pPr>
    </w:p>
    <w:p w14:paraId="5CF84D3D" w14:textId="586DD735" w:rsidR="00A00477" w:rsidRPr="00FD4B13" w:rsidRDefault="00A00477" w:rsidP="00A00477">
      <w:pPr>
        <w:spacing w:line="240" w:lineRule="auto"/>
        <w:jc w:val="both"/>
        <w:rPr>
          <w:rFonts w:ascii="Calibri" w:eastAsiaTheme="minorEastAsia" w:hAnsi="Calibri" w:cs="Calibri"/>
          <w:b/>
          <w:bCs/>
          <w:color w:val="000000" w:themeColor="text1"/>
          <w:kern w:val="24"/>
          <w:sz w:val="24"/>
          <w:szCs w:val="24"/>
          <w:lang w:eastAsia="es-DO"/>
        </w:rPr>
      </w:pPr>
      <w:r w:rsidRPr="00FD4B13">
        <w:rPr>
          <w:rFonts w:ascii="Calibri" w:eastAsiaTheme="minorEastAsia" w:hAnsi="Calibri" w:cs="Calibri"/>
          <w:b/>
          <w:bCs/>
          <w:color w:val="000000" w:themeColor="text1"/>
          <w:kern w:val="24"/>
          <w:sz w:val="24"/>
          <w:szCs w:val="24"/>
          <w:lang w:eastAsia="es-DO"/>
        </w:rPr>
        <w:t>EL ANALISIS DE ARIMA SENALA QUE TURQUIA SEGUIRA EXPORTANDO A PRECIOS INFERIORES A LOS DE LA RAMA DE PRODUCION NACIONAL</w:t>
      </w:r>
    </w:p>
    <w:p w14:paraId="617CE0FD" w14:textId="74A6AA60" w:rsidR="007C1D9E" w:rsidRDefault="00D41CEC" w:rsidP="008F3E77">
      <w:pPr>
        <w:spacing w:after="160" w:line="259" w:lineRule="auto"/>
        <w:jc w:val="both"/>
        <w:rPr>
          <w:rFonts w:ascii="Calibri" w:hAnsi="Calibri" w:cs="Calibri"/>
          <w:kern w:val="2"/>
          <w:sz w:val="24"/>
          <w:szCs w:val="24"/>
          <w14:ligatures w14:val="standardContextual"/>
        </w:rPr>
      </w:pPr>
      <w:r>
        <w:rPr>
          <w:rFonts w:ascii="Calibri" w:hAnsi="Calibri" w:cs="Calibri"/>
          <w:kern w:val="2"/>
          <w:sz w:val="24"/>
          <w:szCs w:val="24"/>
          <w14:ligatures w14:val="standardContextual"/>
        </w:rPr>
        <w:t xml:space="preserve">El presente expediente incluye en otra sección </w:t>
      </w:r>
      <w:r w:rsidR="00FD4B13" w:rsidRPr="00FD4B13">
        <w:rPr>
          <w:rFonts w:ascii="Calibri" w:hAnsi="Calibri" w:cs="Calibri"/>
          <w:kern w:val="2"/>
          <w:sz w:val="24"/>
          <w:szCs w:val="24"/>
          <w14:ligatures w14:val="standardContextual"/>
        </w:rPr>
        <w:t xml:space="preserve">un </w:t>
      </w:r>
      <w:r w:rsidR="003F72C8" w:rsidRPr="00FD4B13">
        <w:rPr>
          <w:rFonts w:ascii="Calibri" w:hAnsi="Calibri" w:cs="Calibri"/>
          <w:kern w:val="2"/>
          <w:sz w:val="24"/>
          <w:szCs w:val="24"/>
          <w14:ligatures w14:val="standardContextual"/>
        </w:rPr>
        <w:t>análisis</w:t>
      </w:r>
      <w:r w:rsidR="00FD4B13" w:rsidRPr="00FD4B13">
        <w:rPr>
          <w:rFonts w:ascii="Calibri" w:hAnsi="Calibri" w:cs="Calibri"/>
          <w:kern w:val="2"/>
          <w:sz w:val="24"/>
          <w:szCs w:val="24"/>
          <w14:ligatures w14:val="standardContextual"/>
        </w:rPr>
        <w:t xml:space="preserve"> prospectivo utilizando la metodología de ARIMA, </w:t>
      </w:r>
      <w:r w:rsidR="003F72C8">
        <w:rPr>
          <w:rFonts w:ascii="Calibri" w:hAnsi="Calibri" w:cs="Calibri"/>
          <w:kern w:val="2"/>
          <w:sz w:val="24"/>
          <w:szCs w:val="24"/>
          <w14:ligatures w14:val="standardContextual"/>
        </w:rPr>
        <w:t>para fines de pronosticar el comportamiento de los precios de exportación de Turquía para los próximos 36 meses en comparación con los precios de la Rama de Producción Nacional</w:t>
      </w:r>
      <w:r w:rsidR="008F3E77">
        <w:rPr>
          <w:rFonts w:ascii="Calibri" w:hAnsi="Calibri" w:cs="Calibri"/>
          <w:kern w:val="2"/>
          <w:sz w:val="24"/>
          <w:szCs w:val="24"/>
          <w14:ligatures w14:val="standardContextual"/>
        </w:rPr>
        <w:t xml:space="preserve">. El análisis econométrico del </w:t>
      </w:r>
      <w:r w:rsidR="007C1D9E">
        <w:rPr>
          <w:rFonts w:ascii="Calibri" w:hAnsi="Calibri" w:cs="Calibri"/>
          <w:kern w:val="2"/>
          <w:sz w:val="24"/>
          <w:szCs w:val="24"/>
          <w14:ligatures w14:val="standardContextual"/>
        </w:rPr>
        <w:t xml:space="preserve">ARIMA se </w:t>
      </w:r>
      <w:r w:rsidR="007C1D9E" w:rsidRPr="00FD4B13">
        <w:rPr>
          <w:rFonts w:ascii="Calibri" w:hAnsi="Calibri" w:cs="Calibri"/>
          <w:kern w:val="2"/>
          <w:sz w:val="24"/>
          <w:szCs w:val="24"/>
          <w14:ligatures w14:val="standardContextual"/>
        </w:rPr>
        <w:t>enfoca</w:t>
      </w:r>
      <w:r w:rsidR="00FD4B13" w:rsidRPr="00FD4B13">
        <w:rPr>
          <w:rFonts w:ascii="Calibri" w:hAnsi="Calibri" w:cs="Calibri"/>
          <w:kern w:val="2"/>
          <w:sz w:val="24"/>
          <w:szCs w:val="24"/>
          <w14:ligatures w14:val="standardContextual"/>
        </w:rPr>
        <w:t xml:space="preserve"> en el comportamiento temporal de una variable específica</w:t>
      </w:r>
      <w:r w:rsidR="007C1D9E">
        <w:rPr>
          <w:rFonts w:ascii="Calibri" w:hAnsi="Calibri" w:cs="Calibri"/>
          <w:kern w:val="2"/>
          <w:sz w:val="24"/>
          <w:szCs w:val="24"/>
          <w14:ligatures w14:val="standardContextual"/>
        </w:rPr>
        <w:t xml:space="preserve">, en este caso </w:t>
      </w:r>
      <w:r w:rsidR="007C1D9E" w:rsidRPr="00FD4B13">
        <w:rPr>
          <w:rFonts w:ascii="Calibri" w:hAnsi="Calibri" w:cs="Calibri"/>
          <w:kern w:val="2"/>
          <w:sz w:val="24"/>
          <w:szCs w:val="24"/>
          <w14:ligatures w14:val="standardContextual"/>
        </w:rPr>
        <w:t>la</w:t>
      </w:r>
      <w:r w:rsidR="00FD4B13" w:rsidRPr="00FD4B13">
        <w:rPr>
          <w:rFonts w:ascii="Calibri" w:hAnsi="Calibri" w:cs="Calibri"/>
          <w:kern w:val="2"/>
          <w:sz w:val="24"/>
          <w:szCs w:val="24"/>
          <w14:ligatures w14:val="standardContextual"/>
        </w:rPr>
        <w:t xml:space="preserve"> diferencia de precios entre las varillas </w:t>
      </w:r>
      <w:r w:rsidR="008F3E77">
        <w:rPr>
          <w:rFonts w:ascii="Calibri" w:hAnsi="Calibri" w:cs="Calibri"/>
          <w:kern w:val="2"/>
          <w:sz w:val="24"/>
          <w:szCs w:val="24"/>
          <w14:ligatures w14:val="standardContextual"/>
        </w:rPr>
        <w:t xml:space="preserve">exportadas por </w:t>
      </w:r>
      <w:r w:rsidR="008F3E77" w:rsidRPr="00FD4B13">
        <w:rPr>
          <w:rFonts w:ascii="Calibri" w:hAnsi="Calibri" w:cs="Calibri"/>
          <w:kern w:val="2"/>
          <w:sz w:val="24"/>
          <w:szCs w:val="24"/>
          <w14:ligatures w14:val="standardContextual"/>
        </w:rPr>
        <w:t>Turquía</w:t>
      </w:r>
      <w:r w:rsidR="00FD4B13" w:rsidRPr="00FD4B13">
        <w:rPr>
          <w:rFonts w:ascii="Calibri" w:hAnsi="Calibri" w:cs="Calibri"/>
          <w:kern w:val="2"/>
          <w:sz w:val="24"/>
          <w:szCs w:val="24"/>
          <w14:ligatures w14:val="standardContextual"/>
        </w:rPr>
        <w:t xml:space="preserve"> y los precios </w:t>
      </w:r>
      <w:r w:rsidR="007C1D9E">
        <w:rPr>
          <w:rFonts w:ascii="Calibri" w:hAnsi="Calibri" w:cs="Calibri"/>
          <w:kern w:val="2"/>
          <w:sz w:val="24"/>
          <w:szCs w:val="24"/>
          <w14:ligatures w14:val="standardContextual"/>
        </w:rPr>
        <w:t xml:space="preserve">domésticos </w:t>
      </w:r>
      <w:r w:rsidR="00FD4B13" w:rsidRPr="00FD4B13">
        <w:rPr>
          <w:rFonts w:ascii="Calibri" w:hAnsi="Calibri" w:cs="Calibri"/>
          <w:kern w:val="2"/>
          <w:sz w:val="24"/>
          <w:szCs w:val="24"/>
          <w14:ligatures w14:val="standardContextual"/>
        </w:rPr>
        <w:t>de la producción nacional dominicana.</w:t>
      </w:r>
    </w:p>
    <w:p w14:paraId="31267BDE" w14:textId="40C00108" w:rsidR="00FD4B13" w:rsidRPr="00FD4B13" w:rsidRDefault="007C1D9E" w:rsidP="007C1D9E">
      <w:pPr>
        <w:tabs>
          <w:tab w:val="num" w:pos="720"/>
        </w:tabs>
        <w:spacing w:after="160" w:line="259" w:lineRule="auto"/>
        <w:jc w:val="both"/>
        <w:rPr>
          <w:rFonts w:ascii="Calibri" w:hAnsi="Calibri" w:cs="Calibri"/>
          <w:kern w:val="2"/>
          <w:sz w:val="24"/>
          <w:szCs w:val="24"/>
          <w14:ligatures w14:val="standardContextual"/>
        </w:rPr>
      </w:pPr>
      <w:r w:rsidRPr="007C1D9E">
        <w:rPr>
          <w:rFonts w:ascii="Calibri" w:hAnsi="Calibri" w:cs="Calibri"/>
          <w:kern w:val="2"/>
          <w:sz w:val="24"/>
          <w:szCs w:val="24"/>
          <w14:ligatures w14:val="standardContextual"/>
        </w:rPr>
        <w:t xml:space="preserve">Los </w:t>
      </w:r>
      <w:r>
        <w:rPr>
          <w:rFonts w:ascii="Calibri" w:hAnsi="Calibri" w:cs="Calibri"/>
          <w:kern w:val="2"/>
          <w:sz w:val="24"/>
          <w:szCs w:val="24"/>
          <w14:ligatures w14:val="standardContextual"/>
        </w:rPr>
        <w:t>r</w:t>
      </w:r>
      <w:r w:rsidR="00FD4B13" w:rsidRPr="00FD4B13">
        <w:rPr>
          <w:rFonts w:ascii="Calibri" w:hAnsi="Calibri" w:cs="Calibri"/>
          <w:kern w:val="2"/>
          <w:sz w:val="24"/>
          <w:szCs w:val="24"/>
          <w14:ligatures w14:val="standardContextual"/>
        </w:rPr>
        <w:t xml:space="preserve">esultados </w:t>
      </w:r>
      <w:r w:rsidRPr="007C1D9E">
        <w:rPr>
          <w:rFonts w:ascii="Calibri" w:hAnsi="Calibri" w:cs="Calibri"/>
          <w:kern w:val="2"/>
          <w:sz w:val="24"/>
          <w:szCs w:val="24"/>
          <w14:ligatures w14:val="standardContextual"/>
        </w:rPr>
        <w:t xml:space="preserve">del análisis indican que, en promedio para los próximos 36 meses, sin la aplicación de una medida antidumping las varillas turcas serian un </w:t>
      </w:r>
      <w:r w:rsidR="00FD4B13" w:rsidRPr="00FD4B13">
        <w:rPr>
          <w:rFonts w:ascii="Calibri" w:hAnsi="Calibri" w:cs="Calibri"/>
          <w:b/>
          <w:bCs/>
          <w:kern w:val="2"/>
          <w:sz w:val="24"/>
          <w:szCs w:val="24"/>
          <w14:ligatures w14:val="standardContextual"/>
        </w:rPr>
        <w:t xml:space="preserve">13.2% </w:t>
      </w:r>
      <w:r w:rsidRPr="007C1D9E">
        <w:rPr>
          <w:rFonts w:ascii="Calibri" w:hAnsi="Calibri" w:cs="Calibri"/>
          <w:b/>
          <w:bCs/>
          <w:kern w:val="2"/>
          <w:sz w:val="24"/>
          <w:szCs w:val="24"/>
          <w14:ligatures w14:val="standardContextual"/>
        </w:rPr>
        <w:t>inferiores</w:t>
      </w:r>
      <w:r w:rsidRPr="007C1D9E">
        <w:rPr>
          <w:rFonts w:ascii="Calibri" w:hAnsi="Calibri" w:cs="Calibri"/>
          <w:kern w:val="2"/>
          <w:sz w:val="24"/>
          <w:szCs w:val="24"/>
          <w14:ligatures w14:val="standardContextual"/>
        </w:rPr>
        <w:t xml:space="preserve"> a los </w:t>
      </w:r>
      <w:r>
        <w:rPr>
          <w:rFonts w:ascii="Calibri" w:hAnsi="Calibri" w:cs="Calibri"/>
          <w:kern w:val="2"/>
          <w:sz w:val="24"/>
          <w:szCs w:val="24"/>
          <w14:ligatures w14:val="standardContextual"/>
        </w:rPr>
        <w:t xml:space="preserve">precios de la </w:t>
      </w:r>
      <w:r w:rsidRPr="007C1D9E">
        <w:rPr>
          <w:rFonts w:ascii="Calibri" w:hAnsi="Calibri" w:cs="Calibri"/>
          <w:kern w:val="2"/>
          <w:sz w:val="24"/>
          <w:szCs w:val="24"/>
          <w14:ligatures w14:val="standardContextual"/>
        </w:rPr>
        <w:t xml:space="preserve">RPN, lo que en términos absolutos se traduce en un </w:t>
      </w:r>
      <w:r w:rsidR="00FD4B13" w:rsidRPr="00FD4B13">
        <w:rPr>
          <w:rFonts w:ascii="Calibri" w:hAnsi="Calibri" w:cs="Calibri"/>
          <w:b/>
          <w:bCs/>
          <w:kern w:val="2"/>
          <w:sz w:val="24"/>
          <w:szCs w:val="24"/>
          <w14:ligatures w14:val="standardContextual"/>
        </w:rPr>
        <w:t>US$</w:t>
      </w:r>
      <w:r w:rsidR="00FE676B">
        <w:rPr>
          <w:rFonts w:ascii="Calibri" w:hAnsi="Calibri" w:cs="Calibri"/>
          <w:b/>
          <w:bCs/>
          <w:kern w:val="2"/>
          <w:sz w:val="24"/>
          <w:szCs w:val="24"/>
          <w14:ligatures w14:val="standardContextual"/>
        </w:rPr>
        <w:t>143.78</w:t>
      </w:r>
      <w:r w:rsidR="00FE676B">
        <w:rPr>
          <w:rStyle w:val="FootnoteReference"/>
          <w:rFonts w:ascii="Calibri" w:hAnsi="Calibri" w:cs="Calibri"/>
          <w:b/>
          <w:bCs/>
          <w:kern w:val="2"/>
          <w:sz w:val="24"/>
          <w:szCs w:val="24"/>
          <w14:ligatures w14:val="standardContextual"/>
        </w:rPr>
        <w:footnoteReference w:id="1"/>
      </w:r>
      <w:r w:rsidRPr="00DA696F">
        <w:rPr>
          <w:rFonts w:ascii="Calibri" w:hAnsi="Calibri" w:cs="Calibri"/>
          <w:b/>
          <w:bCs/>
          <w:kern w:val="2"/>
          <w:sz w:val="24"/>
          <w:szCs w:val="24"/>
          <w14:ligatures w14:val="standardContextual"/>
        </w:rPr>
        <w:t>la TM</w:t>
      </w:r>
      <w:r w:rsidRPr="007C1D9E">
        <w:rPr>
          <w:rFonts w:ascii="Calibri" w:hAnsi="Calibri" w:cs="Calibri"/>
          <w:kern w:val="2"/>
          <w:sz w:val="24"/>
          <w:szCs w:val="24"/>
          <w14:ligatures w14:val="standardContextual"/>
        </w:rPr>
        <w:t>.</w:t>
      </w:r>
      <w:r>
        <w:rPr>
          <w:rFonts w:ascii="Calibri" w:hAnsi="Calibri" w:cs="Calibri"/>
          <w:kern w:val="2"/>
          <w:sz w:val="24"/>
          <w:szCs w:val="24"/>
          <w14:ligatures w14:val="standardContextual"/>
        </w:rPr>
        <w:t xml:space="preserve"> </w:t>
      </w:r>
      <w:r w:rsidR="008F3E77">
        <w:rPr>
          <w:rFonts w:ascii="Calibri" w:hAnsi="Calibri" w:cs="Calibri"/>
          <w:kern w:val="2"/>
          <w:sz w:val="24"/>
          <w:szCs w:val="24"/>
          <w14:ligatures w14:val="standardContextual"/>
        </w:rPr>
        <w:t xml:space="preserve"> Los resultados prospectivos también indican que manteniendo </w:t>
      </w:r>
      <w:r w:rsidR="009B64BE">
        <w:rPr>
          <w:rFonts w:ascii="Calibri" w:hAnsi="Calibri" w:cs="Calibri"/>
          <w:kern w:val="2"/>
          <w:sz w:val="24"/>
          <w:szCs w:val="24"/>
          <w14:ligatures w14:val="standardContextual"/>
        </w:rPr>
        <w:t>el derecho</w:t>
      </w:r>
      <w:r>
        <w:rPr>
          <w:rFonts w:ascii="Calibri" w:hAnsi="Calibri" w:cs="Calibri"/>
          <w:kern w:val="2"/>
          <w:sz w:val="24"/>
          <w:szCs w:val="24"/>
          <w14:ligatures w14:val="standardContextual"/>
        </w:rPr>
        <w:t xml:space="preserve"> antidumping del 14%</w:t>
      </w:r>
      <w:r w:rsidR="008F3E77">
        <w:rPr>
          <w:rFonts w:ascii="Calibri" w:hAnsi="Calibri" w:cs="Calibri"/>
          <w:kern w:val="2"/>
          <w:sz w:val="24"/>
          <w:szCs w:val="24"/>
          <w14:ligatures w14:val="standardContextual"/>
        </w:rPr>
        <w:t xml:space="preserve">, </w:t>
      </w:r>
      <w:r w:rsidR="00FD4B13" w:rsidRPr="00FD4B13">
        <w:rPr>
          <w:rFonts w:ascii="Calibri" w:hAnsi="Calibri" w:cs="Calibri"/>
          <w:kern w:val="2"/>
          <w:sz w:val="24"/>
          <w:szCs w:val="24"/>
          <w14:ligatures w14:val="standardContextual"/>
        </w:rPr>
        <w:t xml:space="preserve">la diferencia </w:t>
      </w:r>
      <w:r>
        <w:rPr>
          <w:rFonts w:ascii="Calibri" w:hAnsi="Calibri" w:cs="Calibri"/>
          <w:kern w:val="2"/>
          <w:sz w:val="24"/>
          <w:szCs w:val="24"/>
          <w14:ligatures w14:val="standardContextual"/>
        </w:rPr>
        <w:t xml:space="preserve">prácticamente </w:t>
      </w:r>
      <w:r w:rsidR="00FD4B13" w:rsidRPr="00FD4B13">
        <w:rPr>
          <w:rFonts w:ascii="Calibri" w:hAnsi="Calibri" w:cs="Calibri"/>
          <w:kern w:val="2"/>
          <w:sz w:val="24"/>
          <w:szCs w:val="24"/>
          <w14:ligatures w14:val="standardContextual"/>
        </w:rPr>
        <w:t xml:space="preserve">se elimina, </w:t>
      </w:r>
      <w:r>
        <w:rPr>
          <w:rFonts w:ascii="Calibri" w:hAnsi="Calibri" w:cs="Calibri"/>
          <w:kern w:val="2"/>
          <w:sz w:val="24"/>
          <w:szCs w:val="24"/>
          <w14:ligatures w14:val="standardContextual"/>
        </w:rPr>
        <w:t xml:space="preserve">siendo las varillas turcas </w:t>
      </w:r>
      <w:r w:rsidR="00FD4B13" w:rsidRPr="00FD4B13">
        <w:rPr>
          <w:rFonts w:ascii="Calibri" w:hAnsi="Calibri" w:cs="Calibri"/>
          <w:kern w:val="2"/>
          <w:sz w:val="24"/>
          <w:szCs w:val="24"/>
          <w14:ligatures w14:val="standardContextual"/>
        </w:rPr>
        <w:t xml:space="preserve">1.05% </w:t>
      </w:r>
      <w:r>
        <w:rPr>
          <w:rFonts w:ascii="Calibri" w:hAnsi="Calibri" w:cs="Calibri"/>
          <w:kern w:val="2"/>
          <w:sz w:val="24"/>
          <w:szCs w:val="24"/>
          <w14:ligatures w14:val="standardContextual"/>
        </w:rPr>
        <w:t xml:space="preserve">inferiores a los de la RPN (equivalentes a unos </w:t>
      </w:r>
      <w:r w:rsidR="00FD4B13" w:rsidRPr="00FD4B13">
        <w:rPr>
          <w:rFonts w:ascii="Calibri" w:hAnsi="Calibri" w:cs="Calibri"/>
          <w:kern w:val="2"/>
          <w:sz w:val="24"/>
          <w:szCs w:val="24"/>
          <w14:ligatures w14:val="standardContextual"/>
        </w:rPr>
        <w:t>US$</w:t>
      </w:r>
      <w:r w:rsidR="00C81976">
        <w:rPr>
          <w:rFonts w:ascii="Calibri" w:hAnsi="Calibri" w:cs="Calibri"/>
          <w:kern w:val="2"/>
          <w:sz w:val="24"/>
          <w:szCs w:val="24"/>
          <w14:ligatures w14:val="standardContextual"/>
        </w:rPr>
        <w:t>11.44</w:t>
      </w:r>
      <w:r w:rsidR="00C81976">
        <w:rPr>
          <w:rStyle w:val="FootnoteReference"/>
          <w:rFonts w:ascii="Calibri" w:hAnsi="Calibri" w:cs="Calibri"/>
          <w:kern w:val="2"/>
          <w:sz w:val="24"/>
          <w:szCs w:val="24"/>
          <w14:ligatures w14:val="standardContextual"/>
        </w:rPr>
        <w:footnoteReference w:id="2"/>
      </w:r>
      <w:r>
        <w:rPr>
          <w:rFonts w:ascii="Calibri" w:hAnsi="Calibri" w:cs="Calibri"/>
          <w:kern w:val="2"/>
          <w:sz w:val="24"/>
          <w:szCs w:val="24"/>
          <w14:ligatures w14:val="standardContextual"/>
        </w:rPr>
        <w:t xml:space="preserve"> la TM)</w:t>
      </w:r>
      <w:r w:rsidR="00FD4B13" w:rsidRPr="00FD4B13">
        <w:rPr>
          <w:rFonts w:ascii="Calibri" w:hAnsi="Calibri" w:cs="Calibri"/>
          <w:kern w:val="2"/>
          <w:sz w:val="24"/>
          <w:szCs w:val="24"/>
          <w14:ligatures w14:val="standardContextual"/>
        </w:rPr>
        <w:t>.</w:t>
      </w:r>
    </w:p>
    <w:p w14:paraId="0A341F82" w14:textId="44A50C22" w:rsidR="00DA696F" w:rsidRDefault="007C1D9E" w:rsidP="008F3E77">
      <w:pPr>
        <w:spacing w:after="160" w:line="259" w:lineRule="auto"/>
        <w:jc w:val="both"/>
        <w:rPr>
          <w:rFonts w:ascii="Calibri" w:hAnsi="Calibri" w:cs="Calibri"/>
          <w:kern w:val="2"/>
          <w:sz w:val="24"/>
          <w:szCs w:val="24"/>
          <w14:ligatures w14:val="standardContextual"/>
        </w:rPr>
      </w:pPr>
      <w:r>
        <w:rPr>
          <w:rFonts w:ascii="Calibri" w:hAnsi="Calibri" w:cs="Calibri"/>
          <w:kern w:val="2"/>
          <w:sz w:val="24"/>
          <w:szCs w:val="24"/>
          <w14:ligatures w14:val="standardContextual"/>
        </w:rPr>
        <w:t xml:space="preserve">Esta brecha de precios sin la aplicación de una tasa antidumping es altamente significativa para fines de prospectar la probabilidad de recurrencia de daño a la RPN, ocasionada por las importaciones </w:t>
      </w:r>
      <w:r w:rsidR="00DA696F">
        <w:rPr>
          <w:rFonts w:ascii="Calibri" w:hAnsi="Calibri" w:cs="Calibri"/>
          <w:kern w:val="2"/>
          <w:sz w:val="24"/>
          <w:szCs w:val="24"/>
          <w14:ligatures w14:val="standardContextual"/>
        </w:rPr>
        <w:t xml:space="preserve">de varillas turcas a precios inferiores a los de la RPN. </w:t>
      </w:r>
      <w:r w:rsidR="008F3E77">
        <w:rPr>
          <w:rFonts w:ascii="Calibri" w:hAnsi="Calibri" w:cs="Calibri"/>
          <w:kern w:val="2"/>
          <w:sz w:val="24"/>
          <w:szCs w:val="24"/>
          <w14:ligatures w14:val="standardContextual"/>
        </w:rPr>
        <w:t>D</w:t>
      </w:r>
      <w:r w:rsidR="00FD4B13" w:rsidRPr="00FD4B13">
        <w:rPr>
          <w:rFonts w:ascii="Calibri" w:hAnsi="Calibri" w:cs="Calibri"/>
          <w:kern w:val="2"/>
          <w:sz w:val="24"/>
          <w:szCs w:val="24"/>
          <w14:ligatures w14:val="standardContextual"/>
        </w:rPr>
        <w:t>ebido a la naturaleza del producto en cuestión (</w:t>
      </w:r>
      <w:proofErr w:type="spellStart"/>
      <w:r w:rsidR="00FD4B13" w:rsidRPr="00FD4B13">
        <w:rPr>
          <w:rFonts w:ascii="Calibri" w:hAnsi="Calibri" w:cs="Calibri"/>
          <w:kern w:val="2"/>
          <w:sz w:val="24"/>
          <w:szCs w:val="24"/>
          <w14:ligatures w14:val="standardContextual"/>
        </w:rPr>
        <w:t>commodity</w:t>
      </w:r>
      <w:proofErr w:type="spellEnd"/>
      <w:r w:rsidR="00FD4B13" w:rsidRPr="00FD4B13">
        <w:rPr>
          <w:rFonts w:ascii="Calibri" w:hAnsi="Calibri" w:cs="Calibri"/>
          <w:kern w:val="2"/>
          <w:sz w:val="24"/>
          <w:szCs w:val="24"/>
          <w14:ligatures w14:val="standardContextual"/>
        </w:rPr>
        <w:t>), una ventaja de precios de dicha magnitud produciría un aumento de las importaciones</w:t>
      </w:r>
      <w:r w:rsidR="00DA696F">
        <w:rPr>
          <w:rFonts w:ascii="Calibri" w:hAnsi="Calibri" w:cs="Calibri"/>
          <w:kern w:val="2"/>
          <w:sz w:val="24"/>
          <w:szCs w:val="24"/>
          <w14:ligatures w14:val="standardContextual"/>
        </w:rPr>
        <w:t xml:space="preserve">, </w:t>
      </w:r>
      <w:r w:rsidR="00FD4B13" w:rsidRPr="00FD4B13">
        <w:rPr>
          <w:rFonts w:ascii="Calibri" w:hAnsi="Calibri" w:cs="Calibri"/>
          <w:kern w:val="2"/>
          <w:sz w:val="24"/>
          <w:szCs w:val="24"/>
          <w14:ligatures w14:val="standardContextual"/>
        </w:rPr>
        <w:t xml:space="preserve">desplazamiento la participación </w:t>
      </w:r>
      <w:r w:rsidR="00DA696F">
        <w:rPr>
          <w:rFonts w:ascii="Calibri" w:hAnsi="Calibri" w:cs="Calibri"/>
          <w:kern w:val="2"/>
          <w:sz w:val="24"/>
          <w:szCs w:val="24"/>
          <w14:ligatures w14:val="standardContextual"/>
        </w:rPr>
        <w:t xml:space="preserve">de mercado de la </w:t>
      </w:r>
      <w:r w:rsidR="00DA696F" w:rsidRPr="00FD4B13">
        <w:rPr>
          <w:rFonts w:ascii="Calibri" w:hAnsi="Calibri" w:cs="Calibri"/>
          <w:kern w:val="2"/>
          <w:sz w:val="24"/>
          <w:szCs w:val="24"/>
          <w14:ligatures w14:val="standardContextual"/>
        </w:rPr>
        <w:t>Rama</w:t>
      </w:r>
      <w:r w:rsidR="00FD4B13" w:rsidRPr="00FD4B13">
        <w:rPr>
          <w:rFonts w:ascii="Calibri" w:hAnsi="Calibri" w:cs="Calibri"/>
          <w:kern w:val="2"/>
          <w:sz w:val="24"/>
          <w:szCs w:val="24"/>
          <w14:ligatures w14:val="standardContextual"/>
        </w:rPr>
        <w:t xml:space="preserve"> de Producción Nacional</w:t>
      </w:r>
      <w:r w:rsidR="00DA696F">
        <w:rPr>
          <w:rFonts w:ascii="Calibri" w:hAnsi="Calibri" w:cs="Calibri"/>
          <w:kern w:val="2"/>
          <w:sz w:val="24"/>
          <w:szCs w:val="24"/>
          <w14:ligatures w14:val="standardContextual"/>
        </w:rPr>
        <w:t xml:space="preserve">.  Debido a que Turquía tiene la capacidad de suplir el 100% del mercado </w:t>
      </w:r>
      <w:r w:rsidR="00DA696F">
        <w:rPr>
          <w:rFonts w:ascii="Calibri" w:hAnsi="Calibri" w:cs="Calibri"/>
          <w:kern w:val="2"/>
          <w:sz w:val="24"/>
          <w:szCs w:val="24"/>
          <w14:ligatures w14:val="standardContextual"/>
        </w:rPr>
        <w:lastRenderedPageBreak/>
        <w:t>nacional</w:t>
      </w:r>
      <w:r w:rsidR="00FD4B13" w:rsidRPr="00FD4B13">
        <w:rPr>
          <w:rFonts w:ascii="Calibri" w:hAnsi="Calibri" w:cs="Calibri"/>
          <w:kern w:val="2"/>
          <w:sz w:val="24"/>
          <w:szCs w:val="24"/>
          <w14:ligatures w14:val="standardContextual"/>
        </w:rPr>
        <w:t xml:space="preserve">, </w:t>
      </w:r>
      <w:r w:rsidR="00DA696F">
        <w:rPr>
          <w:rFonts w:ascii="Calibri" w:hAnsi="Calibri" w:cs="Calibri"/>
          <w:kern w:val="2"/>
          <w:sz w:val="24"/>
          <w:szCs w:val="24"/>
          <w14:ligatures w14:val="standardContextual"/>
        </w:rPr>
        <w:t xml:space="preserve">fruto de su alta capacidad exportadora, la RPN se vería obligada a defender su participación de mercado, ajustando los precios a la baja.  </w:t>
      </w:r>
    </w:p>
    <w:p w14:paraId="770F3482" w14:textId="30939F62" w:rsidR="00A00477" w:rsidRPr="00FD4B13" w:rsidRDefault="00DA696F" w:rsidP="00A00477">
      <w:pPr>
        <w:spacing w:line="240" w:lineRule="auto"/>
        <w:jc w:val="both"/>
        <w:rPr>
          <w:rFonts w:ascii="Calibri" w:eastAsiaTheme="minorEastAsia" w:hAnsi="Calibri" w:cs="Calibri"/>
          <w:color w:val="000000" w:themeColor="text1"/>
          <w:kern w:val="24"/>
          <w:sz w:val="24"/>
          <w:szCs w:val="24"/>
          <w:lang w:eastAsia="es-DO"/>
        </w:rPr>
      </w:pPr>
      <w:r>
        <w:rPr>
          <w:rFonts w:ascii="Calibri" w:eastAsiaTheme="minorEastAsia" w:hAnsi="Calibri" w:cs="Calibri"/>
          <w:color w:val="000000" w:themeColor="text1"/>
          <w:kern w:val="24"/>
          <w:sz w:val="24"/>
          <w:szCs w:val="24"/>
          <w:lang w:eastAsia="es-DO"/>
        </w:rPr>
        <w:t xml:space="preserve">Una reducción de precios para hacer frente al incremento de varillas turcas fruto del diferencial de precios </w:t>
      </w:r>
      <w:r w:rsidR="008F3E77">
        <w:rPr>
          <w:rFonts w:ascii="Calibri" w:eastAsiaTheme="minorEastAsia" w:hAnsi="Calibri" w:cs="Calibri"/>
          <w:color w:val="000000" w:themeColor="text1"/>
          <w:kern w:val="24"/>
          <w:sz w:val="24"/>
          <w:szCs w:val="24"/>
          <w:lang w:eastAsia="es-DO"/>
        </w:rPr>
        <w:t>se traduciría en reducción de las ventas nominales, s</w:t>
      </w:r>
      <w:r>
        <w:rPr>
          <w:rFonts w:ascii="Calibri" w:eastAsiaTheme="minorEastAsia" w:hAnsi="Calibri" w:cs="Calibri"/>
          <w:color w:val="000000" w:themeColor="text1"/>
          <w:kern w:val="24"/>
          <w:sz w:val="24"/>
          <w:szCs w:val="24"/>
          <w:lang w:eastAsia="es-DO"/>
        </w:rPr>
        <w:t xml:space="preserve">in </w:t>
      </w:r>
      <w:r w:rsidR="008F3E77">
        <w:rPr>
          <w:rFonts w:ascii="Calibri" w:eastAsiaTheme="minorEastAsia" w:hAnsi="Calibri" w:cs="Calibri"/>
          <w:color w:val="000000" w:themeColor="text1"/>
          <w:kern w:val="24"/>
          <w:sz w:val="24"/>
          <w:szCs w:val="24"/>
          <w:lang w:eastAsia="es-DO"/>
        </w:rPr>
        <w:t>su contraparte en la reducción</w:t>
      </w:r>
      <w:r>
        <w:rPr>
          <w:rFonts w:ascii="Calibri" w:eastAsiaTheme="minorEastAsia" w:hAnsi="Calibri" w:cs="Calibri"/>
          <w:color w:val="000000" w:themeColor="text1"/>
          <w:kern w:val="24"/>
          <w:sz w:val="24"/>
          <w:szCs w:val="24"/>
          <w:lang w:eastAsia="es-DO"/>
        </w:rPr>
        <w:t xml:space="preserve"> de costos. </w:t>
      </w:r>
    </w:p>
    <w:p w14:paraId="4726E03A" w14:textId="5EDCD26F" w:rsidR="00A00477" w:rsidRPr="00FD4B13" w:rsidRDefault="001401D9" w:rsidP="00A00477">
      <w:pPr>
        <w:spacing w:line="240" w:lineRule="auto"/>
        <w:jc w:val="both"/>
        <w:rPr>
          <w:rFonts w:ascii="Calibri" w:hAnsi="Calibri" w:cs="Calibri"/>
          <w:b/>
          <w:bCs/>
          <w:sz w:val="24"/>
          <w:szCs w:val="24"/>
        </w:rPr>
      </w:pPr>
      <w:bookmarkStart w:id="1" w:name="_Hlk207640627"/>
      <w:r w:rsidRPr="00FD4B13">
        <w:rPr>
          <w:rFonts w:ascii="Calibri" w:eastAsiaTheme="minorEastAsia" w:hAnsi="Calibri" w:cs="Calibri"/>
          <w:b/>
          <w:bCs/>
          <w:color w:val="000000" w:themeColor="text1"/>
          <w:kern w:val="24"/>
          <w:sz w:val="24"/>
          <w:szCs w:val="24"/>
          <w:lang w:eastAsia="es-DO"/>
        </w:rPr>
        <w:t xml:space="preserve">UNA </w:t>
      </w:r>
      <w:r w:rsidR="00A00477" w:rsidRPr="00FD4B13">
        <w:rPr>
          <w:rFonts w:ascii="Calibri" w:eastAsiaTheme="minorEastAsia" w:hAnsi="Calibri" w:cs="Calibri"/>
          <w:b/>
          <w:bCs/>
          <w:color w:val="000000" w:themeColor="text1"/>
          <w:kern w:val="24"/>
          <w:sz w:val="24"/>
          <w:szCs w:val="24"/>
          <w:lang w:eastAsia="es-DO"/>
        </w:rPr>
        <w:t>ELIMINACION DE LA TASA ANTIDUMPING</w:t>
      </w:r>
      <w:r w:rsidRPr="00FD4B13">
        <w:rPr>
          <w:rFonts w:ascii="Calibri" w:eastAsiaTheme="minorEastAsia" w:hAnsi="Calibri" w:cs="Calibri"/>
          <w:b/>
          <w:bCs/>
          <w:color w:val="000000" w:themeColor="text1"/>
          <w:kern w:val="24"/>
          <w:sz w:val="24"/>
          <w:szCs w:val="24"/>
          <w:lang w:eastAsia="es-DO"/>
        </w:rPr>
        <w:t xml:space="preserve">, SE TRADUCIRA </w:t>
      </w:r>
      <w:r w:rsidR="00DA696F">
        <w:rPr>
          <w:rFonts w:ascii="Calibri" w:eastAsiaTheme="minorEastAsia" w:hAnsi="Calibri" w:cs="Calibri"/>
          <w:b/>
          <w:bCs/>
          <w:color w:val="000000" w:themeColor="text1"/>
          <w:kern w:val="24"/>
          <w:sz w:val="24"/>
          <w:szCs w:val="24"/>
          <w:lang w:eastAsia="es-DO"/>
        </w:rPr>
        <w:t>EN LA RECURRENCIA DE D</w:t>
      </w:r>
      <w:r w:rsidRPr="00FD4B13">
        <w:rPr>
          <w:rFonts w:ascii="Calibri" w:eastAsiaTheme="minorEastAsia" w:hAnsi="Calibri" w:cs="Calibri"/>
          <w:b/>
          <w:bCs/>
          <w:color w:val="000000" w:themeColor="text1"/>
          <w:kern w:val="24"/>
          <w:sz w:val="24"/>
          <w:szCs w:val="24"/>
          <w:lang w:eastAsia="es-DO"/>
        </w:rPr>
        <w:t xml:space="preserve">ANO A LA RPN VIA EL AUMENTO DE LAS EXPORTACIONES Y EL CONSECUENTE AJUSTE DE PRECIOS DE LA RPN AFECTANDO SUS RESULTADOS FINANCIEROS DE FORMA SIGNIFICATIVA  </w:t>
      </w:r>
    </w:p>
    <w:bookmarkEnd w:id="1"/>
    <w:p w14:paraId="10CA3A0C" w14:textId="77777777" w:rsidR="00262082" w:rsidRDefault="00262082" w:rsidP="00631327">
      <w:pPr>
        <w:jc w:val="both"/>
        <w:rPr>
          <w:rFonts w:ascii="Calibri" w:hAnsi="Calibri" w:cs="Calibri"/>
          <w:kern w:val="2"/>
          <w:sz w:val="24"/>
          <w:szCs w:val="24"/>
        </w:rPr>
      </w:pPr>
      <w:r>
        <w:rPr>
          <w:rFonts w:ascii="Calibri" w:hAnsi="Calibri" w:cs="Calibri"/>
          <w:sz w:val="24"/>
          <w:szCs w:val="24"/>
        </w:rPr>
        <w:t xml:space="preserve">Como bien se presenta previamente, Turquía cuenta con una alta capacidad ociosa en su industria de acero. Las últimas cifras disponibles indican una un 56% de utilización de su capacidad instalada, resultando en un 44% de capacidad ociosa.  </w:t>
      </w:r>
    </w:p>
    <w:p w14:paraId="57F2EFC4" w14:textId="77777777" w:rsidR="00262082" w:rsidRDefault="00262082" w:rsidP="00631327">
      <w:pPr>
        <w:jc w:val="both"/>
        <w:rPr>
          <w:rFonts w:ascii="Calibri" w:hAnsi="Calibri" w:cs="Calibri"/>
          <w:sz w:val="24"/>
          <w:szCs w:val="24"/>
        </w:rPr>
      </w:pPr>
      <w:r>
        <w:rPr>
          <w:rFonts w:ascii="Calibri" w:hAnsi="Calibri" w:cs="Calibri"/>
          <w:sz w:val="24"/>
          <w:szCs w:val="24"/>
        </w:rPr>
        <w:t xml:space="preserve">Turquía ha sido de forma consistente el principal exportador de varillas al mundo, llegando a exportar en el 2008 la cifra récord de </w:t>
      </w:r>
      <w:r>
        <w:rPr>
          <w:rFonts w:ascii="Calibri" w:hAnsi="Calibri" w:cs="Calibri"/>
          <w:b/>
          <w:bCs/>
          <w:sz w:val="24"/>
          <w:szCs w:val="24"/>
        </w:rPr>
        <w:t>10 millones de TM</w:t>
      </w:r>
      <w:r>
        <w:rPr>
          <w:rFonts w:ascii="Calibri" w:hAnsi="Calibri" w:cs="Calibri"/>
          <w:sz w:val="24"/>
          <w:szCs w:val="24"/>
        </w:rPr>
        <w:t xml:space="preserve">. </w:t>
      </w:r>
    </w:p>
    <w:p w14:paraId="1DE51D5A" w14:textId="77777777" w:rsidR="00262082" w:rsidRDefault="00262082" w:rsidP="00631327">
      <w:pPr>
        <w:jc w:val="both"/>
        <w:rPr>
          <w:rFonts w:ascii="Calibri" w:hAnsi="Calibri" w:cs="Calibri"/>
          <w:sz w:val="24"/>
          <w:szCs w:val="24"/>
        </w:rPr>
      </w:pPr>
      <w:r>
        <w:rPr>
          <w:rFonts w:ascii="Calibri" w:hAnsi="Calibri" w:cs="Calibri"/>
          <w:sz w:val="24"/>
          <w:szCs w:val="24"/>
        </w:rPr>
        <w:t xml:space="preserve">En el 2021, Turquía exportó </w:t>
      </w:r>
      <w:r>
        <w:rPr>
          <w:rFonts w:ascii="Calibri" w:hAnsi="Calibri" w:cs="Calibri"/>
          <w:b/>
          <w:bCs/>
          <w:sz w:val="24"/>
          <w:szCs w:val="24"/>
        </w:rPr>
        <w:t>7.1 millones de TM</w:t>
      </w:r>
      <w:r>
        <w:rPr>
          <w:rFonts w:ascii="Calibri" w:hAnsi="Calibri" w:cs="Calibri"/>
          <w:sz w:val="24"/>
          <w:szCs w:val="24"/>
        </w:rPr>
        <w:t xml:space="preserve">, y para el 2024 registró exportaciones por </w:t>
      </w:r>
      <w:r>
        <w:rPr>
          <w:rFonts w:ascii="Calibri" w:hAnsi="Calibri" w:cs="Calibri"/>
          <w:b/>
          <w:bCs/>
          <w:sz w:val="24"/>
          <w:szCs w:val="24"/>
        </w:rPr>
        <w:t>3.4 millones de TM</w:t>
      </w:r>
      <w:r>
        <w:rPr>
          <w:rFonts w:ascii="Calibri" w:hAnsi="Calibri" w:cs="Calibri"/>
          <w:sz w:val="24"/>
          <w:szCs w:val="24"/>
        </w:rPr>
        <w:t xml:space="preserve">.  Entre el 2024 y 2021, es decir en un periodo de cuatro años, las exportaciones de Turquía se contrajeron en un </w:t>
      </w:r>
      <w:r>
        <w:rPr>
          <w:rFonts w:ascii="Calibri" w:hAnsi="Calibri" w:cs="Calibri"/>
          <w:b/>
          <w:bCs/>
          <w:sz w:val="24"/>
          <w:szCs w:val="24"/>
        </w:rPr>
        <w:t>52%</w:t>
      </w:r>
      <w:r>
        <w:rPr>
          <w:rFonts w:ascii="Calibri" w:hAnsi="Calibri" w:cs="Calibri"/>
          <w:sz w:val="24"/>
          <w:szCs w:val="24"/>
        </w:rPr>
        <w:t xml:space="preserve">, equivalentes a </w:t>
      </w:r>
      <w:r>
        <w:rPr>
          <w:rFonts w:ascii="Calibri" w:hAnsi="Calibri" w:cs="Calibri"/>
          <w:b/>
          <w:bCs/>
          <w:sz w:val="24"/>
          <w:szCs w:val="24"/>
        </w:rPr>
        <w:t>3.7 millones de TM</w:t>
      </w:r>
      <w:r>
        <w:rPr>
          <w:rFonts w:ascii="Calibri" w:hAnsi="Calibri" w:cs="Calibri"/>
          <w:sz w:val="24"/>
          <w:szCs w:val="24"/>
        </w:rPr>
        <w:t xml:space="preserve">. </w:t>
      </w:r>
    </w:p>
    <w:p w14:paraId="1D4DAD42" w14:textId="28EF995A" w:rsidR="00262082" w:rsidRDefault="00262082" w:rsidP="00631327">
      <w:pPr>
        <w:jc w:val="both"/>
        <w:rPr>
          <w:rFonts w:ascii="Calibri" w:hAnsi="Calibri" w:cs="Calibri"/>
          <w:sz w:val="24"/>
          <w:szCs w:val="24"/>
        </w:rPr>
      </w:pPr>
      <w:r>
        <w:rPr>
          <w:rFonts w:ascii="Calibri" w:hAnsi="Calibri" w:cs="Calibri"/>
          <w:sz w:val="24"/>
          <w:szCs w:val="24"/>
        </w:rPr>
        <w:t>Si bien no se cuenta con cifras del comportamiento interno de la demanda de varillas turcas, las cifras de su crecimiento económico en este periodo</w:t>
      </w:r>
      <w:r w:rsidR="008F3E77">
        <w:rPr>
          <w:rFonts w:ascii="Calibri" w:hAnsi="Calibri" w:cs="Calibri"/>
          <w:sz w:val="24"/>
          <w:szCs w:val="24"/>
        </w:rPr>
        <w:t xml:space="preserve"> promediaron un </w:t>
      </w:r>
      <w:r>
        <w:rPr>
          <w:rFonts w:ascii="Calibri" w:hAnsi="Calibri" w:cs="Calibri"/>
          <w:sz w:val="24"/>
          <w:szCs w:val="24"/>
        </w:rPr>
        <w:t>6.3%</w:t>
      </w:r>
      <w:r w:rsidR="008F3E77">
        <w:rPr>
          <w:rFonts w:ascii="Calibri" w:hAnsi="Calibri" w:cs="Calibri"/>
          <w:sz w:val="24"/>
          <w:szCs w:val="24"/>
        </w:rPr>
        <w:t xml:space="preserve"> anual (</w:t>
      </w:r>
      <w:r>
        <w:rPr>
          <w:rFonts w:ascii="Calibri" w:hAnsi="Calibri" w:cs="Calibri"/>
          <w:sz w:val="24"/>
          <w:szCs w:val="24"/>
        </w:rPr>
        <w:t>fluctuando entre 11.4% y 3.2% dependiendo del año)</w:t>
      </w:r>
      <w:r w:rsidR="008F3E77">
        <w:rPr>
          <w:rFonts w:ascii="Calibri" w:hAnsi="Calibri" w:cs="Calibri"/>
          <w:sz w:val="24"/>
          <w:szCs w:val="24"/>
        </w:rPr>
        <w:t xml:space="preserve">. Estas cifras </w:t>
      </w:r>
      <w:r>
        <w:rPr>
          <w:rFonts w:ascii="Calibri" w:hAnsi="Calibri" w:cs="Calibri"/>
          <w:sz w:val="24"/>
          <w:szCs w:val="24"/>
        </w:rPr>
        <w:t xml:space="preserve">si bien son </w:t>
      </w:r>
      <w:r w:rsidR="008F3E77">
        <w:rPr>
          <w:rFonts w:ascii="Calibri" w:hAnsi="Calibri" w:cs="Calibri"/>
          <w:sz w:val="24"/>
          <w:szCs w:val="24"/>
        </w:rPr>
        <w:t>positivas, contrastan</w:t>
      </w:r>
      <w:r>
        <w:rPr>
          <w:rFonts w:ascii="Calibri" w:hAnsi="Calibri" w:cs="Calibri"/>
          <w:sz w:val="24"/>
          <w:szCs w:val="24"/>
        </w:rPr>
        <w:t xml:space="preserve"> con la </w:t>
      </w:r>
      <w:r w:rsidR="008F3E77">
        <w:rPr>
          <w:rFonts w:ascii="Calibri" w:hAnsi="Calibri" w:cs="Calibri"/>
          <w:sz w:val="24"/>
          <w:szCs w:val="24"/>
        </w:rPr>
        <w:t xml:space="preserve">magnitud de la contracción de sus </w:t>
      </w:r>
      <w:r>
        <w:rPr>
          <w:rFonts w:ascii="Calibri" w:hAnsi="Calibri" w:cs="Calibri"/>
          <w:sz w:val="24"/>
          <w:szCs w:val="24"/>
        </w:rPr>
        <w:t xml:space="preserve">exportaciones.  Esto nos lleva a concluir que la capacidad ociosa de varillas turcas en </w:t>
      </w:r>
      <w:r w:rsidR="008F3E77">
        <w:rPr>
          <w:rFonts w:ascii="Calibri" w:hAnsi="Calibri" w:cs="Calibri"/>
          <w:sz w:val="24"/>
          <w:szCs w:val="24"/>
        </w:rPr>
        <w:t xml:space="preserve">la actualidad </w:t>
      </w:r>
      <w:r>
        <w:rPr>
          <w:rFonts w:ascii="Calibri" w:hAnsi="Calibri" w:cs="Calibri"/>
          <w:sz w:val="24"/>
          <w:szCs w:val="24"/>
        </w:rPr>
        <w:t xml:space="preserve">debe ser superior a las de cuatro años atrás, y por consiguiente su </w:t>
      </w:r>
      <w:r w:rsidR="008F3E77">
        <w:rPr>
          <w:rFonts w:ascii="Calibri" w:hAnsi="Calibri" w:cs="Calibri"/>
          <w:sz w:val="24"/>
          <w:szCs w:val="24"/>
        </w:rPr>
        <w:t xml:space="preserve">objetivo de </w:t>
      </w:r>
      <w:r>
        <w:rPr>
          <w:rFonts w:ascii="Calibri" w:hAnsi="Calibri" w:cs="Calibri"/>
          <w:sz w:val="24"/>
          <w:szCs w:val="24"/>
        </w:rPr>
        <w:t>penetrar nuevos mercados vía sus exportaciones</w:t>
      </w:r>
      <w:r w:rsidR="008F3E77">
        <w:rPr>
          <w:rFonts w:ascii="Calibri" w:hAnsi="Calibri" w:cs="Calibri"/>
          <w:sz w:val="24"/>
          <w:szCs w:val="24"/>
        </w:rPr>
        <w:t>, para recuperar el volumen exportado de años anteriores.</w:t>
      </w:r>
    </w:p>
    <w:p w14:paraId="466A8900" w14:textId="52218955" w:rsidR="00262082" w:rsidRDefault="00262082" w:rsidP="00631327">
      <w:pPr>
        <w:jc w:val="both"/>
        <w:rPr>
          <w:rFonts w:ascii="Calibri" w:hAnsi="Calibri" w:cs="Calibri"/>
          <w:sz w:val="24"/>
          <w:szCs w:val="24"/>
        </w:rPr>
      </w:pPr>
      <w:r>
        <w:rPr>
          <w:rFonts w:ascii="Calibri" w:hAnsi="Calibri" w:cs="Calibri"/>
          <w:sz w:val="24"/>
          <w:szCs w:val="24"/>
        </w:rPr>
        <w:t xml:space="preserve">Como bien </w:t>
      </w:r>
      <w:r w:rsidR="008F3E77">
        <w:rPr>
          <w:rFonts w:ascii="Calibri" w:hAnsi="Calibri" w:cs="Calibri"/>
          <w:sz w:val="24"/>
          <w:szCs w:val="24"/>
        </w:rPr>
        <w:t>indica el</w:t>
      </w:r>
      <w:r>
        <w:rPr>
          <w:rFonts w:ascii="Calibri" w:hAnsi="Calibri" w:cs="Calibri"/>
          <w:sz w:val="24"/>
          <w:szCs w:val="24"/>
        </w:rPr>
        <w:t xml:space="preserve"> análisis del ARIMA</w:t>
      </w:r>
      <w:r w:rsidR="008F3E77">
        <w:rPr>
          <w:rFonts w:ascii="Calibri" w:hAnsi="Calibri" w:cs="Calibri"/>
          <w:sz w:val="24"/>
          <w:szCs w:val="24"/>
        </w:rPr>
        <w:t xml:space="preserve">, </w:t>
      </w:r>
      <w:r>
        <w:rPr>
          <w:rFonts w:ascii="Calibri" w:hAnsi="Calibri" w:cs="Calibri"/>
          <w:sz w:val="24"/>
          <w:szCs w:val="24"/>
        </w:rPr>
        <w:t xml:space="preserve">la diferencia de precios se proyecta en un </w:t>
      </w:r>
      <w:r w:rsidRPr="008F3E77">
        <w:rPr>
          <w:rFonts w:ascii="Calibri" w:hAnsi="Calibri" w:cs="Calibri"/>
          <w:b/>
          <w:bCs/>
          <w:sz w:val="24"/>
          <w:szCs w:val="24"/>
        </w:rPr>
        <w:t>13.2%</w:t>
      </w:r>
      <w:r>
        <w:rPr>
          <w:rFonts w:ascii="Calibri" w:hAnsi="Calibri" w:cs="Calibri"/>
          <w:sz w:val="24"/>
          <w:szCs w:val="24"/>
        </w:rPr>
        <w:t xml:space="preserve"> para un horizonte de 36 meses.  Con esta información, se procedió a realizar un análisis de impacto en l</w:t>
      </w:r>
      <w:r w:rsidR="008F3E77">
        <w:rPr>
          <w:rFonts w:ascii="Calibri" w:hAnsi="Calibri" w:cs="Calibri"/>
          <w:sz w:val="24"/>
          <w:szCs w:val="24"/>
        </w:rPr>
        <w:t xml:space="preserve">os indicadores financieros de la </w:t>
      </w:r>
      <w:r>
        <w:rPr>
          <w:rFonts w:ascii="Calibri" w:hAnsi="Calibri" w:cs="Calibri"/>
          <w:sz w:val="24"/>
          <w:szCs w:val="24"/>
        </w:rPr>
        <w:t xml:space="preserve">RPN, </w:t>
      </w:r>
      <w:r w:rsidR="008F3E77">
        <w:rPr>
          <w:rFonts w:ascii="Calibri" w:hAnsi="Calibri" w:cs="Calibri"/>
          <w:sz w:val="24"/>
          <w:szCs w:val="24"/>
        </w:rPr>
        <w:t>enfocados en el mantenimiento de su sostenibilidad financiera</w:t>
      </w:r>
      <w:r>
        <w:rPr>
          <w:rFonts w:ascii="Calibri" w:hAnsi="Calibri" w:cs="Calibri"/>
          <w:sz w:val="24"/>
          <w:szCs w:val="24"/>
        </w:rPr>
        <w:t xml:space="preserve">:  el comportamiento de la Utilidad Operativa y el comportamiento de la Utilidad antes de impuestos. </w:t>
      </w:r>
    </w:p>
    <w:p w14:paraId="7DE6FAA3" w14:textId="727DF464" w:rsidR="00262082" w:rsidRDefault="00262082" w:rsidP="00631327">
      <w:pPr>
        <w:jc w:val="both"/>
        <w:rPr>
          <w:rFonts w:ascii="Calibri" w:hAnsi="Calibri" w:cs="Calibri"/>
          <w:sz w:val="24"/>
          <w:szCs w:val="24"/>
        </w:rPr>
      </w:pPr>
      <w:r>
        <w:rPr>
          <w:rFonts w:ascii="Calibri" w:hAnsi="Calibri" w:cs="Calibri"/>
          <w:sz w:val="24"/>
          <w:szCs w:val="24"/>
        </w:rPr>
        <w:t xml:space="preserve">Se realizó un escenario de reducción de precios de las varillas de parte de la RPN en un </w:t>
      </w:r>
      <w:r>
        <w:rPr>
          <w:rFonts w:ascii="Calibri" w:hAnsi="Calibri" w:cs="Calibri"/>
          <w:b/>
          <w:bCs/>
          <w:sz w:val="24"/>
          <w:szCs w:val="24"/>
        </w:rPr>
        <w:t>12%</w:t>
      </w:r>
      <w:r>
        <w:rPr>
          <w:rFonts w:ascii="Calibri" w:hAnsi="Calibri" w:cs="Calibri"/>
          <w:sz w:val="24"/>
          <w:szCs w:val="24"/>
        </w:rPr>
        <w:t xml:space="preserve"> para fines de hacer frente al diferencial de precios con las varillas turcas de un </w:t>
      </w:r>
      <w:r w:rsidRPr="008F3E77">
        <w:rPr>
          <w:rFonts w:ascii="Calibri" w:hAnsi="Calibri" w:cs="Calibri"/>
          <w:b/>
          <w:bCs/>
          <w:sz w:val="24"/>
          <w:szCs w:val="24"/>
        </w:rPr>
        <w:t>13.2%</w:t>
      </w:r>
      <w:r>
        <w:rPr>
          <w:rFonts w:ascii="Calibri" w:hAnsi="Calibri" w:cs="Calibri"/>
          <w:sz w:val="24"/>
          <w:szCs w:val="24"/>
        </w:rPr>
        <w:t xml:space="preserve"> arrojado por el análisis del ARIMA.  Bajo este escenario se mantendrían sin variar los niveles de </w:t>
      </w:r>
      <w:r w:rsidR="008F3E77">
        <w:rPr>
          <w:rFonts w:ascii="Calibri" w:hAnsi="Calibri" w:cs="Calibri"/>
          <w:sz w:val="24"/>
          <w:szCs w:val="24"/>
        </w:rPr>
        <w:t xml:space="preserve">volúmenes de </w:t>
      </w:r>
      <w:r>
        <w:rPr>
          <w:rFonts w:ascii="Calibri" w:hAnsi="Calibri" w:cs="Calibri"/>
          <w:sz w:val="24"/>
          <w:szCs w:val="24"/>
        </w:rPr>
        <w:t>ventas de la RPN (no se perdería participación de mercado</w:t>
      </w:r>
      <w:r w:rsidR="008F3E77">
        <w:rPr>
          <w:rFonts w:ascii="Calibri" w:hAnsi="Calibri" w:cs="Calibri"/>
          <w:sz w:val="24"/>
          <w:szCs w:val="24"/>
        </w:rPr>
        <w:t>). N</w:t>
      </w:r>
      <w:r>
        <w:rPr>
          <w:rFonts w:ascii="Calibri" w:hAnsi="Calibri" w:cs="Calibri"/>
          <w:sz w:val="24"/>
          <w:szCs w:val="24"/>
        </w:rPr>
        <w:t xml:space="preserve"> se realizarían cambios en los costos, debido a que los principales componentes de costos de producción vienen dados por el mercado (costos de palanquilla, costos de energía).  </w:t>
      </w:r>
    </w:p>
    <w:p w14:paraId="6CE10A7A" w14:textId="1AD56BFB" w:rsidR="00262082" w:rsidRDefault="00262082" w:rsidP="00631327">
      <w:pPr>
        <w:jc w:val="both"/>
        <w:rPr>
          <w:rFonts w:ascii="Calibri" w:hAnsi="Calibri" w:cs="Calibri"/>
          <w:sz w:val="24"/>
          <w:szCs w:val="24"/>
        </w:rPr>
      </w:pPr>
      <w:r>
        <w:rPr>
          <w:rFonts w:ascii="Calibri" w:hAnsi="Calibri" w:cs="Calibri"/>
          <w:sz w:val="24"/>
          <w:szCs w:val="24"/>
        </w:rPr>
        <w:lastRenderedPageBreak/>
        <w:t>Bajo es</w:t>
      </w:r>
      <w:r w:rsidR="008F3E77">
        <w:rPr>
          <w:rFonts w:ascii="Calibri" w:hAnsi="Calibri" w:cs="Calibri"/>
          <w:sz w:val="24"/>
          <w:szCs w:val="24"/>
        </w:rPr>
        <w:t>te</w:t>
      </w:r>
      <w:r>
        <w:rPr>
          <w:rFonts w:ascii="Calibri" w:hAnsi="Calibri" w:cs="Calibri"/>
          <w:sz w:val="24"/>
          <w:szCs w:val="24"/>
        </w:rPr>
        <w:t xml:space="preserve"> escenario, el precio de la TM de varilla </w:t>
      </w:r>
      <w:r w:rsidR="008F3E77">
        <w:rPr>
          <w:rFonts w:ascii="Calibri" w:hAnsi="Calibri" w:cs="Calibri"/>
          <w:sz w:val="24"/>
          <w:szCs w:val="24"/>
        </w:rPr>
        <w:t xml:space="preserve">en el mercado doméstico de la RPN </w:t>
      </w:r>
      <w:r>
        <w:rPr>
          <w:rFonts w:ascii="Calibri" w:hAnsi="Calibri" w:cs="Calibri"/>
          <w:sz w:val="24"/>
          <w:szCs w:val="24"/>
        </w:rPr>
        <w:t>pasaría de RD$</w:t>
      </w:r>
      <w:r w:rsidR="00380E23">
        <w:rPr>
          <w:rFonts w:ascii="Calibri" w:hAnsi="Calibri" w:cs="Calibri"/>
          <w:sz w:val="24"/>
          <w:szCs w:val="24"/>
        </w:rPr>
        <w:t>64,465.53</w:t>
      </w:r>
      <w:r w:rsidR="005672A0">
        <w:rPr>
          <w:rStyle w:val="FootnoteReference"/>
          <w:rFonts w:ascii="Calibri" w:hAnsi="Calibri" w:cs="Calibri"/>
          <w:sz w:val="24"/>
          <w:szCs w:val="24"/>
        </w:rPr>
        <w:footnoteReference w:id="3"/>
      </w:r>
      <w:r>
        <w:rPr>
          <w:rFonts w:ascii="Calibri" w:hAnsi="Calibri" w:cs="Calibri"/>
          <w:sz w:val="24"/>
          <w:szCs w:val="24"/>
        </w:rPr>
        <w:t xml:space="preserve"> a RD$</w:t>
      </w:r>
      <w:r w:rsidR="00380E23">
        <w:rPr>
          <w:rFonts w:ascii="Calibri" w:hAnsi="Calibri" w:cs="Calibri"/>
          <w:sz w:val="24"/>
          <w:szCs w:val="24"/>
        </w:rPr>
        <w:t>56,730,06</w:t>
      </w:r>
      <w:r w:rsidR="00380E23">
        <w:rPr>
          <w:rStyle w:val="FootnoteReference"/>
          <w:rFonts w:ascii="Calibri" w:hAnsi="Calibri" w:cs="Calibri"/>
          <w:sz w:val="24"/>
          <w:szCs w:val="24"/>
        </w:rPr>
        <w:footnoteReference w:id="4"/>
      </w:r>
      <w:r>
        <w:rPr>
          <w:rFonts w:ascii="Calibri" w:hAnsi="Calibri" w:cs="Calibri"/>
          <w:sz w:val="24"/>
          <w:szCs w:val="24"/>
        </w:rPr>
        <w:t xml:space="preserve">(contracción de 12%), si bien el volumen de ventas se mantendría invariable en </w:t>
      </w:r>
      <w:r w:rsidR="00304FA6">
        <w:rPr>
          <w:rFonts w:ascii="Calibri" w:hAnsi="Calibri" w:cs="Calibri"/>
          <w:sz w:val="24"/>
          <w:szCs w:val="24"/>
        </w:rPr>
        <w:t>660.51</w:t>
      </w:r>
      <w:r w:rsidR="00304FA6">
        <w:rPr>
          <w:rStyle w:val="FootnoteReference"/>
          <w:rFonts w:ascii="Calibri" w:hAnsi="Calibri" w:cs="Calibri"/>
          <w:sz w:val="24"/>
          <w:szCs w:val="24"/>
        </w:rPr>
        <w:footnoteReference w:id="5"/>
      </w:r>
      <w:r>
        <w:rPr>
          <w:rFonts w:ascii="Calibri" w:hAnsi="Calibri" w:cs="Calibri"/>
          <w:sz w:val="24"/>
          <w:szCs w:val="24"/>
        </w:rPr>
        <w:t xml:space="preserve">mil TM, el impacto en ventas seria de un 12% </w:t>
      </w:r>
      <w:r w:rsidR="008F3E77">
        <w:rPr>
          <w:rFonts w:ascii="Calibri" w:hAnsi="Calibri" w:cs="Calibri"/>
          <w:sz w:val="24"/>
          <w:szCs w:val="24"/>
        </w:rPr>
        <w:t xml:space="preserve">de contracción </w:t>
      </w:r>
      <w:r>
        <w:rPr>
          <w:rFonts w:ascii="Calibri" w:hAnsi="Calibri" w:cs="Calibri"/>
          <w:sz w:val="24"/>
          <w:szCs w:val="24"/>
        </w:rPr>
        <w:t>por el efecto precios</w:t>
      </w:r>
      <w:r w:rsidR="008F3E77">
        <w:rPr>
          <w:rFonts w:ascii="Calibri" w:hAnsi="Calibri" w:cs="Calibri"/>
          <w:sz w:val="24"/>
          <w:szCs w:val="24"/>
        </w:rPr>
        <w:t xml:space="preserve">. Esto se traduce en que las ventas pasarían de </w:t>
      </w:r>
      <w:r>
        <w:rPr>
          <w:rFonts w:ascii="Calibri" w:hAnsi="Calibri" w:cs="Calibri"/>
          <w:sz w:val="24"/>
          <w:szCs w:val="24"/>
        </w:rPr>
        <w:t>RD$</w:t>
      </w:r>
      <w:r w:rsidR="00E22C8D">
        <w:rPr>
          <w:rFonts w:ascii="Calibri" w:hAnsi="Calibri" w:cs="Calibri"/>
          <w:sz w:val="24"/>
          <w:szCs w:val="24"/>
        </w:rPr>
        <w:t>34.44</w:t>
      </w:r>
      <w:r w:rsidR="00E22C8D">
        <w:rPr>
          <w:rStyle w:val="FootnoteReference"/>
          <w:rFonts w:ascii="Calibri" w:hAnsi="Calibri" w:cs="Calibri"/>
          <w:sz w:val="24"/>
          <w:szCs w:val="24"/>
        </w:rPr>
        <w:footnoteReference w:id="6"/>
      </w:r>
      <w:r>
        <w:rPr>
          <w:rFonts w:ascii="Calibri" w:hAnsi="Calibri" w:cs="Calibri"/>
          <w:sz w:val="24"/>
          <w:szCs w:val="24"/>
        </w:rPr>
        <w:t>mil millones</w:t>
      </w:r>
      <w:r w:rsidR="008F3E77">
        <w:rPr>
          <w:rFonts w:ascii="Calibri" w:hAnsi="Calibri" w:cs="Calibri"/>
          <w:sz w:val="24"/>
          <w:szCs w:val="24"/>
        </w:rPr>
        <w:t xml:space="preserve"> anuales,</w:t>
      </w:r>
      <w:r>
        <w:rPr>
          <w:rFonts w:ascii="Calibri" w:hAnsi="Calibri" w:cs="Calibri"/>
          <w:sz w:val="24"/>
          <w:szCs w:val="24"/>
        </w:rPr>
        <w:t xml:space="preserve"> a RD$</w:t>
      </w:r>
      <w:r w:rsidR="000B474B">
        <w:rPr>
          <w:rFonts w:ascii="Calibri" w:hAnsi="Calibri" w:cs="Calibri"/>
          <w:sz w:val="24"/>
          <w:szCs w:val="24"/>
        </w:rPr>
        <w:t>30.38</w:t>
      </w:r>
      <w:r w:rsidR="000B474B">
        <w:rPr>
          <w:rStyle w:val="FootnoteReference"/>
          <w:rFonts w:ascii="Calibri" w:hAnsi="Calibri" w:cs="Calibri"/>
          <w:sz w:val="24"/>
          <w:szCs w:val="24"/>
        </w:rPr>
        <w:footnoteReference w:id="7"/>
      </w:r>
      <w:r>
        <w:rPr>
          <w:rFonts w:ascii="Calibri" w:hAnsi="Calibri" w:cs="Calibri"/>
          <w:sz w:val="24"/>
          <w:szCs w:val="24"/>
        </w:rPr>
        <w:t xml:space="preserve"> mil millones anuales, una reducción RD$</w:t>
      </w:r>
      <w:r w:rsidR="00FF3923">
        <w:rPr>
          <w:rFonts w:ascii="Calibri" w:hAnsi="Calibri" w:cs="Calibri"/>
          <w:sz w:val="24"/>
          <w:szCs w:val="24"/>
        </w:rPr>
        <w:t>3.69</w:t>
      </w:r>
      <w:r w:rsidR="00FF3923">
        <w:rPr>
          <w:rStyle w:val="FootnoteReference"/>
          <w:rFonts w:ascii="Calibri" w:hAnsi="Calibri" w:cs="Calibri"/>
          <w:sz w:val="24"/>
          <w:szCs w:val="24"/>
        </w:rPr>
        <w:footnoteReference w:id="8"/>
      </w:r>
      <w:r>
        <w:rPr>
          <w:rFonts w:ascii="Calibri" w:hAnsi="Calibri" w:cs="Calibri"/>
          <w:sz w:val="24"/>
          <w:szCs w:val="24"/>
        </w:rPr>
        <w:t xml:space="preserve">mil millones en ventas anuales.  Con esta contracción de ventas, </w:t>
      </w:r>
      <w:r w:rsidR="008F3E77">
        <w:rPr>
          <w:rFonts w:ascii="Calibri" w:hAnsi="Calibri" w:cs="Calibri"/>
          <w:sz w:val="24"/>
          <w:szCs w:val="24"/>
        </w:rPr>
        <w:t xml:space="preserve">y el </w:t>
      </w:r>
      <w:r w:rsidR="00631327">
        <w:rPr>
          <w:rFonts w:ascii="Calibri" w:hAnsi="Calibri" w:cs="Calibri"/>
          <w:sz w:val="24"/>
          <w:szCs w:val="24"/>
        </w:rPr>
        <w:t>mantenimiento invariable</w:t>
      </w:r>
      <w:r>
        <w:rPr>
          <w:rFonts w:ascii="Calibri" w:hAnsi="Calibri" w:cs="Calibri"/>
          <w:sz w:val="24"/>
          <w:szCs w:val="24"/>
        </w:rPr>
        <w:t xml:space="preserve"> </w:t>
      </w:r>
      <w:r w:rsidR="008F3E77">
        <w:rPr>
          <w:rFonts w:ascii="Calibri" w:hAnsi="Calibri" w:cs="Calibri"/>
          <w:sz w:val="24"/>
          <w:szCs w:val="24"/>
        </w:rPr>
        <w:t xml:space="preserve">de </w:t>
      </w:r>
      <w:r>
        <w:rPr>
          <w:rFonts w:ascii="Calibri" w:hAnsi="Calibri" w:cs="Calibri"/>
          <w:sz w:val="24"/>
          <w:szCs w:val="24"/>
        </w:rPr>
        <w:t xml:space="preserve">los costos, tanto fijos como variables, el EBIT se reduciría en un </w:t>
      </w:r>
      <w:r w:rsidRPr="00631327">
        <w:rPr>
          <w:rFonts w:ascii="Calibri" w:hAnsi="Calibri" w:cs="Calibri"/>
          <w:b/>
          <w:bCs/>
          <w:sz w:val="24"/>
          <w:szCs w:val="24"/>
        </w:rPr>
        <w:t>75%</w:t>
      </w:r>
      <w:r>
        <w:rPr>
          <w:rFonts w:ascii="Calibri" w:hAnsi="Calibri" w:cs="Calibri"/>
          <w:sz w:val="24"/>
          <w:szCs w:val="24"/>
        </w:rPr>
        <w:t>, pasando de RD$</w:t>
      </w:r>
      <w:r w:rsidR="005714A9">
        <w:rPr>
          <w:rFonts w:ascii="Calibri" w:hAnsi="Calibri" w:cs="Calibri"/>
          <w:sz w:val="24"/>
          <w:szCs w:val="24"/>
        </w:rPr>
        <w:t>5,516.55</w:t>
      </w:r>
      <w:r w:rsidR="006C4579">
        <w:rPr>
          <w:rStyle w:val="FootnoteReference"/>
          <w:rFonts w:ascii="Calibri" w:hAnsi="Calibri" w:cs="Calibri"/>
          <w:sz w:val="24"/>
          <w:szCs w:val="24"/>
        </w:rPr>
        <w:footnoteReference w:id="9"/>
      </w:r>
      <w:r>
        <w:rPr>
          <w:rFonts w:ascii="Calibri" w:hAnsi="Calibri" w:cs="Calibri"/>
          <w:sz w:val="24"/>
          <w:szCs w:val="24"/>
        </w:rPr>
        <w:t xml:space="preserve"> millones a RD$</w:t>
      </w:r>
      <w:r w:rsidR="006C4579">
        <w:rPr>
          <w:rFonts w:ascii="Calibri" w:hAnsi="Calibri" w:cs="Calibri"/>
          <w:sz w:val="24"/>
          <w:szCs w:val="24"/>
        </w:rPr>
        <w:t>1,362.84</w:t>
      </w:r>
      <w:r w:rsidR="006C4579">
        <w:rPr>
          <w:rStyle w:val="FootnoteReference"/>
          <w:rFonts w:ascii="Calibri" w:hAnsi="Calibri" w:cs="Calibri"/>
          <w:sz w:val="24"/>
          <w:szCs w:val="24"/>
        </w:rPr>
        <w:footnoteReference w:id="10"/>
      </w:r>
      <w:r>
        <w:rPr>
          <w:rFonts w:ascii="Calibri" w:hAnsi="Calibri" w:cs="Calibri"/>
          <w:sz w:val="24"/>
          <w:szCs w:val="24"/>
        </w:rPr>
        <w:t xml:space="preserve"> millones, con un impacto de </w:t>
      </w:r>
      <w:r w:rsidRPr="00631327">
        <w:rPr>
          <w:rFonts w:ascii="Calibri" w:hAnsi="Calibri" w:cs="Calibri"/>
          <w:b/>
          <w:bCs/>
          <w:sz w:val="24"/>
          <w:szCs w:val="24"/>
        </w:rPr>
        <w:t>RD$</w:t>
      </w:r>
      <w:r w:rsidR="004B0153">
        <w:rPr>
          <w:rFonts w:ascii="Calibri" w:hAnsi="Calibri" w:cs="Calibri"/>
          <w:b/>
          <w:bCs/>
          <w:sz w:val="24"/>
          <w:szCs w:val="24"/>
        </w:rPr>
        <w:t>4,153.71</w:t>
      </w:r>
      <w:r w:rsidR="004B0153">
        <w:rPr>
          <w:rStyle w:val="FootnoteReference"/>
          <w:rFonts w:ascii="Calibri" w:hAnsi="Calibri" w:cs="Calibri"/>
          <w:b/>
          <w:bCs/>
          <w:sz w:val="24"/>
          <w:szCs w:val="24"/>
        </w:rPr>
        <w:footnoteReference w:id="11"/>
      </w:r>
      <w:r w:rsidRPr="00631327">
        <w:rPr>
          <w:rFonts w:ascii="Calibri" w:hAnsi="Calibri" w:cs="Calibri"/>
          <w:b/>
          <w:bCs/>
          <w:sz w:val="24"/>
          <w:szCs w:val="24"/>
        </w:rPr>
        <w:t>millones menos</w:t>
      </w:r>
      <w:r>
        <w:rPr>
          <w:rFonts w:ascii="Calibri" w:hAnsi="Calibri" w:cs="Calibri"/>
          <w:sz w:val="24"/>
          <w:szCs w:val="24"/>
        </w:rPr>
        <w:t xml:space="preserve">. Este fuerte impacto en el EBIT se traduciría en una </w:t>
      </w:r>
      <w:r w:rsidRPr="00631327">
        <w:rPr>
          <w:rFonts w:ascii="Calibri" w:hAnsi="Calibri" w:cs="Calibri"/>
          <w:b/>
          <w:bCs/>
          <w:sz w:val="24"/>
          <w:szCs w:val="24"/>
        </w:rPr>
        <w:t>utilidad neta antes de impuesto negativa</w:t>
      </w:r>
      <w:r>
        <w:rPr>
          <w:rFonts w:ascii="Calibri" w:hAnsi="Calibri" w:cs="Calibri"/>
          <w:sz w:val="24"/>
          <w:szCs w:val="24"/>
        </w:rPr>
        <w:t>, pasando de RD$</w:t>
      </w:r>
      <w:r w:rsidR="004B0153">
        <w:rPr>
          <w:rFonts w:ascii="Calibri" w:hAnsi="Calibri" w:cs="Calibri"/>
          <w:sz w:val="24"/>
          <w:szCs w:val="24"/>
        </w:rPr>
        <w:t>3.004.89</w:t>
      </w:r>
      <w:r w:rsidR="004B0153">
        <w:rPr>
          <w:rStyle w:val="FootnoteReference"/>
          <w:rFonts w:ascii="Calibri" w:hAnsi="Calibri" w:cs="Calibri"/>
          <w:sz w:val="24"/>
          <w:szCs w:val="24"/>
        </w:rPr>
        <w:footnoteReference w:id="12"/>
      </w:r>
      <w:r>
        <w:rPr>
          <w:rFonts w:ascii="Calibri" w:hAnsi="Calibri" w:cs="Calibri"/>
          <w:sz w:val="24"/>
          <w:szCs w:val="24"/>
        </w:rPr>
        <w:t xml:space="preserve"> millones </w:t>
      </w:r>
      <w:r w:rsidR="00631327">
        <w:rPr>
          <w:rFonts w:ascii="Calibri" w:hAnsi="Calibri" w:cs="Calibri"/>
          <w:sz w:val="24"/>
          <w:szCs w:val="24"/>
        </w:rPr>
        <w:t xml:space="preserve">de beneficios en un año, </w:t>
      </w:r>
      <w:r>
        <w:rPr>
          <w:rFonts w:ascii="Calibri" w:hAnsi="Calibri" w:cs="Calibri"/>
          <w:sz w:val="24"/>
          <w:szCs w:val="24"/>
        </w:rPr>
        <w:t xml:space="preserve">a </w:t>
      </w:r>
      <w:r w:rsidRPr="00631327">
        <w:rPr>
          <w:rFonts w:ascii="Calibri" w:hAnsi="Calibri" w:cs="Calibri"/>
          <w:b/>
          <w:bCs/>
          <w:sz w:val="24"/>
          <w:szCs w:val="24"/>
        </w:rPr>
        <w:t>perdidas de RD$</w:t>
      </w:r>
      <w:r w:rsidR="00B026BF">
        <w:rPr>
          <w:rFonts w:ascii="Calibri" w:hAnsi="Calibri" w:cs="Calibri"/>
          <w:b/>
          <w:bCs/>
          <w:sz w:val="24"/>
          <w:szCs w:val="24"/>
        </w:rPr>
        <w:t>1,147.59</w:t>
      </w:r>
      <w:r w:rsidR="00B026BF">
        <w:rPr>
          <w:rStyle w:val="FootnoteReference"/>
          <w:rFonts w:ascii="Calibri" w:hAnsi="Calibri" w:cs="Calibri"/>
          <w:b/>
          <w:bCs/>
          <w:sz w:val="24"/>
          <w:szCs w:val="24"/>
        </w:rPr>
        <w:footnoteReference w:id="13"/>
      </w:r>
      <w:r w:rsidRPr="00631327">
        <w:rPr>
          <w:rFonts w:ascii="Calibri" w:hAnsi="Calibri" w:cs="Calibri"/>
          <w:b/>
          <w:bCs/>
          <w:sz w:val="24"/>
          <w:szCs w:val="24"/>
        </w:rPr>
        <w:t xml:space="preserve"> millones</w:t>
      </w:r>
      <w:r w:rsidR="00631327" w:rsidRPr="00631327">
        <w:rPr>
          <w:rFonts w:ascii="Calibri" w:hAnsi="Calibri" w:cs="Calibri"/>
          <w:b/>
          <w:bCs/>
          <w:sz w:val="24"/>
          <w:szCs w:val="24"/>
        </w:rPr>
        <w:t>.</w:t>
      </w:r>
      <w:r w:rsidR="00631327">
        <w:rPr>
          <w:rFonts w:ascii="Calibri" w:hAnsi="Calibri" w:cs="Calibri"/>
          <w:sz w:val="24"/>
          <w:szCs w:val="24"/>
        </w:rPr>
        <w:t xml:space="preserve"> </w:t>
      </w:r>
      <w:r>
        <w:rPr>
          <w:rFonts w:ascii="Calibri" w:hAnsi="Calibri" w:cs="Calibri"/>
          <w:sz w:val="24"/>
          <w:szCs w:val="24"/>
        </w:rPr>
        <w:t xml:space="preserve">  </w:t>
      </w:r>
    </w:p>
    <w:p w14:paraId="04C2CC1A" w14:textId="493D4446" w:rsidR="00631327" w:rsidRPr="00631327" w:rsidRDefault="00631327" w:rsidP="00262082">
      <w:pPr>
        <w:rPr>
          <w:rFonts w:ascii="Calibri" w:hAnsi="Calibri" w:cs="Calibri"/>
          <w:b/>
          <w:bCs/>
          <w:sz w:val="24"/>
          <w:szCs w:val="24"/>
        </w:rPr>
      </w:pPr>
      <w:r w:rsidRPr="00631327">
        <w:rPr>
          <w:rFonts w:ascii="Calibri" w:hAnsi="Calibri" w:cs="Calibri"/>
          <w:b/>
          <w:bCs/>
          <w:sz w:val="24"/>
          <w:szCs w:val="24"/>
        </w:rPr>
        <w:t xml:space="preserve">Análisis de Sensibilidad </w:t>
      </w:r>
      <w:r>
        <w:rPr>
          <w:rFonts w:ascii="Calibri" w:hAnsi="Calibri" w:cs="Calibri"/>
          <w:b/>
          <w:bCs/>
          <w:sz w:val="24"/>
          <w:szCs w:val="24"/>
        </w:rPr>
        <w:t xml:space="preserve">Financiera </w:t>
      </w:r>
      <w:r w:rsidRPr="00631327">
        <w:rPr>
          <w:rFonts w:ascii="Calibri" w:hAnsi="Calibri" w:cs="Calibri"/>
          <w:b/>
          <w:bCs/>
          <w:sz w:val="24"/>
          <w:szCs w:val="24"/>
        </w:rPr>
        <w:t xml:space="preserve">a una contracción del 12% en los Precios de Venta </w:t>
      </w:r>
      <w:r>
        <w:rPr>
          <w:rFonts w:ascii="Calibri" w:hAnsi="Calibri" w:cs="Calibri"/>
          <w:b/>
          <w:bCs/>
          <w:sz w:val="24"/>
          <w:szCs w:val="24"/>
        </w:rPr>
        <w:t>de la TM de Varillas en e</w:t>
      </w:r>
      <w:r w:rsidRPr="00631327">
        <w:rPr>
          <w:rFonts w:ascii="Calibri" w:hAnsi="Calibri" w:cs="Calibri"/>
          <w:b/>
          <w:bCs/>
          <w:sz w:val="24"/>
          <w:szCs w:val="24"/>
        </w:rPr>
        <w:t xml:space="preserve">l Mercado Doméstico </w:t>
      </w:r>
      <w:r>
        <w:rPr>
          <w:rFonts w:ascii="Calibri" w:hAnsi="Calibri" w:cs="Calibri"/>
          <w:b/>
          <w:bCs/>
          <w:sz w:val="24"/>
          <w:szCs w:val="24"/>
        </w:rPr>
        <w:t xml:space="preserve">por la </w:t>
      </w:r>
      <w:r w:rsidRPr="00631327">
        <w:rPr>
          <w:rFonts w:ascii="Calibri" w:hAnsi="Calibri" w:cs="Calibri"/>
          <w:b/>
          <w:bCs/>
          <w:sz w:val="24"/>
          <w:szCs w:val="24"/>
        </w:rPr>
        <w:t xml:space="preserve">RPN: </w:t>
      </w:r>
    </w:p>
    <w:p w14:paraId="64148D5B" w14:textId="7EB9F7A4" w:rsidR="00631327" w:rsidRDefault="00262082" w:rsidP="00631327">
      <w:pPr>
        <w:jc w:val="both"/>
        <w:rPr>
          <w:rFonts w:ascii="Calibri" w:hAnsi="Calibri" w:cs="Calibri"/>
          <w:sz w:val="24"/>
          <w:szCs w:val="24"/>
        </w:rPr>
      </w:pPr>
      <w:r>
        <w:rPr>
          <w:rFonts w:ascii="Calibri" w:hAnsi="Calibri" w:cs="Calibri"/>
          <w:sz w:val="24"/>
          <w:szCs w:val="24"/>
        </w:rPr>
        <w:t xml:space="preserve">Estas cifras ponen en evidencia la alta sensibilidad de los precios en el mercado de productos de </w:t>
      </w:r>
      <w:r w:rsidR="002A1F0F">
        <w:rPr>
          <w:rFonts w:ascii="Calibri" w:hAnsi="Calibri" w:cs="Calibri"/>
          <w:sz w:val="24"/>
          <w:szCs w:val="24"/>
        </w:rPr>
        <w:t>acero, y</w:t>
      </w:r>
      <w:r>
        <w:rPr>
          <w:rFonts w:ascii="Calibri" w:hAnsi="Calibri" w:cs="Calibri"/>
          <w:sz w:val="24"/>
          <w:szCs w:val="24"/>
        </w:rPr>
        <w:t xml:space="preserve"> por consiguiente la fuerte fluctuación que dichos precios pueden tener en los resultados y la viabilidad financiera de la rama de producción nacional. </w:t>
      </w:r>
      <w:r w:rsidR="00631327">
        <w:rPr>
          <w:rFonts w:ascii="Calibri" w:hAnsi="Calibri" w:cs="Calibri"/>
          <w:sz w:val="24"/>
          <w:szCs w:val="24"/>
        </w:rPr>
        <w:t xml:space="preserve"> </w:t>
      </w:r>
    </w:p>
    <w:p w14:paraId="3BB4C09F" w14:textId="63562044" w:rsidR="00631327" w:rsidRPr="00631327" w:rsidRDefault="00631327" w:rsidP="00631327">
      <w:pPr>
        <w:jc w:val="both"/>
        <w:rPr>
          <w:rFonts w:ascii="Calibri" w:hAnsi="Calibri" w:cs="Calibri"/>
          <w:sz w:val="24"/>
          <w:szCs w:val="24"/>
        </w:rPr>
      </w:pPr>
      <w:r>
        <w:rPr>
          <w:rFonts w:ascii="Calibri" w:hAnsi="Calibri" w:cs="Calibri"/>
          <w:sz w:val="24"/>
          <w:szCs w:val="24"/>
        </w:rPr>
        <w:t xml:space="preserve">Como se puede evidenciar existe una alta probabilidad de recurrencia de daño a la RPN de eliminar la medida antidumping impuesta a las importaciones de varillas originarias de Turquía. </w:t>
      </w:r>
    </w:p>
    <w:p w14:paraId="57992064" w14:textId="77777777" w:rsidR="00262082" w:rsidRDefault="00262082" w:rsidP="00262082">
      <w:pPr>
        <w:rPr>
          <w:rFonts w:ascii="Calibri" w:hAnsi="Calibri" w:cs="Calibri"/>
          <w:sz w:val="24"/>
          <w:szCs w:val="24"/>
        </w:rPr>
      </w:pPr>
    </w:p>
    <w:tbl>
      <w:tblPr>
        <w:tblpPr w:leftFromText="180" w:rightFromText="180" w:vertAnchor="text" w:horzAnchor="margin" w:tblpXSpec="center" w:tblpY="3311"/>
        <w:tblW w:w="10718" w:type="dxa"/>
        <w:tblLook w:val="04A0" w:firstRow="1" w:lastRow="0" w:firstColumn="1" w:lastColumn="0" w:noHBand="0" w:noVBand="1"/>
      </w:tblPr>
      <w:tblGrid>
        <w:gridCol w:w="860"/>
        <w:gridCol w:w="2722"/>
        <w:gridCol w:w="826"/>
        <w:gridCol w:w="1529"/>
        <w:gridCol w:w="1532"/>
        <w:gridCol w:w="1423"/>
        <w:gridCol w:w="1826"/>
      </w:tblGrid>
      <w:tr w:rsidR="00FF3923" w:rsidRPr="00FF3923" w14:paraId="5C4A83C3" w14:textId="77777777" w:rsidTr="00FF3923">
        <w:trPr>
          <w:trHeight w:val="216"/>
        </w:trPr>
        <w:tc>
          <w:tcPr>
            <w:tcW w:w="8892" w:type="dxa"/>
            <w:gridSpan w:val="6"/>
            <w:tcBorders>
              <w:top w:val="nil"/>
              <w:left w:val="nil"/>
              <w:bottom w:val="nil"/>
              <w:right w:val="nil"/>
            </w:tcBorders>
            <w:noWrap/>
            <w:vAlign w:val="bottom"/>
            <w:hideMark/>
          </w:tcPr>
          <w:p w14:paraId="0859EB4F" w14:textId="77777777" w:rsidR="00FF3923" w:rsidRPr="00FF3923" w:rsidRDefault="00FF3923" w:rsidP="00FF3923">
            <w:pPr>
              <w:pStyle w:val="NoSpacing"/>
              <w:rPr>
                <w:sz w:val="18"/>
                <w:szCs w:val="18"/>
              </w:rPr>
            </w:pPr>
            <w:proofErr w:type="spellStart"/>
            <w:r w:rsidRPr="00FF3923">
              <w:rPr>
                <w:sz w:val="18"/>
                <w:szCs w:val="18"/>
              </w:rPr>
              <w:lastRenderedPageBreak/>
              <w:t>Analisis</w:t>
            </w:r>
            <w:proofErr w:type="spellEnd"/>
            <w:r w:rsidRPr="00FF3923">
              <w:rPr>
                <w:sz w:val="18"/>
                <w:szCs w:val="18"/>
              </w:rPr>
              <w:t xml:space="preserve"> del Impacto Financiero en el EBIT y las Utilidades por </w:t>
            </w:r>
            <w:proofErr w:type="spellStart"/>
            <w:r w:rsidRPr="00FF3923">
              <w:rPr>
                <w:sz w:val="18"/>
                <w:szCs w:val="18"/>
              </w:rPr>
              <w:t>contraccion</w:t>
            </w:r>
            <w:proofErr w:type="spellEnd"/>
            <w:r w:rsidRPr="00FF3923">
              <w:rPr>
                <w:sz w:val="18"/>
                <w:szCs w:val="18"/>
              </w:rPr>
              <w:t xml:space="preserve"> de Precios de Venta</w:t>
            </w:r>
          </w:p>
        </w:tc>
        <w:tc>
          <w:tcPr>
            <w:tcW w:w="1826" w:type="dxa"/>
            <w:tcBorders>
              <w:top w:val="nil"/>
              <w:left w:val="nil"/>
              <w:bottom w:val="nil"/>
              <w:right w:val="nil"/>
            </w:tcBorders>
            <w:noWrap/>
            <w:vAlign w:val="bottom"/>
            <w:hideMark/>
          </w:tcPr>
          <w:p w14:paraId="7CA4E0A1" w14:textId="77777777" w:rsidR="00FF3923" w:rsidRPr="00FF3923" w:rsidRDefault="00FF3923" w:rsidP="00FF3923">
            <w:pPr>
              <w:pStyle w:val="NoSpacing"/>
              <w:rPr>
                <w:sz w:val="18"/>
                <w:szCs w:val="18"/>
              </w:rPr>
            </w:pPr>
          </w:p>
        </w:tc>
      </w:tr>
      <w:tr w:rsidR="00FF3923" w:rsidRPr="00FF3923" w14:paraId="09511469" w14:textId="77777777" w:rsidTr="00FF3923">
        <w:trPr>
          <w:trHeight w:val="216"/>
        </w:trPr>
        <w:tc>
          <w:tcPr>
            <w:tcW w:w="7469" w:type="dxa"/>
            <w:gridSpan w:val="5"/>
            <w:tcBorders>
              <w:top w:val="nil"/>
              <w:left w:val="nil"/>
              <w:bottom w:val="nil"/>
              <w:right w:val="nil"/>
            </w:tcBorders>
            <w:noWrap/>
            <w:vAlign w:val="bottom"/>
            <w:hideMark/>
          </w:tcPr>
          <w:p w14:paraId="31ADB2AC" w14:textId="77777777" w:rsidR="00FF3923" w:rsidRPr="00FF3923" w:rsidRDefault="00FF3923" w:rsidP="00FF3923">
            <w:pPr>
              <w:pStyle w:val="NoSpacing"/>
              <w:rPr>
                <w:sz w:val="18"/>
                <w:szCs w:val="18"/>
              </w:rPr>
            </w:pPr>
            <w:r w:rsidRPr="00FF3923">
              <w:rPr>
                <w:sz w:val="18"/>
                <w:szCs w:val="18"/>
              </w:rPr>
              <w:t xml:space="preserve">Asume mantenimiento del volumen producido, afectando </w:t>
            </w:r>
            <w:proofErr w:type="spellStart"/>
            <w:r w:rsidRPr="00FF3923">
              <w:rPr>
                <w:sz w:val="18"/>
                <w:szCs w:val="18"/>
              </w:rPr>
              <w:t>unicamente</w:t>
            </w:r>
            <w:proofErr w:type="spellEnd"/>
            <w:r w:rsidRPr="00FF3923">
              <w:rPr>
                <w:sz w:val="18"/>
                <w:szCs w:val="18"/>
              </w:rPr>
              <w:t xml:space="preserve"> el precio de venta</w:t>
            </w:r>
          </w:p>
        </w:tc>
        <w:tc>
          <w:tcPr>
            <w:tcW w:w="1423" w:type="dxa"/>
            <w:tcBorders>
              <w:top w:val="nil"/>
              <w:left w:val="nil"/>
              <w:bottom w:val="nil"/>
              <w:right w:val="nil"/>
            </w:tcBorders>
            <w:noWrap/>
            <w:vAlign w:val="bottom"/>
            <w:hideMark/>
          </w:tcPr>
          <w:p w14:paraId="6FAC3A5C" w14:textId="77777777" w:rsidR="00FF3923" w:rsidRPr="00FF3923" w:rsidRDefault="00FF3923" w:rsidP="00FF3923">
            <w:pPr>
              <w:pStyle w:val="NoSpacing"/>
              <w:rPr>
                <w:sz w:val="18"/>
                <w:szCs w:val="18"/>
              </w:rPr>
            </w:pPr>
          </w:p>
        </w:tc>
        <w:tc>
          <w:tcPr>
            <w:tcW w:w="1826" w:type="dxa"/>
            <w:tcBorders>
              <w:top w:val="nil"/>
              <w:left w:val="nil"/>
              <w:bottom w:val="nil"/>
              <w:right w:val="nil"/>
            </w:tcBorders>
            <w:noWrap/>
            <w:vAlign w:val="bottom"/>
            <w:hideMark/>
          </w:tcPr>
          <w:p w14:paraId="3D47DF5F" w14:textId="77777777" w:rsidR="00FF3923" w:rsidRPr="00FF3923" w:rsidRDefault="00FF3923" w:rsidP="00FF3923">
            <w:pPr>
              <w:pStyle w:val="NoSpacing"/>
              <w:rPr>
                <w:sz w:val="18"/>
                <w:szCs w:val="18"/>
              </w:rPr>
            </w:pPr>
          </w:p>
        </w:tc>
      </w:tr>
      <w:tr w:rsidR="00FF3923" w:rsidRPr="00FF3923" w14:paraId="25C9473E" w14:textId="77777777" w:rsidTr="00FF3923">
        <w:trPr>
          <w:trHeight w:val="173"/>
        </w:trPr>
        <w:tc>
          <w:tcPr>
            <w:tcW w:w="860" w:type="dxa"/>
            <w:tcBorders>
              <w:top w:val="nil"/>
              <w:left w:val="nil"/>
              <w:bottom w:val="nil"/>
              <w:right w:val="nil"/>
            </w:tcBorders>
            <w:noWrap/>
            <w:vAlign w:val="bottom"/>
            <w:hideMark/>
          </w:tcPr>
          <w:p w14:paraId="0688ABE8" w14:textId="77777777" w:rsidR="00FF3923" w:rsidRPr="00FF3923" w:rsidRDefault="00FF3923" w:rsidP="00FF3923">
            <w:pPr>
              <w:pStyle w:val="NoSpacing"/>
              <w:rPr>
                <w:sz w:val="18"/>
                <w:szCs w:val="18"/>
              </w:rPr>
            </w:pPr>
          </w:p>
        </w:tc>
        <w:tc>
          <w:tcPr>
            <w:tcW w:w="2722" w:type="dxa"/>
            <w:tcBorders>
              <w:top w:val="nil"/>
              <w:left w:val="nil"/>
              <w:bottom w:val="nil"/>
              <w:right w:val="nil"/>
            </w:tcBorders>
            <w:noWrap/>
            <w:vAlign w:val="bottom"/>
            <w:hideMark/>
          </w:tcPr>
          <w:p w14:paraId="443799C1" w14:textId="77777777" w:rsidR="00FF3923" w:rsidRPr="00FF3923" w:rsidRDefault="00FF3923" w:rsidP="00FF3923">
            <w:pPr>
              <w:pStyle w:val="NoSpacing"/>
              <w:rPr>
                <w:sz w:val="18"/>
                <w:szCs w:val="18"/>
              </w:rPr>
            </w:pPr>
          </w:p>
        </w:tc>
        <w:tc>
          <w:tcPr>
            <w:tcW w:w="826" w:type="dxa"/>
            <w:tcBorders>
              <w:top w:val="nil"/>
              <w:left w:val="nil"/>
              <w:bottom w:val="nil"/>
              <w:right w:val="nil"/>
            </w:tcBorders>
            <w:noWrap/>
            <w:vAlign w:val="bottom"/>
            <w:hideMark/>
          </w:tcPr>
          <w:p w14:paraId="24125CFA" w14:textId="77777777" w:rsidR="00FF3923" w:rsidRPr="00FF3923" w:rsidRDefault="00FF3923" w:rsidP="00FF3923">
            <w:pPr>
              <w:pStyle w:val="NoSpacing"/>
              <w:rPr>
                <w:sz w:val="18"/>
                <w:szCs w:val="18"/>
              </w:rPr>
            </w:pPr>
          </w:p>
        </w:tc>
        <w:tc>
          <w:tcPr>
            <w:tcW w:w="1529" w:type="dxa"/>
            <w:tcBorders>
              <w:top w:val="nil"/>
              <w:left w:val="nil"/>
              <w:bottom w:val="nil"/>
              <w:right w:val="nil"/>
            </w:tcBorders>
            <w:noWrap/>
            <w:vAlign w:val="bottom"/>
            <w:hideMark/>
          </w:tcPr>
          <w:p w14:paraId="6F85B0D1" w14:textId="77777777" w:rsidR="00FF3923" w:rsidRPr="00FF3923" w:rsidRDefault="00FF3923" w:rsidP="00FF3923">
            <w:pPr>
              <w:pStyle w:val="NoSpacing"/>
              <w:rPr>
                <w:sz w:val="18"/>
                <w:szCs w:val="18"/>
              </w:rPr>
            </w:pPr>
          </w:p>
        </w:tc>
        <w:tc>
          <w:tcPr>
            <w:tcW w:w="1532" w:type="dxa"/>
            <w:tcBorders>
              <w:top w:val="nil"/>
              <w:left w:val="nil"/>
              <w:bottom w:val="nil"/>
              <w:right w:val="nil"/>
            </w:tcBorders>
            <w:noWrap/>
            <w:vAlign w:val="bottom"/>
            <w:hideMark/>
          </w:tcPr>
          <w:p w14:paraId="76DD457F" w14:textId="77777777" w:rsidR="00FF3923" w:rsidRPr="00FF3923" w:rsidRDefault="00FF3923" w:rsidP="00FF3923">
            <w:pPr>
              <w:pStyle w:val="NoSpacing"/>
              <w:rPr>
                <w:sz w:val="18"/>
                <w:szCs w:val="18"/>
              </w:rPr>
            </w:pPr>
          </w:p>
        </w:tc>
        <w:tc>
          <w:tcPr>
            <w:tcW w:w="1423" w:type="dxa"/>
            <w:tcBorders>
              <w:top w:val="nil"/>
              <w:left w:val="nil"/>
              <w:bottom w:val="nil"/>
              <w:right w:val="nil"/>
            </w:tcBorders>
            <w:noWrap/>
            <w:vAlign w:val="bottom"/>
            <w:hideMark/>
          </w:tcPr>
          <w:p w14:paraId="21C017D8" w14:textId="77777777" w:rsidR="00FF3923" w:rsidRPr="00FF3923" w:rsidRDefault="00FF3923" w:rsidP="00FF3923">
            <w:pPr>
              <w:pStyle w:val="NoSpacing"/>
              <w:rPr>
                <w:sz w:val="18"/>
                <w:szCs w:val="18"/>
              </w:rPr>
            </w:pPr>
          </w:p>
        </w:tc>
        <w:tc>
          <w:tcPr>
            <w:tcW w:w="1826" w:type="dxa"/>
            <w:tcBorders>
              <w:top w:val="nil"/>
              <w:left w:val="nil"/>
              <w:bottom w:val="nil"/>
              <w:right w:val="nil"/>
            </w:tcBorders>
            <w:noWrap/>
            <w:vAlign w:val="bottom"/>
            <w:hideMark/>
          </w:tcPr>
          <w:p w14:paraId="615F72F0" w14:textId="77777777" w:rsidR="00FF3923" w:rsidRPr="00FF3923" w:rsidRDefault="00FF3923" w:rsidP="00FF3923">
            <w:pPr>
              <w:pStyle w:val="NoSpacing"/>
              <w:rPr>
                <w:sz w:val="18"/>
                <w:szCs w:val="18"/>
              </w:rPr>
            </w:pPr>
          </w:p>
        </w:tc>
      </w:tr>
      <w:tr w:rsidR="00FF3923" w:rsidRPr="00FF3923" w14:paraId="639CF43D" w14:textId="77777777" w:rsidTr="00FF3923">
        <w:trPr>
          <w:trHeight w:val="300"/>
        </w:trPr>
        <w:tc>
          <w:tcPr>
            <w:tcW w:w="860" w:type="dxa"/>
            <w:tcBorders>
              <w:top w:val="nil"/>
              <w:left w:val="nil"/>
              <w:bottom w:val="nil"/>
              <w:right w:val="nil"/>
            </w:tcBorders>
            <w:noWrap/>
            <w:vAlign w:val="center"/>
            <w:hideMark/>
          </w:tcPr>
          <w:p w14:paraId="35BED823" w14:textId="77777777" w:rsidR="00FF3923" w:rsidRPr="00FF3923" w:rsidRDefault="00FF3923" w:rsidP="00FF3923">
            <w:pPr>
              <w:pStyle w:val="NoSpacing"/>
              <w:rPr>
                <w:sz w:val="18"/>
                <w:szCs w:val="18"/>
              </w:rPr>
            </w:pPr>
          </w:p>
        </w:tc>
        <w:tc>
          <w:tcPr>
            <w:tcW w:w="2722" w:type="dxa"/>
            <w:tcBorders>
              <w:top w:val="single" w:sz="4" w:space="0" w:color="auto"/>
              <w:left w:val="single" w:sz="4" w:space="0" w:color="auto"/>
              <w:bottom w:val="single" w:sz="4" w:space="0" w:color="auto"/>
              <w:right w:val="nil"/>
            </w:tcBorders>
            <w:shd w:val="clear" w:color="000000" w:fill="F2F2F2"/>
            <w:noWrap/>
            <w:vAlign w:val="center"/>
            <w:hideMark/>
          </w:tcPr>
          <w:p w14:paraId="75767C8C" w14:textId="77777777" w:rsidR="00FF3923" w:rsidRPr="00FF3923" w:rsidRDefault="00FF3923" w:rsidP="00FF3923">
            <w:pPr>
              <w:pStyle w:val="NoSpacing"/>
              <w:rPr>
                <w:sz w:val="18"/>
                <w:szCs w:val="18"/>
              </w:rPr>
            </w:pPr>
            <w:r w:rsidRPr="00FF3923">
              <w:rPr>
                <w:sz w:val="18"/>
                <w:szCs w:val="18"/>
              </w:rPr>
              <w:t xml:space="preserve">Supuestos:  </w:t>
            </w:r>
            <w:proofErr w:type="spellStart"/>
            <w:r w:rsidRPr="00FF3923">
              <w:rPr>
                <w:sz w:val="18"/>
                <w:szCs w:val="18"/>
              </w:rPr>
              <w:t>Reduccion</w:t>
            </w:r>
            <w:proofErr w:type="spellEnd"/>
            <w:r w:rsidRPr="00FF3923">
              <w:rPr>
                <w:sz w:val="18"/>
                <w:szCs w:val="18"/>
              </w:rPr>
              <w:t xml:space="preserve"> </w:t>
            </w:r>
            <w:proofErr w:type="gramStart"/>
            <w:r w:rsidRPr="00FF3923">
              <w:rPr>
                <w:sz w:val="18"/>
                <w:szCs w:val="18"/>
              </w:rPr>
              <w:t>precios  de</w:t>
            </w:r>
            <w:proofErr w:type="gramEnd"/>
            <w:r w:rsidRPr="00FF3923">
              <w:rPr>
                <w:sz w:val="18"/>
                <w:szCs w:val="18"/>
              </w:rPr>
              <w:t xml:space="preserve"> un:</w:t>
            </w:r>
          </w:p>
        </w:tc>
        <w:tc>
          <w:tcPr>
            <w:tcW w:w="826" w:type="dxa"/>
            <w:tcBorders>
              <w:top w:val="single" w:sz="4" w:space="0" w:color="auto"/>
              <w:left w:val="nil"/>
              <w:bottom w:val="single" w:sz="4" w:space="0" w:color="auto"/>
              <w:right w:val="single" w:sz="4" w:space="0" w:color="auto"/>
            </w:tcBorders>
            <w:shd w:val="clear" w:color="000000" w:fill="C5D9F1"/>
            <w:noWrap/>
            <w:vAlign w:val="center"/>
            <w:hideMark/>
          </w:tcPr>
          <w:p w14:paraId="5D94EBC9" w14:textId="77777777" w:rsidR="00FF3923" w:rsidRPr="00FF3923" w:rsidRDefault="00FF3923" w:rsidP="00FF3923">
            <w:pPr>
              <w:pStyle w:val="NoSpacing"/>
              <w:rPr>
                <w:sz w:val="18"/>
                <w:szCs w:val="18"/>
                <w:lang w:val="en-US"/>
              </w:rPr>
            </w:pPr>
            <w:r w:rsidRPr="00FF3923">
              <w:rPr>
                <w:sz w:val="18"/>
                <w:szCs w:val="18"/>
                <w:lang w:val="en-US"/>
              </w:rPr>
              <w:t>-12%</w:t>
            </w:r>
          </w:p>
        </w:tc>
        <w:tc>
          <w:tcPr>
            <w:tcW w:w="1529" w:type="dxa"/>
            <w:tcBorders>
              <w:top w:val="nil"/>
              <w:left w:val="nil"/>
              <w:bottom w:val="nil"/>
              <w:right w:val="nil"/>
            </w:tcBorders>
            <w:noWrap/>
            <w:vAlign w:val="center"/>
            <w:hideMark/>
          </w:tcPr>
          <w:p w14:paraId="352671A3" w14:textId="77777777" w:rsidR="00FF3923" w:rsidRPr="00FF3923" w:rsidRDefault="00FF3923" w:rsidP="00FF3923">
            <w:pPr>
              <w:pStyle w:val="NoSpacing"/>
              <w:rPr>
                <w:sz w:val="18"/>
                <w:szCs w:val="18"/>
                <w:lang w:val="en-US"/>
              </w:rPr>
            </w:pPr>
          </w:p>
        </w:tc>
        <w:tc>
          <w:tcPr>
            <w:tcW w:w="1532" w:type="dxa"/>
            <w:tcBorders>
              <w:top w:val="nil"/>
              <w:left w:val="nil"/>
              <w:bottom w:val="nil"/>
              <w:right w:val="nil"/>
            </w:tcBorders>
            <w:noWrap/>
            <w:vAlign w:val="bottom"/>
            <w:hideMark/>
          </w:tcPr>
          <w:p w14:paraId="1EE2381C" w14:textId="77777777" w:rsidR="00FF3923" w:rsidRPr="00FF3923" w:rsidRDefault="00FF3923" w:rsidP="00FF3923">
            <w:pPr>
              <w:pStyle w:val="NoSpacing"/>
              <w:rPr>
                <w:sz w:val="18"/>
                <w:szCs w:val="18"/>
                <w:lang w:val="en-US"/>
              </w:rPr>
            </w:pPr>
          </w:p>
        </w:tc>
        <w:tc>
          <w:tcPr>
            <w:tcW w:w="1423" w:type="dxa"/>
            <w:tcBorders>
              <w:top w:val="nil"/>
              <w:left w:val="nil"/>
              <w:bottom w:val="nil"/>
              <w:right w:val="nil"/>
            </w:tcBorders>
            <w:noWrap/>
            <w:vAlign w:val="bottom"/>
            <w:hideMark/>
          </w:tcPr>
          <w:p w14:paraId="678F3EFF" w14:textId="77777777" w:rsidR="00FF3923" w:rsidRPr="00FF3923" w:rsidRDefault="00FF3923" w:rsidP="00FF3923">
            <w:pPr>
              <w:pStyle w:val="NoSpacing"/>
              <w:rPr>
                <w:sz w:val="18"/>
                <w:szCs w:val="18"/>
                <w:lang w:val="en-US"/>
              </w:rPr>
            </w:pPr>
          </w:p>
        </w:tc>
        <w:tc>
          <w:tcPr>
            <w:tcW w:w="1826" w:type="dxa"/>
            <w:tcBorders>
              <w:top w:val="nil"/>
              <w:left w:val="nil"/>
              <w:bottom w:val="nil"/>
              <w:right w:val="nil"/>
            </w:tcBorders>
            <w:noWrap/>
            <w:vAlign w:val="bottom"/>
            <w:hideMark/>
          </w:tcPr>
          <w:p w14:paraId="7D7098A5" w14:textId="77777777" w:rsidR="00FF3923" w:rsidRPr="00FF3923" w:rsidRDefault="00FF3923" w:rsidP="00FF3923">
            <w:pPr>
              <w:pStyle w:val="NoSpacing"/>
              <w:rPr>
                <w:sz w:val="18"/>
                <w:szCs w:val="18"/>
                <w:lang w:val="en-US"/>
              </w:rPr>
            </w:pPr>
          </w:p>
        </w:tc>
      </w:tr>
      <w:tr w:rsidR="00FF3923" w:rsidRPr="00FF3923" w14:paraId="3E5B233D" w14:textId="77777777" w:rsidTr="00FF3923">
        <w:trPr>
          <w:trHeight w:val="146"/>
        </w:trPr>
        <w:tc>
          <w:tcPr>
            <w:tcW w:w="860" w:type="dxa"/>
            <w:tcBorders>
              <w:top w:val="nil"/>
              <w:left w:val="nil"/>
              <w:bottom w:val="nil"/>
              <w:right w:val="nil"/>
            </w:tcBorders>
            <w:noWrap/>
            <w:vAlign w:val="bottom"/>
            <w:hideMark/>
          </w:tcPr>
          <w:p w14:paraId="1752C392" w14:textId="77777777" w:rsidR="00FF3923" w:rsidRPr="00FF3923" w:rsidRDefault="00FF3923" w:rsidP="00FF3923">
            <w:pPr>
              <w:pStyle w:val="NoSpacing"/>
              <w:rPr>
                <w:sz w:val="18"/>
                <w:szCs w:val="18"/>
                <w:lang w:val="en-US"/>
              </w:rPr>
            </w:pPr>
          </w:p>
        </w:tc>
        <w:tc>
          <w:tcPr>
            <w:tcW w:w="2722" w:type="dxa"/>
            <w:tcBorders>
              <w:top w:val="nil"/>
              <w:left w:val="nil"/>
              <w:bottom w:val="nil"/>
              <w:right w:val="nil"/>
            </w:tcBorders>
            <w:noWrap/>
            <w:vAlign w:val="bottom"/>
            <w:hideMark/>
          </w:tcPr>
          <w:p w14:paraId="5D2571BB" w14:textId="77777777" w:rsidR="00FF3923" w:rsidRPr="00FF3923" w:rsidRDefault="00FF3923" w:rsidP="00FF3923">
            <w:pPr>
              <w:pStyle w:val="NoSpacing"/>
              <w:rPr>
                <w:sz w:val="18"/>
                <w:szCs w:val="18"/>
                <w:lang w:val="en-US"/>
              </w:rPr>
            </w:pPr>
          </w:p>
        </w:tc>
        <w:tc>
          <w:tcPr>
            <w:tcW w:w="826" w:type="dxa"/>
            <w:tcBorders>
              <w:top w:val="nil"/>
              <w:left w:val="nil"/>
              <w:bottom w:val="nil"/>
              <w:right w:val="nil"/>
            </w:tcBorders>
            <w:noWrap/>
            <w:vAlign w:val="bottom"/>
            <w:hideMark/>
          </w:tcPr>
          <w:p w14:paraId="00890DE5" w14:textId="77777777" w:rsidR="00FF3923" w:rsidRPr="00FF3923" w:rsidRDefault="00FF3923" w:rsidP="00FF3923">
            <w:pPr>
              <w:pStyle w:val="NoSpacing"/>
              <w:rPr>
                <w:sz w:val="18"/>
                <w:szCs w:val="18"/>
                <w:lang w:val="en-US"/>
              </w:rPr>
            </w:pPr>
          </w:p>
        </w:tc>
        <w:tc>
          <w:tcPr>
            <w:tcW w:w="1529" w:type="dxa"/>
            <w:tcBorders>
              <w:top w:val="nil"/>
              <w:left w:val="nil"/>
              <w:bottom w:val="nil"/>
              <w:right w:val="nil"/>
            </w:tcBorders>
            <w:noWrap/>
            <w:vAlign w:val="bottom"/>
            <w:hideMark/>
          </w:tcPr>
          <w:p w14:paraId="24E6C071" w14:textId="77777777" w:rsidR="00FF3923" w:rsidRPr="00FF3923" w:rsidRDefault="00FF3923" w:rsidP="00FF3923">
            <w:pPr>
              <w:pStyle w:val="NoSpacing"/>
              <w:rPr>
                <w:sz w:val="18"/>
                <w:szCs w:val="18"/>
                <w:lang w:val="en-US"/>
              </w:rPr>
            </w:pPr>
          </w:p>
        </w:tc>
        <w:tc>
          <w:tcPr>
            <w:tcW w:w="1532" w:type="dxa"/>
            <w:tcBorders>
              <w:top w:val="nil"/>
              <w:left w:val="nil"/>
              <w:bottom w:val="nil"/>
              <w:right w:val="nil"/>
            </w:tcBorders>
            <w:noWrap/>
            <w:vAlign w:val="bottom"/>
            <w:hideMark/>
          </w:tcPr>
          <w:p w14:paraId="43717602" w14:textId="77777777" w:rsidR="00FF3923" w:rsidRPr="00FF3923" w:rsidRDefault="00FF3923" w:rsidP="00FF3923">
            <w:pPr>
              <w:pStyle w:val="NoSpacing"/>
              <w:rPr>
                <w:sz w:val="18"/>
                <w:szCs w:val="18"/>
                <w:lang w:val="en-US"/>
              </w:rPr>
            </w:pPr>
          </w:p>
        </w:tc>
        <w:tc>
          <w:tcPr>
            <w:tcW w:w="1423" w:type="dxa"/>
            <w:tcBorders>
              <w:top w:val="nil"/>
              <w:left w:val="nil"/>
              <w:bottom w:val="nil"/>
              <w:right w:val="nil"/>
            </w:tcBorders>
            <w:noWrap/>
            <w:vAlign w:val="bottom"/>
            <w:hideMark/>
          </w:tcPr>
          <w:p w14:paraId="72C91097" w14:textId="77777777" w:rsidR="00FF3923" w:rsidRPr="00FF3923" w:rsidRDefault="00FF3923" w:rsidP="00FF3923">
            <w:pPr>
              <w:pStyle w:val="NoSpacing"/>
              <w:rPr>
                <w:sz w:val="18"/>
                <w:szCs w:val="18"/>
                <w:lang w:val="en-US"/>
              </w:rPr>
            </w:pPr>
          </w:p>
        </w:tc>
        <w:tc>
          <w:tcPr>
            <w:tcW w:w="1826" w:type="dxa"/>
            <w:tcBorders>
              <w:top w:val="nil"/>
              <w:left w:val="nil"/>
              <w:bottom w:val="nil"/>
              <w:right w:val="nil"/>
            </w:tcBorders>
            <w:noWrap/>
            <w:vAlign w:val="bottom"/>
            <w:hideMark/>
          </w:tcPr>
          <w:p w14:paraId="268E5B8E" w14:textId="77777777" w:rsidR="00FF3923" w:rsidRPr="00FF3923" w:rsidRDefault="00FF3923" w:rsidP="00FF3923">
            <w:pPr>
              <w:pStyle w:val="NoSpacing"/>
              <w:rPr>
                <w:sz w:val="18"/>
                <w:szCs w:val="18"/>
                <w:lang w:val="en-US"/>
              </w:rPr>
            </w:pPr>
          </w:p>
        </w:tc>
      </w:tr>
      <w:tr w:rsidR="00FF3923" w:rsidRPr="00FF3923" w14:paraId="5F47348E" w14:textId="77777777" w:rsidTr="00FF3923">
        <w:trPr>
          <w:trHeight w:val="799"/>
        </w:trPr>
        <w:tc>
          <w:tcPr>
            <w:tcW w:w="8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963AE08" w14:textId="77777777" w:rsidR="00FF3923" w:rsidRPr="00FF3923" w:rsidRDefault="00FF3923" w:rsidP="00FF3923">
            <w:pPr>
              <w:pStyle w:val="NoSpacing"/>
              <w:rPr>
                <w:sz w:val="18"/>
                <w:szCs w:val="18"/>
                <w:lang w:val="en-US"/>
              </w:rPr>
            </w:pPr>
            <w:r w:rsidRPr="00FF3923">
              <w:rPr>
                <w:sz w:val="18"/>
                <w:szCs w:val="18"/>
                <w:lang w:val="en-US"/>
              </w:rPr>
              <w:t>Fuente:</w:t>
            </w:r>
          </w:p>
        </w:tc>
        <w:tc>
          <w:tcPr>
            <w:tcW w:w="2722" w:type="dxa"/>
            <w:tcBorders>
              <w:top w:val="single" w:sz="4" w:space="0" w:color="auto"/>
              <w:left w:val="nil"/>
              <w:bottom w:val="single" w:sz="4" w:space="0" w:color="auto"/>
              <w:right w:val="single" w:sz="4" w:space="0" w:color="auto"/>
            </w:tcBorders>
            <w:shd w:val="clear" w:color="000000" w:fill="C0C0C0"/>
            <w:vAlign w:val="center"/>
            <w:hideMark/>
          </w:tcPr>
          <w:p w14:paraId="10183EB4" w14:textId="77777777" w:rsidR="00FF3923" w:rsidRPr="00FF3923" w:rsidRDefault="00FF3923" w:rsidP="00FF3923">
            <w:pPr>
              <w:pStyle w:val="NoSpacing"/>
              <w:rPr>
                <w:sz w:val="18"/>
                <w:szCs w:val="18"/>
              </w:rPr>
            </w:pPr>
            <w:r w:rsidRPr="00FF3923">
              <w:rPr>
                <w:sz w:val="18"/>
                <w:szCs w:val="18"/>
              </w:rPr>
              <w:t>Indicadores de la mercancía (</w:t>
            </w:r>
            <w:proofErr w:type="spellStart"/>
            <w:r w:rsidRPr="00FF3923">
              <w:rPr>
                <w:sz w:val="18"/>
                <w:szCs w:val="18"/>
              </w:rPr>
              <w:t>volúmen</w:t>
            </w:r>
            <w:proofErr w:type="spellEnd"/>
            <w:r w:rsidRPr="00FF3923">
              <w:rPr>
                <w:sz w:val="18"/>
                <w:szCs w:val="18"/>
              </w:rPr>
              <w:t xml:space="preserve"> en unidad de la tarifa y valor en moneda nacional (M.N.))</w:t>
            </w:r>
          </w:p>
        </w:tc>
        <w:tc>
          <w:tcPr>
            <w:tcW w:w="826" w:type="dxa"/>
            <w:tcBorders>
              <w:top w:val="single" w:sz="4" w:space="0" w:color="auto"/>
              <w:left w:val="nil"/>
              <w:bottom w:val="single" w:sz="4" w:space="0" w:color="auto"/>
              <w:right w:val="single" w:sz="4" w:space="0" w:color="auto"/>
            </w:tcBorders>
            <w:shd w:val="clear" w:color="000000" w:fill="C0C0C0"/>
            <w:vAlign w:val="center"/>
            <w:hideMark/>
          </w:tcPr>
          <w:p w14:paraId="0D2A320C" w14:textId="77777777" w:rsidR="00FF3923" w:rsidRPr="00FF3923" w:rsidRDefault="00FF3923" w:rsidP="00FF3923">
            <w:pPr>
              <w:pStyle w:val="NoSpacing"/>
              <w:rPr>
                <w:sz w:val="18"/>
                <w:szCs w:val="18"/>
                <w:lang w:val="en-US"/>
              </w:rPr>
            </w:pPr>
            <w:r w:rsidRPr="00FF3923">
              <w:rPr>
                <w:sz w:val="18"/>
                <w:szCs w:val="18"/>
                <w:lang w:val="en-US"/>
              </w:rPr>
              <w:t>Unidad</w:t>
            </w:r>
          </w:p>
        </w:tc>
        <w:tc>
          <w:tcPr>
            <w:tcW w:w="1529" w:type="dxa"/>
            <w:tcBorders>
              <w:top w:val="single" w:sz="4" w:space="0" w:color="auto"/>
              <w:left w:val="nil"/>
              <w:bottom w:val="single" w:sz="4" w:space="0" w:color="auto"/>
              <w:right w:val="single" w:sz="4" w:space="0" w:color="auto"/>
            </w:tcBorders>
            <w:shd w:val="clear" w:color="000000" w:fill="C0C0C0"/>
            <w:vAlign w:val="center"/>
            <w:hideMark/>
          </w:tcPr>
          <w:p w14:paraId="26CEA1BF" w14:textId="77777777" w:rsidR="00FF3923" w:rsidRPr="00FF3923" w:rsidRDefault="00FF3923" w:rsidP="00FF3923">
            <w:pPr>
              <w:pStyle w:val="NoSpacing"/>
              <w:rPr>
                <w:sz w:val="18"/>
                <w:szCs w:val="18"/>
                <w:lang w:val="en-US"/>
              </w:rPr>
            </w:pPr>
            <w:r w:rsidRPr="00FF3923">
              <w:rPr>
                <w:sz w:val="18"/>
                <w:szCs w:val="18"/>
                <w:lang w:val="en-US"/>
              </w:rPr>
              <w:t>#REF!</w:t>
            </w:r>
          </w:p>
        </w:tc>
        <w:tc>
          <w:tcPr>
            <w:tcW w:w="1532" w:type="dxa"/>
            <w:tcBorders>
              <w:top w:val="single" w:sz="4" w:space="0" w:color="auto"/>
              <w:left w:val="nil"/>
              <w:bottom w:val="single" w:sz="4" w:space="0" w:color="auto"/>
              <w:right w:val="single" w:sz="4" w:space="0" w:color="auto"/>
            </w:tcBorders>
            <w:shd w:val="clear" w:color="000000" w:fill="C0C0C0"/>
            <w:vAlign w:val="center"/>
            <w:hideMark/>
          </w:tcPr>
          <w:p w14:paraId="601FD661" w14:textId="77777777" w:rsidR="00FF3923" w:rsidRPr="00FF3923" w:rsidRDefault="00FF3923" w:rsidP="00FF3923">
            <w:pPr>
              <w:pStyle w:val="NoSpacing"/>
              <w:rPr>
                <w:sz w:val="18"/>
                <w:szCs w:val="18"/>
              </w:rPr>
            </w:pPr>
            <w:proofErr w:type="gramStart"/>
            <w:r w:rsidRPr="00FF3923">
              <w:rPr>
                <w:sz w:val="18"/>
                <w:szCs w:val="18"/>
              </w:rPr>
              <w:t>Proyecciones  Con</w:t>
            </w:r>
            <w:proofErr w:type="gramEnd"/>
            <w:r w:rsidRPr="00FF3923">
              <w:rPr>
                <w:sz w:val="18"/>
                <w:szCs w:val="18"/>
              </w:rPr>
              <w:t xml:space="preserve"> </w:t>
            </w:r>
            <w:proofErr w:type="spellStart"/>
            <w:r w:rsidRPr="00FF3923">
              <w:rPr>
                <w:sz w:val="18"/>
                <w:szCs w:val="18"/>
              </w:rPr>
              <w:t>Reduccion</w:t>
            </w:r>
            <w:proofErr w:type="spellEnd"/>
            <w:r w:rsidRPr="00FF3923">
              <w:rPr>
                <w:sz w:val="18"/>
                <w:szCs w:val="18"/>
              </w:rPr>
              <w:t xml:space="preserve"> de Precios</w:t>
            </w:r>
          </w:p>
        </w:tc>
        <w:tc>
          <w:tcPr>
            <w:tcW w:w="1423" w:type="dxa"/>
            <w:tcBorders>
              <w:top w:val="single" w:sz="4" w:space="0" w:color="auto"/>
              <w:left w:val="nil"/>
              <w:bottom w:val="single" w:sz="4" w:space="0" w:color="auto"/>
              <w:right w:val="single" w:sz="4" w:space="0" w:color="auto"/>
            </w:tcBorders>
            <w:shd w:val="clear" w:color="000000" w:fill="C0C0C0"/>
            <w:vAlign w:val="center"/>
            <w:hideMark/>
          </w:tcPr>
          <w:p w14:paraId="407037B5" w14:textId="77777777" w:rsidR="00FF3923" w:rsidRPr="00FF3923" w:rsidRDefault="00FF3923" w:rsidP="00FF3923">
            <w:pPr>
              <w:pStyle w:val="NoSpacing"/>
              <w:rPr>
                <w:sz w:val="18"/>
                <w:szCs w:val="18"/>
                <w:lang w:val="en-US"/>
              </w:rPr>
            </w:pPr>
            <w:r w:rsidRPr="00FF3923">
              <w:rPr>
                <w:sz w:val="18"/>
                <w:szCs w:val="18"/>
                <w:lang w:val="en-US"/>
              </w:rPr>
              <w:t>Impacto</w:t>
            </w:r>
          </w:p>
        </w:tc>
        <w:tc>
          <w:tcPr>
            <w:tcW w:w="1826" w:type="dxa"/>
            <w:tcBorders>
              <w:top w:val="single" w:sz="4" w:space="0" w:color="auto"/>
              <w:left w:val="nil"/>
              <w:bottom w:val="single" w:sz="4" w:space="0" w:color="auto"/>
              <w:right w:val="single" w:sz="4" w:space="0" w:color="auto"/>
            </w:tcBorders>
            <w:shd w:val="clear" w:color="000000" w:fill="C0C0C0"/>
            <w:vAlign w:val="center"/>
            <w:hideMark/>
          </w:tcPr>
          <w:p w14:paraId="2C15E6E2" w14:textId="77777777" w:rsidR="00FF3923" w:rsidRPr="00FF3923" w:rsidRDefault="00FF3923" w:rsidP="00FF3923">
            <w:pPr>
              <w:pStyle w:val="NoSpacing"/>
              <w:rPr>
                <w:sz w:val="18"/>
                <w:szCs w:val="18"/>
                <w:lang w:val="en-US"/>
              </w:rPr>
            </w:pPr>
            <w:r w:rsidRPr="00FF3923">
              <w:rPr>
                <w:sz w:val="18"/>
                <w:szCs w:val="18"/>
                <w:lang w:val="en-US"/>
              </w:rPr>
              <w:t>Impacto %</w:t>
            </w:r>
          </w:p>
        </w:tc>
      </w:tr>
      <w:tr w:rsidR="00FF3923" w:rsidRPr="00FF3923" w14:paraId="6879D7E4" w14:textId="77777777" w:rsidTr="00FF3923">
        <w:trPr>
          <w:trHeight w:val="525"/>
        </w:trPr>
        <w:tc>
          <w:tcPr>
            <w:tcW w:w="860" w:type="dxa"/>
            <w:tcBorders>
              <w:top w:val="nil"/>
              <w:left w:val="single" w:sz="4" w:space="0" w:color="auto"/>
              <w:bottom w:val="single" w:sz="4" w:space="0" w:color="auto"/>
              <w:right w:val="single" w:sz="4" w:space="0" w:color="auto"/>
            </w:tcBorders>
            <w:vAlign w:val="bottom"/>
            <w:hideMark/>
          </w:tcPr>
          <w:p w14:paraId="49B81E3A" w14:textId="77777777" w:rsidR="00FF3923" w:rsidRPr="00FF3923" w:rsidRDefault="00FF3923" w:rsidP="00FF3923">
            <w:pPr>
              <w:pStyle w:val="NoSpacing"/>
              <w:rPr>
                <w:sz w:val="18"/>
                <w:szCs w:val="18"/>
                <w:lang w:val="en-US"/>
              </w:rPr>
            </w:pPr>
            <w:r w:rsidRPr="00FF3923">
              <w:rPr>
                <w:sz w:val="18"/>
                <w:szCs w:val="18"/>
                <w:lang w:val="en-US"/>
              </w:rPr>
              <w:t>Anexo 2</w:t>
            </w:r>
          </w:p>
        </w:tc>
        <w:tc>
          <w:tcPr>
            <w:tcW w:w="2722" w:type="dxa"/>
            <w:tcBorders>
              <w:top w:val="nil"/>
              <w:left w:val="nil"/>
              <w:bottom w:val="single" w:sz="4" w:space="0" w:color="auto"/>
              <w:right w:val="single" w:sz="4" w:space="0" w:color="auto"/>
            </w:tcBorders>
            <w:vAlign w:val="bottom"/>
            <w:hideMark/>
          </w:tcPr>
          <w:p w14:paraId="376C6D77" w14:textId="77777777" w:rsidR="00FF3923" w:rsidRPr="00FF3923" w:rsidRDefault="00FF3923" w:rsidP="00FF3923">
            <w:pPr>
              <w:pStyle w:val="NoSpacing"/>
              <w:rPr>
                <w:sz w:val="18"/>
                <w:szCs w:val="18"/>
              </w:rPr>
            </w:pPr>
            <w:proofErr w:type="gramStart"/>
            <w:r w:rsidRPr="00FF3923">
              <w:rPr>
                <w:sz w:val="18"/>
                <w:szCs w:val="18"/>
              </w:rPr>
              <w:t>( 1</w:t>
            </w:r>
            <w:proofErr w:type="gramEnd"/>
            <w:r w:rsidRPr="00FF3923">
              <w:rPr>
                <w:sz w:val="18"/>
                <w:szCs w:val="18"/>
              </w:rPr>
              <w:t>) Volumen de ventas al mercado nacional de producto elaborado por la empresa.</w:t>
            </w:r>
          </w:p>
        </w:tc>
        <w:tc>
          <w:tcPr>
            <w:tcW w:w="826" w:type="dxa"/>
            <w:tcBorders>
              <w:top w:val="nil"/>
              <w:left w:val="nil"/>
              <w:bottom w:val="single" w:sz="4" w:space="0" w:color="auto"/>
              <w:right w:val="single" w:sz="4" w:space="0" w:color="auto"/>
            </w:tcBorders>
            <w:vAlign w:val="bottom"/>
            <w:hideMark/>
          </w:tcPr>
          <w:p w14:paraId="55B03244" w14:textId="77777777" w:rsidR="00FF3923" w:rsidRPr="00FF3923" w:rsidRDefault="00FF3923" w:rsidP="00FF3923">
            <w:pPr>
              <w:pStyle w:val="NoSpacing"/>
              <w:rPr>
                <w:sz w:val="18"/>
                <w:szCs w:val="18"/>
                <w:lang w:val="en-US"/>
              </w:rPr>
            </w:pPr>
            <w:r w:rsidRPr="00FF3923">
              <w:rPr>
                <w:sz w:val="18"/>
                <w:szCs w:val="18"/>
                <w:lang w:val="en-US"/>
              </w:rPr>
              <w:t>TM</w:t>
            </w:r>
          </w:p>
        </w:tc>
        <w:tc>
          <w:tcPr>
            <w:tcW w:w="1529" w:type="dxa"/>
            <w:tcBorders>
              <w:top w:val="nil"/>
              <w:left w:val="nil"/>
              <w:bottom w:val="single" w:sz="4" w:space="0" w:color="auto"/>
              <w:right w:val="single" w:sz="4" w:space="0" w:color="auto"/>
            </w:tcBorders>
            <w:vAlign w:val="bottom"/>
            <w:hideMark/>
          </w:tcPr>
          <w:p w14:paraId="638531D8" w14:textId="77777777" w:rsidR="00FF3923" w:rsidRPr="00FF3923" w:rsidRDefault="00FF3923" w:rsidP="00FF3923">
            <w:pPr>
              <w:pStyle w:val="NoSpacing"/>
              <w:rPr>
                <w:sz w:val="18"/>
                <w:szCs w:val="18"/>
                <w:lang w:val="en-US"/>
              </w:rPr>
            </w:pPr>
            <w:r w:rsidRPr="00FF3923">
              <w:rPr>
                <w:sz w:val="18"/>
                <w:szCs w:val="18"/>
                <w:lang w:val="en-US"/>
              </w:rPr>
              <w:t xml:space="preserve">                 660,549 </w:t>
            </w:r>
          </w:p>
        </w:tc>
        <w:tc>
          <w:tcPr>
            <w:tcW w:w="1532" w:type="dxa"/>
            <w:tcBorders>
              <w:top w:val="nil"/>
              <w:left w:val="nil"/>
              <w:bottom w:val="single" w:sz="4" w:space="0" w:color="auto"/>
              <w:right w:val="single" w:sz="4" w:space="0" w:color="auto"/>
            </w:tcBorders>
            <w:noWrap/>
            <w:vAlign w:val="bottom"/>
            <w:hideMark/>
          </w:tcPr>
          <w:p w14:paraId="07D60ED4" w14:textId="77777777" w:rsidR="00FF3923" w:rsidRPr="00FF3923" w:rsidRDefault="00FF3923" w:rsidP="00FF3923">
            <w:pPr>
              <w:pStyle w:val="NoSpacing"/>
              <w:rPr>
                <w:sz w:val="18"/>
                <w:szCs w:val="18"/>
                <w:lang w:val="en-US"/>
              </w:rPr>
            </w:pPr>
            <w:r w:rsidRPr="00FF3923">
              <w:rPr>
                <w:sz w:val="18"/>
                <w:szCs w:val="18"/>
                <w:lang w:val="en-US"/>
              </w:rPr>
              <w:t xml:space="preserve">                   660,549 </w:t>
            </w:r>
          </w:p>
        </w:tc>
        <w:tc>
          <w:tcPr>
            <w:tcW w:w="1423" w:type="dxa"/>
            <w:tcBorders>
              <w:top w:val="nil"/>
              <w:left w:val="nil"/>
              <w:bottom w:val="single" w:sz="4" w:space="0" w:color="auto"/>
              <w:right w:val="single" w:sz="4" w:space="0" w:color="auto"/>
            </w:tcBorders>
            <w:noWrap/>
            <w:vAlign w:val="bottom"/>
            <w:hideMark/>
          </w:tcPr>
          <w:p w14:paraId="3A0388F3" w14:textId="77777777" w:rsidR="00FF3923" w:rsidRPr="00FF3923" w:rsidRDefault="00FF3923" w:rsidP="00FF3923">
            <w:pPr>
              <w:pStyle w:val="NoSpacing"/>
              <w:rPr>
                <w:sz w:val="18"/>
                <w:szCs w:val="18"/>
                <w:lang w:val="en-US"/>
              </w:rPr>
            </w:pPr>
            <w:r w:rsidRPr="00FF3923">
              <w:rPr>
                <w:sz w:val="18"/>
                <w:szCs w:val="18"/>
                <w:lang w:val="en-US"/>
              </w:rPr>
              <w:t xml:space="preserve">                       -   </w:t>
            </w:r>
          </w:p>
        </w:tc>
        <w:tc>
          <w:tcPr>
            <w:tcW w:w="1826" w:type="dxa"/>
            <w:tcBorders>
              <w:top w:val="single" w:sz="4" w:space="0" w:color="auto"/>
              <w:left w:val="nil"/>
              <w:bottom w:val="single" w:sz="4" w:space="0" w:color="auto"/>
              <w:right w:val="single" w:sz="4" w:space="0" w:color="auto"/>
            </w:tcBorders>
            <w:noWrap/>
            <w:vAlign w:val="bottom"/>
            <w:hideMark/>
          </w:tcPr>
          <w:p w14:paraId="34A99304" w14:textId="77777777" w:rsidR="00FF3923" w:rsidRPr="00FF3923" w:rsidRDefault="00FF3923" w:rsidP="00FF3923">
            <w:pPr>
              <w:pStyle w:val="NoSpacing"/>
              <w:rPr>
                <w:sz w:val="18"/>
                <w:szCs w:val="18"/>
                <w:lang w:val="en-US"/>
              </w:rPr>
            </w:pPr>
            <w:r w:rsidRPr="00FF3923">
              <w:rPr>
                <w:sz w:val="18"/>
                <w:szCs w:val="18"/>
                <w:lang w:val="en-US"/>
              </w:rPr>
              <w:t>0%</w:t>
            </w:r>
          </w:p>
        </w:tc>
      </w:tr>
      <w:tr w:rsidR="00FF3923" w:rsidRPr="00FF3923" w14:paraId="60557BEE" w14:textId="77777777" w:rsidTr="00FF3923">
        <w:trPr>
          <w:trHeight w:val="410"/>
        </w:trPr>
        <w:tc>
          <w:tcPr>
            <w:tcW w:w="860" w:type="dxa"/>
            <w:tcBorders>
              <w:top w:val="nil"/>
              <w:left w:val="single" w:sz="4" w:space="0" w:color="auto"/>
              <w:bottom w:val="single" w:sz="4" w:space="0" w:color="auto"/>
              <w:right w:val="single" w:sz="4" w:space="0" w:color="auto"/>
            </w:tcBorders>
            <w:vAlign w:val="bottom"/>
            <w:hideMark/>
          </w:tcPr>
          <w:p w14:paraId="255C450F" w14:textId="77777777" w:rsidR="00FF3923" w:rsidRPr="00FF3923" w:rsidRDefault="00FF3923" w:rsidP="00FF3923">
            <w:pPr>
              <w:pStyle w:val="NoSpacing"/>
              <w:rPr>
                <w:sz w:val="18"/>
                <w:szCs w:val="18"/>
                <w:lang w:val="en-US"/>
              </w:rPr>
            </w:pPr>
            <w:r w:rsidRPr="00FF3923">
              <w:rPr>
                <w:sz w:val="18"/>
                <w:szCs w:val="18"/>
                <w:lang w:val="en-US"/>
              </w:rPr>
              <w:t>Anexo 2</w:t>
            </w:r>
          </w:p>
        </w:tc>
        <w:tc>
          <w:tcPr>
            <w:tcW w:w="2722" w:type="dxa"/>
            <w:tcBorders>
              <w:top w:val="nil"/>
              <w:left w:val="nil"/>
              <w:bottom w:val="single" w:sz="4" w:space="0" w:color="auto"/>
              <w:right w:val="single" w:sz="4" w:space="0" w:color="auto"/>
            </w:tcBorders>
            <w:vAlign w:val="bottom"/>
            <w:hideMark/>
          </w:tcPr>
          <w:p w14:paraId="5FD21442" w14:textId="77777777" w:rsidR="00FF3923" w:rsidRPr="00FF3923" w:rsidRDefault="00FF3923" w:rsidP="00FF3923">
            <w:pPr>
              <w:pStyle w:val="NoSpacing"/>
              <w:rPr>
                <w:sz w:val="18"/>
                <w:szCs w:val="18"/>
              </w:rPr>
            </w:pPr>
            <w:r w:rsidRPr="00FF3923">
              <w:rPr>
                <w:sz w:val="18"/>
                <w:szCs w:val="18"/>
              </w:rPr>
              <w:t>(2) Valor de ventas al mercado nacional de producto elaborado por la empresa.</w:t>
            </w:r>
          </w:p>
        </w:tc>
        <w:tc>
          <w:tcPr>
            <w:tcW w:w="826" w:type="dxa"/>
            <w:tcBorders>
              <w:top w:val="nil"/>
              <w:left w:val="nil"/>
              <w:bottom w:val="single" w:sz="4" w:space="0" w:color="auto"/>
              <w:right w:val="single" w:sz="4" w:space="0" w:color="auto"/>
            </w:tcBorders>
            <w:vAlign w:val="bottom"/>
            <w:hideMark/>
          </w:tcPr>
          <w:p w14:paraId="19601094" w14:textId="77777777" w:rsidR="00FF3923" w:rsidRPr="00FF3923" w:rsidRDefault="00FF3923" w:rsidP="00FF3923">
            <w:pPr>
              <w:pStyle w:val="NoSpacing"/>
              <w:rPr>
                <w:sz w:val="18"/>
                <w:szCs w:val="18"/>
                <w:lang w:val="en-US"/>
              </w:rPr>
            </w:pPr>
            <w:r w:rsidRPr="00FF3923">
              <w:rPr>
                <w:sz w:val="18"/>
                <w:szCs w:val="18"/>
                <w:lang w:val="en-US"/>
              </w:rPr>
              <w:t>$M.N.</w:t>
            </w:r>
          </w:p>
        </w:tc>
        <w:tc>
          <w:tcPr>
            <w:tcW w:w="1529" w:type="dxa"/>
            <w:tcBorders>
              <w:top w:val="nil"/>
              <w:left w:val="nil"/>
              <w:bottom w:val="single" w:sz="4" w:space="0" w:color="auto"/>
              <w:right w:val="single" w:sz="4" w:space="0" w:color="auto"/>
            </w:tcBorders>
            <w:vAlign w:val="bottom"/>
            <w:hideMark/>
          </w:tcPr>
          <w:p w14:paraId="1568C720" w14:textId="77777777" w:rsidR="00FF3923" w:rsidRPr="00FF3923" w:rsidRDefault="00FF3923" w:rsidP="00FF3923">
            <w:pPr>
              <w:pStyle w:val="NoSpacing"/>
              <w:rPr>
                <w:sz w:val="18"/>
                <w:szCs w:val="18"/>
                <w:lang w:val="en-US"/>
              </w:rPr>
            </w:pPr>
            <w:r w:rsidRPr="00FF3923">
              <w:rPr>
                <w:sz w:val="18"/>
                <w:szCs w:val="18"/>
                <w:lang w:val="en-US"/>
              </w:rPr>
              <w:t xml:space="preserve">      34,619,995,896 </w:t>
            </w:r>
          </w:p>
        </w:tc>
        <w:tc>
          <w:tcPr>
            <w:tcW w:w="1532" w:type="dxa"/>
            <w:tcBorders>
              <w:top w:val="nil"/>
              <w:left w:val="nil"/>
              <w:bottom w:val="single" w:sz="4" w:space="0" w:color="auto"/>
              <w:right w:val="single" w:sz="4" w:space="0" w:color="auto"/>
            </w:tcBorders>
            <w:noWrap/>
            <w:vAlign w:val="bottom"/>
            <w:hideMark/>
          </w:tcPr>
          <w:p w14:paraId="6FABC36E" w14:textId="77777777" w:rsidR="00FF3923" w:rsidRPr="00FF3923" w:rsidRDefault="00FF3923" w:rsidP="00FF3923">
            <w:pPr>
              <w:pStyle w:val="NoSpacing"/>
              <w:rPr>
                <w:sz w:val="18"/>
                <w:szCs w:val="18"/>
                <w:lang w:val="en-US"/>
              </w:rPr>
            </w:pPr>
            <w:r w:rsidRPr="00FF3923">
              <w:rPr>
                <w:sz w:val="18"/>
                <w:szCs w:val="18"/>
                <w:lang w:val="en-US"/>
              </w:rPr>
              <w:t xml:space="preserve">        30,465,596,388 </w:t>
            </w:r>
          </w:p>
        </w:tc>
        <w:tc>
          <w:tcPr>
            <w:tcW w:w="1423" w:type="dxa"/>
            <w:tcBorders>
              <w:top w:val="nil"/>
              <w:left w:val="nil"/>
              <w:bottom w:val="single" w:sz="4" w:space="0" w:color="auto"/>
              <w:right w:val="single" w:sz="4" w:space="0" w:color="auto"/>
            </w:tcBorders>
            <w:noWrap/>
            <w:vAlign w:val="bottom"/>
            <w:hideMark/>
          </w:tcPr>
          <w:p w14:paraId="2B7544A1" w14:textId="77777777" w:rsidR="00FF3923" w:rsidRPr="00FF3923" w:rsidRDefault="00FF3923" w:rsidP="00FF3923">
            <w:pPr>
              <w:pStyle w:val="NoSpacing"/>
              <w:rPr>
                <w:sz w:val="18"/>
                <w:szCs w:val="18"/>
                <w:lang w:val="en-US"/>
              </w:rPr>
            </w:pPr>
            <w:r w:rsidRPr="00FF3923">
              <w:rPr>
                <w:sz w:val="18"/>
                <w:szCs w:val="18"/>
                <w:lang w:val="en-US"/>
              </w:rPr>
              <w:t xml:space="preserve">-   4,154,399,507 </w:t>
            </w:r>
          </w:p>
        </w:tc>
        <w:tc>
          <w:tcPr>
            <w:tcW w:w="1826" w:type="dxa"/>
            <w:tcBorders>
              <w:top w:val="nil"/>
              <w:left w:val="nil"/>
              <w:bottom w:val="single" w:sz="4" w:space="0" w:color="auto"/>
              <w:right w:val="single" w:sz="4" w:space="0" w:color="auto"/>
            </w:tcBorders>
            <w:noWrap/>
            <w:vAlign w:val="bottom"/>
            <w:hideMark/>
          </w:tcPr>
          <w:p w14:paraId="4CD69D18" w14:textId="77777777" w:rsidR="00FF3923" w:rsidRPr="00FF3923" w:rsidRDefault="00FF3923" w:rsidP="00FF3923">
            <w:pPr>
              <w:pStyle w:val="NoSpacing"/>
              <w:rPr>
                <w:sz w:val="18"/>
                <w:szCs w:val="18"/>
                <w:lang w:val="en-US"/>
              </w:rPr>
            </w:pPr>
            <w:r w:rsidRPr="00FF3923">
              <w:rPr>
                <w:sz w:val="18"/>
                <w:szCs w:val="18"/>
                <w:lang w:val="en-US"/>
              </w:rPr>
              <w:t>-12%</w:t>
            </w:r>
          </w:p>
        </w:tc>
      </w:tr>
      <w:tr w:rsidR="00FF3923" w:rsidRPr="00FF3923" w14:paraId="51DC083D" w14:textId="77777777" w:rsidTr="00FF3923">
        <w:trPr>
          <w:trHeight w:val="451"/>
        </w:trPr>
        <w:tc>
          <w:tcPr>
            <w:tcW w:w="860" w:type="dxa"/>
            <w:tcBorders>
              <w:top w:val="nil"/>
              <w:left w:val="single" w:sz="4" w:space="0" w:color="auto"/>
              <w:bottom w:val="single" w:sz="4" w:space="0" w:color="auto"/>
              <w:right w:val="single" w:sz="4" w:space="0" w:color="auto"/>
            </w:tcBorders>
            <w:noWrap/>
            <w:vAlign w:val="bottom"/>
            <w:hideMark/>
          </w:tcPr>
          <w:p w14:paraId="4A804DF9" w14:textId="77777777" w:rsidR="00FF3923" w:rsidRPr="00FF3923" w:rsidRDefault="00FF3923" w:rsidP="00FF3923">
            <w:pPr>
              <w:pStyle w:val="NoSpacing"/>
              <w:rPr>
                <w:sz w:val="18"/>
                <w:szCs w:val="18"/>
                <w:lang w:val="en-US"/>
              </w:rPr>
            </w:pPr>
            <w:r w:rsidRPr="00FF3923">
              <w:rPr>
                <w:sz w:val="18"/>
                <w:szCs w:val="18"/>
                <w:lang w:val="en-US"/>
              </w:rPr>
              <w:t> </w:t>
            </w:r>
          </w:p>
        </w:tc>
        <w:tc>
          <w:tcPr>
            <w:tcW w:w="2722" w:type="dxa"/>
            <w:tcBorders>
              <w:top w:val="nil"/>
              <w:left w:val="nil"/>
              <w:bottom w:val="single" w:sz="4" w:space="0" w:color="auto"/>
              <w:right w:val="single" w:sz="4" w:space="0" w:color="auto"/>
            </w:tcBorders>
            <w:vAlign w:val="bottom"/>
            <w:hideMark/>
          </w:tcPr>
          <w:p w14:paraId="373C349B" w14:textId="77777777" w:rsidR="00FF3923" w:rsidRPr="00FF3923" w:rsidRDefault="00FF3923" w:rsidP="00FF3923">
            <w:pPr>
              <w:pStyle w:val="NoSpacing"/>
              <w:rPr>
                <w:sz w:val="18"/>
                <w:szCs w:val="18"/>
              </w:rPr>
            </w:pPr>
            <w:r w:rsidRPr="00FF3923">
              <w:rPr>
                <w:sz w:val="18"/>
                <w:szCs w:val="18"/>
              </w:rPr>
              <w:t xml:space="preserve">(3) Precio Anual Promedio x </w:t>
            </w:r>
            <w:proofErr w:type="gramStart"/>
            <w:r w:rsidRPr="00FF3923">
              <w:rPr>
                <w:sz w:val="18"/>
                <w:szCs w:val="18"/>
              </w:rPr>
              <w:t>TM  (</w:t>
            </w:r>
            <w:proofErr w:type="gramEnd"/>
            <w:r w:rsidRPr="00FF3923">
              <w:rPr>
                <w:sz w:val="18"/>
                <w:szCs w:val="18"/>
              </w:rPr>
              <w:t>2 / 1)</w:t>
            </w:r>
          </w:p>
        </w:tc>
        <w:tc>
          <w:tcPr>
            <w:tcW w:w="826" w:type="dxa"/>
            <w:tcBorders>
              <w:top w:val="nil"/>
              <w:left w:val="nil"/>
              <w:bottom w:val="single" w:sz="4" w:space="0" w:color="auto"/>
              <w:right w:val="single" w:sz="4" w:space="0" w:color="auto"/>
            </w:tcBorders>
            <w:vAlign w:val="bottom"/>
            <w:hideMark/>
          </w:tcPr>
          <w:p w14:paraId="1BBAEE69" w14:textId="77777777" w:rsidR="00FF3923" w:rsidRPr="00FF3923" w:rsidRDefault="00FF3923" w:rsidP="00FF3923">
            <w:pPr>
              <w:pStyle w:val="NoSpacing"/>
              <w:rPr>
                <w:sz w:val="18"/>
                <w:szCs w:val="18"/>
                <w:lang w:val="en-US"/>
              </w:rPr>
            </w:pPr>
            <w:r w:rsidRPr="00FF3923">
              <w:rPr>
                <w:sz w:val="18"/>
                <w:szCs w:val="18"/>
                <w:lang w:val="en-US"/>
              </w:rPr>
              <w:t>TM</w:t>
            </w:r>
          </w:p>
        </w:tc>
        <w:tc>
          <w:tcPr>
            <w:tcW w:w="1529" w:type="dxa"/>
            <w:tcBorders>
              <w:top w:val="nil"/>
              <w:left w:val="nil"/>
              <w:bottom w:val="single" w:sz="4" w:space="0" w:color="auto"/>
              <w:right w:val="single" w:sz="4" w:space="0" w:color="auto"/>
            </w:tcBorders>
            <w:noWrap/>
            <w:vAlign w:val="bottom"/>
            <w:hideMark/>
          </w:tcPr>
          <w:p w14:paraId="6D58EC49" w14:textId="77777777" w:rsidR="00FF3923" w:rsidRPr="00FF3923" w:rsidRDefault="00FF3923" w:rsidP="00FF3923">
            <w:pPr>
              <w:pStyle w:val="NoSpacing"/>
              <w:rPr>
                <w:sz w:val="18"/>
                <w:szCs w:val="18"/>
                <w:lang w:val="en-US"/>
              </w:rPr>
            </w:pPr>
            <w:r w:rsidRPr="00FF3923">
              <w:rPr>
                <w:sz w:val="18"/>
                <w:szCs w:val="18"/>
                <w:lang w:val="en-US"/>
              </w:rPr>
              <w:t xml:space="preserve">                   64,465 </w:t>
            </w:r>
          </w:p>
        </w:tc>
        <w:tc>
          <w:tcPr>
            <w:tcW w:w="1532" w:type="dxa"/>
            <w:tcBorders>
              <w:top w:val="nil"/>
              <w:left w:val="nil"/>
              <w:bottom w:val="single" w:sz="4" w:space="0" w:color="auto"/>
              <w:right w:val="single" w:sz="4" w:space="0" w:color="auto"/>
            </w:tcBorders>
            <w:noWrap/>
            <w:vAlign w:val="bottom"/>
            <w:hideMark/>
          </w:tcPr>
          <w:p w14:paraId="076DAAED" w14:textId="77777777" w:rsidR="00FF3923" w:rsidRPr="00FF3923" w:rsidRDefault="00FF3923" w:rsidP="00FF3923">
            <w:pPr>
              <w:pStyle w:val="NoSpacing"/>
              <w:rPr>
                <w:sz w:val="18"/>
                <w:szCs w:val="18"/>
                <w:lang w:val="en-US"/>
              </w:rPr>
            </w:pPr>
            <w:r w:rsidRPr="00FF3923">
              <w:rPr>
                <w:sz w:val="18"/>
                <w:szCs w:val="18"/>
                <w:lang w:val="en-US"/>
              </w:rPr>
              <w:t xml:space="preserve">                     56,730 </w:t>
            </w:r>
          </w:p>
        </w:tc>
        <w:tc>
          <w:tcPr>
            <w:tcW w:w="1423" w:type="dxa"/>
            <w:tcBorders>
              <w:top w:val="nil"/>
              <w:left w:val="nil"/>
              <w:bottom w:val="single" w:sz="4" w:space="0" w:color="auto"/>
              <w:right w:val="single" w:sz="4" w:space="0" w:color="auto"/>
            </w:tcBorders>
            <w:noWrap/>
            <w:vAlign w:val="bottom"/>
            <w:hideMark/>
          </w:tcPr>
          <w:p w14:paraId="15430A10" w14:textId="77777777" w:rsidR="00FF3923" w:rsidRPr="00FF3923" w:rsidRDefault="00FF3923" w:rsidP="00FF3923">
            <w:pPr>
              <w:pStyle w:val="NoSpacing"/>
              <w:rPr>
                <w:sz w:val="18"/>
                <w:szCs w:val="18"/>
                <w:lang w:val="en-US"/>
              </w:rPr>
            </w:pPr>
            <w:r w:rsidRPr="00FF3923">
              <w:rPr>
                <w:sz w:val="18"/>
                <w:szCs w:val="18"/>
                <w:lang w:val="en-US"/>
              </w:rPr>
              <w:t xml:space="preserve">-                7,736 </w:t>
            </w:r>
          </w:p>
        </w:tc>
        <w:tc>
          <w:tcPr>
            <w:tcW w:w="1826" w:type="dxa"/>
            <w:tcBorders>
              <w:top w:val="nil"/>
              <w:left w:val="nil"/>
              <w:bottom w:val="single" w:sz="4" w:space="0" w:color="auto"/>
              <w:right w:val="single" w:sz="4" w:space="0" w:color="auto"/>
            </w:tcBorders>
            <w:noWrap/>
            <w:vAlign w:val="bottom"/>
            <w:hideMark/>
          </w:tcPr>
          <w:p w14:paraId="47E5B19F" w14:textId="77777777" w:rsidR="00FF3923" w:rsidRPr="00FF3923" w:rsidRDefault="00FF3923" w:rsidP="00FF3923">
            <w:pPr>
              <w:pStyle w:val="NoSpacing"/>
              <w:rPr>
                <w:sz w:val="18"/>
                <w:szCs w:val="18"/>
                <w:lang w:val="en-US"/>
              </w:rPr>
            </w:pPr>
            <w:r w:rsidRPr="00FF3923">
              <w:rPr>
                <w:sz w:val="18"/>
                <w:szCs w:val="18"/>
                <w:lang w:val="en-US"/>
              </w:rPr>
              <w:t>-12%</w:t>
            </w:r>
          </w:p>
        </w:tc>
      </w:tr>
      <w:tr w:rsidR="00FF3923" w:rsidRPr="00FF3923" w14:paraId="128B65F1" w14:textId="77777777" w:rsidTr="00FF3923">
        <w:trPr>
          <w:trHeight w:val="356"/>
        </w:trPr>
        <w:tc>
          <w:tcPr>
            <w:tcW w:w="860" w:type="dxa"/>
            <w:tcBorders>
              <w:top w:val="nil"/>
              <w:left w:val="single" w:sz="4" w:space="0" w:color="auto"/>
              <w:bottom w:val="single" w:sz="4" w:space="0" w:color="auto"/>
              <w:right w:val="single" w:sz="4" w:space="0" w:color="auto"/>
            </w:tcBorders>
            <w:noWrap/>
            <w:vAlign w:val="bottom"/>
            <w:hideMark/>
          </w:tcPr>
          <w:p w14:paraId="0134E016" w14:textId="77777777" w:rsidR="00FF3923" w:rsidRPr="00FF3923" w:rsidRDefault="00FF3923" w:rsidP="00FF3923">
            <w:pPr>
              <w:pStyle w:val="NoSpacing"/>
              <w:rPr>
                <w:sz w:val="18"/>
                <w:szCs w:val="18"/>
                <w:lang w:val="en-US"/>
              </w:rPr>
            </w:pPr>
            <w:r w:rsidRPr="00FF3923">
              <w:rPr>
                <w:sz w:val="18"/>
                <w:szCs w:val="18"/>
                <w:lang w:val="en-US"/>
              </w:rPr>
              <w:t>Anexo 3</w:t>
            </w:r>
          </w:p>
        </w:tc>
        <w:tc>
          <w:tcPr>
            <w:tcW w:w="2722" w:type="dxa"/>
            <w:tcBorders>
              <w:top w:val="nil"/>
              <w:left w:val="nil"/>
              <w:bottom w:val="single" w:sz="4" w:space="0" w:color="auto"/>
              <w:right w:val="single" w:sz="4" w:space="0" w:color="auto"/>
            </w:tcBorders>
            <w:noWrap/>
            <w:vAlign w:val="bottom"/>
            <w:hideMark/>
          </w:tcPr>
          <w:p w14:paraId="648549E3" w14:textId="77777777" w:rsidR="00FF3923" w:rsidRPr="00FF3923" w:rsidRDefault="00FF3923" w:rsidP="00FF3923">
            <w:pPr>
              <w:pStyle w:val="NoSpacing"/>
              <w:rPr>
                <w:sz w:val="18"/>
                <w:szCs w:val="18"/>
                <w:lang w:val="en-US"/>
              </w:rPr>
            </w:pPr>
            <w:r w:rsidRPr="00FF3923">
              <w:rPr>
                <w:sz w:val="18"/>
                <w:szCs w:val="18"/>
                <w:lang w:val="en-US"/>
              </w:rPr>
              <w:t>#REF!</w:t>
            </w:r>
          </w:p>
        </w:tc>
        <w:tc>
          <w:tcPr>
            <w:tcW w:w="826" w:type="dxa"/>
            <w:tcBorders>
              <w:top w:val="nil"/>
              <w:left w:val="nil"/>
              <w:bottom w:val="single" w:sz="4" w:space="0" w:color="auto"/>
              <w:right w:val="single" w:sz="4" w:space="0" w:color="auto"/>
            </w:tcBorders>
            <w:vAlign w:val="bottom"/>
            <w:hideMark/>
          </w:tcPr>
          <w:p w14:paraId="68707583" w14:textId="77777777" w:rsidR="00FF3923" w:rsidRPr="00FF3923" w:rsidRDefault="00FF3923" w:rsidP="00FF3923">
            <w:pPr>
              <w:pStyle w:val="NoSpacing"/>
              <w:rPr>
                <w:sz w:val="18"/>
                <w:szCs w:val="18"/>
                <w:lang w:val="en-US"/>
              </w:rPr>
            </w:pPr>
            <w:r w:rsidRPr="00FF3923">
              <w:rPr>
                <w:sz w:val="18"/>
                <w:szCs w:val="18"/>
                <w:lang w:val="en-US"/>
              </w:rPr>
              <w:t>$M.N.</w:t>
            </w:r>
          </w:p>
        </w:tc>
        <w:tc>
          <w:tcPr>
            <w:tcW w:w="1529" w:type="dxa"/>
            <w:tcBorders>
              <w:top w:val="nil"/>
              <w:left w:val="nil"/>
              <w:bottom w:val="single" w:sz="4" w:space="0" w:color="auto"/>
              <w:right w:val="single" w:sz="4" w:space="0" w:color="auto"/>
            </w:tcBorders>
            <w:noWrap/>
            <w:vAlign w:val="bottom"/>
            <w:hideMark/>
          </w:tcPr>
          <w:p w14:paraId="3D59050C" w14:textId="77777777" w:rsidR="00FF3923" w:rsidRPr="00FF3923" w:rsidRDefault="00FF3923" w:rsidP="00FF3923">
            <w:pPr>
              <w:pStyle w:val="NoSpacing"/>
              <w:rPr>
                <w:sz w:val="18"/>
                <w:szCs w:val="18"/>
                <w:lang w:val="en-US"/>
              </w:rPr>
            </w:pPr>
            <w:r w:rsidRPr="00FF3923">
              <w:rPr>
                <w:sz w:val="18"/>
                <w:szCs w:val="18"/>
                <w:lang w:val="en-US"/>
              </w:rPr>
              <w:t xml:space="preserve">        5,517,706,258 </w:t>
            </w:r>
          </w:p>
        </w:tc>
        <w:tc>
          <w:tcPr>
            <w:tcW w:w="1532" w:type="dxa"/>
            <w:tcBorders>
              <w:top w:val="nil"/>
              <w:left w:val="nil"/>
              <w:bottom w:val="single" w:sz="4" w:space="0" w:color="auto"/>
              <w:right w:val="single" w:sz="4" w:space="0" w:color="auto"/>
            </w:tcBorders>
            <w:noWrap/>
            <w:vAlign w:val="bottom"/>
            <w:hideMark/>
          </w:tcPr>
          <w:p w14:paraId="1B236AC3" w14:textId="77777777" w:rsidR="00FF3923" w:rsidRPr="00FF3923" w:rsidRDefault="00FF3923" w:rsidP="00FF3923">
            <w:pPr>
              <w:pStyle w:val="NoSpacing"/>
              <w:rPr>
                <w:sz w:val="18"/>
                <w:szCs w:val="18"/>
                <w:lang w:val="en-US"/>
              </w:rPr>
            </w:pPr>
            <w:r w:rsidRPr="00FF3923">
              <w:rPr>
                <w:sz w:val="18"/>
                <w:szCs w:val="18"/>
                <w:lang w:val="en-US"/>
              </w:rPr>
              <w:t xml:space="preserve">          1,363,306,751 </w:t>
            </w:r>
          </w:p>
        </w:tc>
        <w:tc>
          <w:tcPr>
            <w:tcW w:w="1423" w:type="dxa"/>
            <w:tcBorders>
              <w:top w:val="nil"/>
              <w:left w:val="nil"/>
              <w:bottom w:val="single" w:sz="4" w:space="0" w:color="auto"/>
              <w:right w:val="single" w:sz="4" w:space="0" w:color="auto"/>
            </w:tcBorders>
            <w:noWrap/>
            <w:vAlign w:val="bottom"/>
            <w:hideMark/>
          </w:tcPr>
          <w:p w14:paraId="38C386AB" w14:textId="77777777" w:rsidR="00FF3923" w:rsidRPr="00FF3923" w:rsidRDefault="00FF3923" w:rsidP="00FF3923">
            <w:pPr>
              <w:pStyle w:val="NoSpacing"/>
              <w:rPr>
                <w:sz w:val="18"/>
                <w:szCs w:val="18"/>
                <w:lang w:val="en-US"/>
              </w:rPr>
            </w:pPr>
            <w:r w:rsidRPr="00FF3923">
              <w:rPr>
                <w:sz w:val="18"/>
                <w:szCs w:val="18"/>
                <w:lang w:val="en-US"/>
              </w:rPr>
              <w:t xml:space="preserve">-   4,154,399,507 </w:t>
            </w:r>
          </w:p>
        </w:tc>
        <w:tc>
          <w:tcPr>
            <w:tcW w:w="1826" w:type="dxa"/>
            <w:tcBorders>
              <w:top w:val="nil"/>
              <w:left w:val="nil"/>
              <w:bottom w:val="single" w:sz="4" w:space="0" w:color="auto"/>
              <w:right w:val="single" w:sz="4" w:space="0" w:color="auto"/>
            </w:tcBorders>
            <w:noWrap/>
            <w:vAlign w:val="bottom"/>
            <w:hideMark/>
          </w:tcPr>
          <w:p w14:paraId="40122111" w14:textId="77777777" w:rsidR="00FF3923" w:rsidRPr="00FF3923" w:rsidRDefault="00FF3923" w:rsidP="00FF3923">
            <w:pPr>
              <w:pStyle w:val="NoSpacing"/>
              <w:rPr>
                <w:sz w:val="18"/>
                <w:szCs w:val="18"/>
                <w:lang w:val="en-US"/>
              </w:rPr>
            </w:pPr>
            <w:r w:rsidRPr="00FF3923">
              <w:rPr>
                <w:sz w:val="18"/>
                <w:szCs w:val="18"/>
                <w:lang w:val="en-US"/>
              </w:rPr>
              <w:t>-75%</w:t>
            </w:r>
          </w:p>
        </w:tc>
      </w:tr>
      <w:tr w:rsidR="00FF3923" w:rsidRPr="00FF3923" w14:paraId="51CA6C0E" w14:textId="77777777" w:rsidTr="00FF3923">
        <w:trPr>
          <w:trHeight w:val="483"/>
        </w:trPr>
        <w:tc>
          <w:tcPr>
            <w:tcW w:w="860" w:type="dxa"/>
            <w:tcBorders>
              <w:top w:val="nil"/>
              <w:left w:val="single" w:sz="4" w:space="0" w:color="auto"/>
              <w:bottom w:val="single" w:sz="4" w:space="0" w:color="auto"/>
              <w:right w:val="single" w:sz="4" w:space="0" w:color="auto"/>
            </w:tcBorders>
            <w:noWrap/>
            <w:vAlign w:val="bottom"/>
            <w:hideMark/>
          </w:tcPr>
          <w:p w14:paraId="08D27D16" w14:textId="77777777" w:rsidR="00FF3923" w:rsidRPr="00FF3923" w:rsidRDefault="00FF3923" w:rsidP="00FF3923">
            <w:pPr>
              <w:pStyle w:val="NoSpacing"/>
              <w:rPr>
                <w:sz w:val="18"/>
                <w:szCs w:val="18"/>
                <w:lang w:val="en-US"/>
              </w:rPr>
            </w:pPr>
            <w:r w:rsidRPr="00FF3923">
              <w:rPr>
                <w:sz w:val="18"/>
                <w:szCs w:val="18"/>
                <w:lang w:val="en-US"/>
              </w:rPr>
              <w:t>Anexo 3</w:t>
            </w:r>
          </w:p>
        </w:tc>
        <w:tc>
          <w:tcPr>
            <w:tcW w:w="2722" w:type="dxa"/>
            <w:tcBorders>
              <w:top w:val="nil"/>
              <w:left w:val="nil"/>
              <w:bottom w:val="single" w:sz="4" w:space="0" w:color="auto"/>
              <w:right w:val="single" w:sz="4" w:space="0" w:color="auto"/>
            </w:tcBorders>
            <w:noWrap/>
            <w:vAlign w:val="bottom"/>
            <w:hideMark/>
          </w:tcPr>
          <w:p w14:paraId="0E1560C1" w14:textId="77777777" w:rsidR="00FF3923" w:rsidRPr="00FF3923" w:rsidRDefault="00FF3923" w:rsidP="00FF3923">
            <w:pPr>
              <w:pStyle w:val="NoSpacing"/>
              <w:rPr>
                <w:sz w:val="18"/>
                <w:szCs w:val="18"/>
                <w:lang w:val="en-US"/>
              </w:rPr>
            </w:pPr>
            <w:r w:rsidRPr="00FF3923">
              <w:rPr>
                <w:sz w:val="18"/>
                <w:szCs w:val="18"/>
                <w:lang w:val="en-US"/>
              </w:rPr>
              <w:t>#REF!</w:t>
            </w:r>
          </w:p>
        </w:tc>
        <w:tc>
          <w:tcPr>
            <w:tcW w:w="826" w:type="dxa"/>
            <w:tcBorders>
              <w:top w:val="nil"/>
              <w:left w:val="nil"/>
              <w:bottom w:val="single" w:sz="4" w:space="0" w:color="auto"/>
              <w:right w:val="single" w:sz="4" w:space="0" w:color="auto"/>
            </w:tcBorders>
            <w:vAlign w:val="bottom"/>
            <w:hideMark/>
          </w:tcPr>
          <w:p w14:paraId="652D8296" w14:textId="77777777" w:rsidR="00FF3923" w:rsidRPr="00FF3923" w:rsidRDefault="00FF3923" w:rsidP="00FF3923">
            <w:pPr>
              <w:pStyle w:val="NoSpacing"/>
              <w:rPr>
                <w:sz w:val="18"/>
                <w:szCs w:val="18"/>
                <w:lang w:val="en-US"/>
              </w:rPr>
            </w:pPr>
            <w:r w:rsidRPr="00FF3923">
              <w:rPr>
                <w:sz w:val="18"/>
                <w:szCs w:val="18"/>
                <w:lang w:val="en-US"/>
              </w:rPr>
              <w:t>$M.N.</w:t>
            </w:r>
          </w:p>
        </w:tc>
        <w:tc>
          <w:tcPr>
            <w:tcW w:w="1529" w:type="dxa"/>
            <w:tcBorders>
              <w:top w:val="nil"/>
              <w:left w:val="nil"/>
              <w:bottom w:val="single" w:sz="4" w:space="0" w:color="auto"/>
              <w:right w:val="single" w:sz="4" w:space="0" w:color="auto"/>
            </w:tcBorders>
            <w:noWrap/>
            <w:vAlign w:val="bottom"/>
            <w:hideMark/>
          </w:tcPr>
          <w:p w14:paraId="1DF7905B" w14:textId="77777777" w:rsidR="00FF3923" w:rsidRPr="00FF3923" w:rsidRDefault="00FF3923" w:rsidP="00FF3923">
            <w:pPr>
              <w:pStyle w:val="NoSpacing"/>
              <w:rPr>
                <w:sz w:val="18"/>
                <w:szCs w:val="18"/>
                <w:lang w:val="en-US"/>
              </w:rPr>
            </w:pPr>
            <w:r w:rsidRPr="00FF3923">
              <w:rPr>
                <w:sz w:val="18"/>
                <w:szCs w:val="18"/>
                <w:lang w:val="en-US"/>
              </w:rPr>
              <w:t xml:space="preserve">        3,005,996,901 </w:t>
            </w:r>
          </w:p>
        </w:tc>
        <w:tc>
          <w:tcPr>
            <w:tcW w:w="1532" w:type="dxa"/>
            <w:tcBorders>
              <w:top w:val="nil"/>
              <w:left w:val="nil"/>
              <w:bottom w:val="single" w:sz="4" w:space="0" w:color="auto"/>
              <w:right w:val="single" w:sz="4" w:space="0" w:color="auto"/>
            </w:tcBorders>
            <w:noWrap/>
            <w:vAlign w:val="bottom"/>
            <w:hideMark/>
          </w:tcPr>
          <w:p w14:paraId="3D69C10F" w14:textId="77777777" w:rsidR="00FF3923" w:rsidRPr="00FF3923" w:rsidRDefault="00FF3923" w:rsidP="00FF3923">
            <w:pPr>
              <w:pStyle w:val="NoSpacing"/>
              <w:rPr>
                <w:sz w:val="18"/>
                <w:szCs w:val="18"/>
                <w:lang w:val="en-US"/>
              </w:rPr>
            </w:pPr>
            <w:r w:rsidRPr="00FF3923">
              <w:rPr>
                <w:sz w:val="18"/>
                <w:szCs w:val="18"/>
                <w:lang w:val="en-US"/>
              </w:rPr>
              <w:t xml:space="preserve">-         1,148,402,607 </w:t>
            </w:r>
          </w:p>
        </w:tc>
        <w:tc>
          <w:tcPr>
            <w:tcW w:w="1423" w:type="dxa"/>
            <w:tcBorders>
              <w:top w:val="nil"/>
              <w:left w:val="nil"/>
              <w:bottom w:val="single" w:sz="4" w:space="0" w:color="auto"/>
              <w:right w:val="single" w:sz="4" w:space="0" w:color="auto"/>
            </w:tcBorders>
            <w:noWrap/>
            <w:vAlign w:val="bottom"/>
            <w:hideMark/>
          </w:tcPr>
          <w:p w14:paraId="1D2039AA" w14:textId="77777777" w:rsidR="00FF3923" w:rsidRPr="00FF3923" w:rsidRDefault="00FF3923" w:rsidP="00FF3923">
            <w:pPr>
              <w:pStyle w:val="NoSpacing"/>
              <w:rPr>
                <w:sz w:val="18"/>
                <w:szCs w:val="18"/>
                <w:lang w:val="en-US"/>
              </w:rPr>
            </w:pPr>
            <w:r w:rsidRPr="00FF3923">
              <w:rPr>
                <w:sz w:val="18"/>
                <w:szCs w:val="18"/>
                <w:lang w:val="en-US"/>
              </w:rPr>
              <w:t xml:space="preserve">-   4,154,399,507 </w:t>
            </w:r>
          </w:p>
        </w:tc>
        <w:tc>
          <w:tcPr>
            <w:tcW w:w="1826" w:type="dxa"/>
            <w:tcBorders>
              <w:top w:val="nil"/>
              <w:left w:val="nil"/>
              <w:bottom w:val="single" w:sz="4" w:space="0" w:color="auto"/>
              <w:right w:val="single" w:sz="4" w:space="0" w:color="auto"/>
            </w:tcBorders>
            <w:noWrap/>
            <w:vAlign w:val="bottom"/>
            <w:hideMark/>
          </w:tcPr>
          <w:p w14:paraId="7850E0BB" w14:textId="77777777" w:rsidR="00FF3923" w:rsidRPr="00FF3923" w:rsidRDefault="00FF3923" w:rsidP="00FF3923">
            <w:pPr>
              <w:pStyle w:val="NoSpacing"/>
              <w:rPr>
                <w:sz w:val="18"/>
                <w:szCs w:val="18"/>
                <w:lang w:val="en-US"/>
              </w:rPr>
            </w:pPr>
            <w:r w:rsidRPr="00FF3923">
              <w:rPr>
                <w:sz w:val="18"/>
                <w:szCs w:val="18"/>
                <w:lang w:val="en-US"/>
              </w:rPr>
              <w:t>-138%</w:t>
            </w:r>
          </w:p>
        </w:tc>
      </w:tr>
      <w:tr w:rsidR="00FF3923" w:rsidRPr="00FF3923" w14:paraId="7E7D8C0C" w14:textId="77777777" w:rsidTr="00FF3923">
        <w:trPr>
          <w:trHeight w:val="173"/>
        </w:trPr>
        <w:tc>
          <w:tcPr>
            <w:tcW w:w="860" w:type="dxa"/>
            <w:tcBorders>
              <w:top w:val="nil"/>
              <w:left w:val="nil"/>
              <w:bottom w:val="nil"/>
              <w:right w:val="nil"/>
            </w:tcBorders>
            <w:noWrap/>
            <w:vAlign w:val="bottom"/>
            <w:hideMark/>
          </w:tcPr>
          <w:p w14:paraId="5DA03451" w14:textId="77777777" w:rsidR="00FF3923" w:rsidRPr="00FF3923" w:rsidRDefault="00FF3923" w:rsidP="00FF3923">
            <w:pPr>
              <w:pStyle w:val="NoSpacing"/>
              <w:rPr>
                <w:sz w:val="18"/>
                <w:szCs w:val="18"/>
                <w:lang w:val="en-US"/>
              </w:rPr>
            </w:pPr>
          </w:p>
        </w:tc>
        <w:tc>
          <w:tcPr>
            <w:tcW w:w="2722" w:type="dxa"/>
            <w:tcBorders>
              <w:top w:val="nil"/>
              <w:left w:val="nil"/>
              <w:bottom w:val="nil"/>
              <w:right w:val="nil"/>
            </w:tcBorders>
            <w:noWrap/>
            <w:vAlign w:val="bottom"/>
            <w:hideMark/>
          </w:tcPr>
          <w:p w14:paraId="66040275" w14:textId="77777777" w:rsidR="00FF3923" w:rsidRPr="00FF3923" w:rsidRDefault="00FF3923" w:rsidP="00FF3923">
            <w:pPr>
              <w:pStyle w:val="NoSpacing"/>
              <w:rPr>
                <w:sz w:val="18"/>
                <w:szCs w:val="18"/>
                <w:lang w:val="en-US"/>
              </w:rPr>
            </w:pPr>
          </w:p>
        </w:tc>
        <w:tc>
          <w:tcPr>
            <w:tcW w:w="826" w:type="dxa"/>
            <w:tcBorders>
              <w:top w:val="nil"/>
              <w:left w:val="nil"/>
              <w:bottom w:val="nil"/>
              <w:right w:val="nil"/>
            </w:tcBorders>
            <w:noWrap/>
            <w:vAlign w:val="bottom"/>
            <w:hideMark/>
          </w:tcPr>
          <w:p w14:paraId="42DF2615" w14:textId="77777777" w:rsidR="00FF3923" w:rsidRPr="00FF3923" w:rsidRDefault="00FF3923" w:rsidP="00FF3923">
            <w:pPr>
              <w:pStyle w:val="NoSpacing"/>
              <w:rPr>
                <w:sz w:val="18"/>
                <w:szCs w:val="18"/>
                <w:lang w:val="en-US"/>
              </w:rPr>
            </w:pPr>
          </w:p>
        </w:tc>
        <w:tc>
          <w:tcPr>
            <w:tcW w:w="1529" w:type="dxa"/>
            <w:tcBorders>
              <w:top w:val="nil"/>
              <w:left w:val="nil"/>
              <w:bottom w:val="nil"/>
              <w:right w:val="nil"/>
            </w:tcBorders>
            <w:noWrap/>
            <w:vAlign w:val="bottom"/>
            <w:hideMark/>
          </w:tcPr>
          <w:p w14:paraId="05C4DCD5" w14:textId="77777777" w:rsidR="00FF3923" w:rsidRPr="00FF3923" w:rsidRDefault="00FF3923" w:rsidP="00FF3923">
            <w:pPr>
              <w:pStyle w:val="NoSpacing"/>
              <w:rPr>
                <w:sz w:val="18"/>
                <w:szCs w:val="18"/>
                <w:lang w:val="en-US"/>
              </w:rPr>
            </w:pPr>
          </w:p>
        </w:tc>
        <w:tc>
          <w:tcPr>
            <w:tcW w:w="1532" w:type="dxa"/>
            <w:tcBorders>
              <w:top w:val="nil"/>
              <w:left w:val="nil"/>
              <w:bottom w:val="nil"/>
              <w:right w:val="nil"/>
            </w:tcBorders>
            <w:noWrap/>
            <w:vAlign w:val="bottom"/>
            <w:hideMark/>
          </w:tcPr>
          <w:p w14:paraId="6C588BC0" w14:textId="77777777" w:rsidR="00FF3923" w:rsidRPr="00FF3923" w:rsidRDefault="00FF3923" w:rsidP="00FF3923">
            <w:pPr>
              <w:pStyle w:val="NoSpacing"/>
              <w:rPr>
                <w:sz w:val="18"/>
                <w:szCs w:val="18"/>
                <w:lang w:val="en-US"/>
              </w:rPr>
            </w:pPr>
          </w:p>
        </w:tc>
        <w:tc>
          <w:tcPr>
            <w:tcW w:w="1423" w:type="dxa"/>
            <w:tcBorders>
              <w:top w:val="nil"/>
              <w:left w:val="nil"/>
              <w:bottom w:val="nil"/>
              <w:right w:val="nil"/>
            </w:tcBorders>
            <w:noWrap/>
            <w:vAlign w:val="bottom"/>
            <w:hideMark/>
          </w:tcPr>
          <w:p w14:paraId="1BF643AE" w14:textId="77777777" w:rsidR="00FF3923" w:rsidRPr="00FF3923" w:rsidRDefault="00FF3923" w:rsidP="00FF3923">
            <w:pPr>
              <w:pStyle w:val="NoSpacing"/>
              <w:rPr>
                <w:sz w:val="18"/>
                <w:szCs w:val="18"/>
                <w:lang w:val="en-US"/>
              </w:rPr>
            </w:pPr>
          </w:p>
        </w:tc>
        <w:tc>
          <w:tcPr>
            <w:tcW w:w="1826" w:type="dxa"/>
            <w:tcBorders>
              <w:top w:val="nil"/>
              <w:left w:val="nil"/>
              <w:bottom w:val="nil"/>
              <w:right w:val="nil"/>
            </w:tcBorders>
            <w:noWrap/>
            <w:vAlign w:val="bottom"/>
            <w:hideMark/>
          </w:tcPr>
          <w:p w14:paraId="518F38A9" w14:textId="77777777" w:rsidR="00FF3923" w:rsidRPr="00FF3923" w:rsidRDefault="00FF3923" w:rsidP="00FF3923">
            <w:pPr>
              <w:pStyle w:val="NoSpacing"/>
              <w:rPr>
                <w:sz w:val="18"/>
                <w:szCs w:val="18"/>
                <w:lang w:val="en-US"/>
              </w:rPr>
            </w:pPr>
          </w:p>
        </w:tc>
      </w:tr>
      <w:tr w:rsidR="00FF3923" w:rsidRPr="00FF3923" w14:paraId="1D5C9EEB" w14:textId="77777777" w:rsidTr="00FF3923">
        <w:trPr>
          <w:trHeight w:val="173"/>
        </w:trPr>
        <w:tc>
          <w:tcPr>
            <w:tcW w:w="860" w:type="dxa"/>
            <w:tcBorders>
              <w:top w:val="nil"/>
              <w:left w:val="nil"/>
              <w:bottom w:val="nil"/>
              <w:right w:val="nil"/>
            </w:tcBorders>
            <w:noWrap/>
            <w:vAlign w:val="bottom"/>
            <w:hideMark/>
          </w:tcPr>
          <w:p w14:paraId="3172B4B4" w14:textId="77777777" w:rsidR="00FF3923" w:rsidRPr="00FF3923" w:rsidRDefault="00FF3923" w:rsidP="00FF3923">
            <w:pPr>
              <w:pStyle w:val="NoSpacing"/>
              <w:rPr>
                <w:sz w:val="18"/>
                <w:szCs w:val="18"/>
                <w:lang w:val="en-US"/>
              </w:rPr>
            </w:pPr>
          </w:p>
        </w:tc>
        <w:tc>
          <w:tcPr>
            <w:tcW w:w="2722" w:type="dxa"/>
            <w:tcBorders>
              <w:top w:val="nil"/>
              <w:left w:val="nil"/>
              <w:bottom w:val="nil"/>
              <w:right w:val="nil"/>
            </w:tcBorders>
            <w:noWrap/>
            <w:vAlign w:val="bottom"/>
            <w:hideMark/>
          </w:tcPr>
          <w:p w14:paraId="188B191C" w14:textId="77777777" w:rsidR="00FF3923" w:rsidRPr="00FF3923" w:rsidRDefault="00FF3923" w:rsidP="00FF3923">
            <w:pPr>
              <w:pStyle w:val="NoSpacing"/>
              <w:rPr>
                <w:sz w:val="18"/>
                <w:szCs w:val="18"/>
                <w:lang w:val="en-US"/>
              </w:rPr>
            </w:pPr>
          </w:p>
        </w:tc>
        <w:tc>
          <w:tcPr>
            <w:tcW w:w="826" w:type="dxa"/>
            <w:tcBorders>
              <w:top w:val="nil"/>
              <w:left w:val="nil"/>
              <w:bottom w:val="nil"/>
              <w:right w:val="nil"/>
            </w:tcBorders>
            <w:noWrap/>
            <w:vAlign w:val="bottom"/>
            <w:hideMark/>
          </w:tcPr>
          <w:p w14:paraId="2B4F1819" w14:textId="77777777" w:rsidR="00FF3923" w:rsidRPr="00FF3923" w:rsidRDefault="00FF3923" w:rsidP="00FF3923">
            <w:pPr>
              <w:pStyle w:val="NoSpacing"/>
              <w:rPr>
                <w:sz w:val="18"/>
                <w:szCs w:val="18"/>
                <w:lang w:val="en-US"/>
              </w:rPr>
            </w:pPr>
          </w:p>
        </w:tc>
        <w:tc>
          <w:tcPr>
            <w:tcW w:w="1529" w:type="dxa"/>
            <w:tcBorders>
              <w:top w:val="nil"/>
              <w:left w:val="nil"/>
              <w:bottom w:val="nil"/>
              <w:right w:val="nil"/>
            </w:tcBorders>
            <w:noWrap/>
            <w:vAlign w:val="bottom"/>
            <w:hideMark/>
          </w:tcPr>
          <w:p w14:paraId="145C3128" w14:textId="77777777" w:rsidR="00FF3923" w:rsidRPr="00FF3923" w:rsidRDefault="00FF3923" w:rsidP="00FF3923">
            <w:pPr>
              <w:pStyle w:val="NoSpacing"/>
              <w:rPr>
                <w:sz w:val="18"/>
                <w:szCs w:val="18"/>
                <w:lang w:val="en-US"/>
              </w:rPr>
            </w:pPr>
          </w:p>
        </w:tc>
        <w:tc>
          <w:tcPr>
            <w:tcW w:w="1532" w:type="dxa"/>
            <w:tcBorders>
              <w:top w:val="nil"/>
              <w:left w:val="nil"/>
              <w:bottom w:val="nil"/>
              <w:right w:val="nil"/>
            </w:tcBorders>
            <w:noWrap/>
            <w:vAlign w:val="bottom"/>
            <w:hideMark/>
          </w:tcPr>
          <w:p w14:paraId="2FD6763E" w14:textId="77777777" w:rsidR="00FF3923" w:rsidRPr="00FF3923" w:rsidRDefault="00FF3923" w:rsidP="00FF3923">
            <w:pPr>
              <w:pStyle w:val="NoSpacing"/>
              <w:rPr>
                <w:sz w:val="18"/>
                <w:szCs w:val="18"/>
                <w:lang w:val="en-US"/>
              </w:rPr>
            </w:pPr>
          </w:p>
        </w:tc>
        <w:tc>
          <w:tcPr>
            <w:tcW w:w="1423" w:type="dxa"/>
            <w:tcBorders>
              <w:top w:val="nil"/>
              <w:left w:val="nil"/>
              <w:bottom w:val="nil"/>
              <w:right w:val="nil"/>
            </w:tcBorders>
            <w:noWrap/>
            <w:vAlign w:val="bottom"/>
            <w:hideMark/>
          </w:tcPr>
          <w:p w14:paraId="5182F087" w14:textId="77777777" w:rsidR="00FF3923" w:rsidRPr="00FF3923" w:rsidRDefault="00FF3923" w:rsidP="00FF3923">
            <w:pPr>
              <w:pStyle w:val="NoSpacing"/>
              <w:rPr>
                <w:sz w:val="18"/>
                <w:szCs w:val="18"/>
                <w:lang w:val="en-US"/>
              </w:rPr>
            </w:pPr>
          </w:p>
        </w:tc>
        <w:tc>
          <w:tcPr>
            <w:tcW w:w="1826" w:type="dxa"/>
            <w:tcBorders>
              <w:top w:val="nil"/>
              <w:left w:val="nil"/>
              <w:bottom w:val="nil"/>
              <w:right w:val="nil"/>
            </w:tcBorders>
            <w:noWrap/>
            <w:vAlign w:val="bottom"/>
            <w:hideMark/>
          </w:tcPr>
          <w:p w14:paraId="27525A3D" w14:textId="77777777" w:rsidR="00FF3923" w:rsidRPr="00FF3923" w:rsidRDefault="00FF3923" w:rsidP="00FF3923">
            <w:pPr>
              <w:pStyle w:val="NoSpacing"/>
              <w:rPr>
                <w:sz w:val="18"/>
                <w:szCs w:val="18"/>
                <w:lang w:val="en-US"/>
              </w:rPr>
            </w:pPr>
          </w:p>
        </w:tc>
      </w:tr>
      <w:tr w:rsidR="00FF3923" w:rsidRPr="00FF3923" w14:paraId="6AD46DCD" w14:textId="77777777" w:rsidTr="00FF3923">
        <w:trPr>
          <w:trHeight w:val="974"/>
        </w:trPr>
        <w:tc>
          <w:tcPr>
            <w:tcW w:w="10718" w:type="dxa"/>
            <w:gridSpan w:val="7"/>
            <w:tcBorders>
              <w:top w:val="nil"/>
              <w:left w:val="nil"/>
              <w:bottom w:val="nil"/>
              <w:right w:val="nil"/>
            </w:tcBorders>
            <w:vAlign w:val="center"/>
            <w:hideMark/>
          </w:tcPr>
          <w:p w14:paraId="05495F29" w14:textId="77777777" w:rsidR="00FF3923" w:rsidRPr="00FF3923" w:rsidRDefault="00FF3923" w:rsidP="00FF3923">
            <w:pPr>
              <w:pStyle w:val="NoSpacing"/>
              <w:rPr>
                <w:sz w:val="18"/>
                <w:szCs w:val="18"/>
              </w:rPr>
            </w:pPr>
            <w:r w:rsidRPr="00FF3923">
              <w:rPr>
                <w:sz w:val="18"/>
                <w:szCs w:val="18"/>
              </w:rPr>
              <w:t xml:space="preserve">LA INFORMACION CONTENIDA EN ESTE ARCHIVO/CUADRO ES CONSIDERADA INFORMACION CONFIDENCIAL </w:t>
            </w:r>
            <w:proofErr w:type="gramStart"/>
            <w:r w:rsidRPr="00FF3923">
              <w:rPr>
                <w:sz w:val="18"/>
                <w:szCs w:val="18"/>
              </w:rPr>
              <w:t>DE ACUERDO AL</w:t>
            </w:r>
            <w:proofErr w:type="gramEnd"/>
            <w:r w:rsidRPr="00FF3923">
              <w:rPr>
                <w:sz w:val="18"/>
                <w:szCs w:val="18"/>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EMPRESA.SE HA MULTIPLICADO POR UN NUMERO MENOR O IGUAL A 100 PARA FACILIDAD DE LECTURA</w:t>
            </w:r>
          </w:p>
        </w:tc>
      </w:tr>
    </w:tbl>
    <w:p w14:paraId="131E9EAF" w14:textId="77777777" w:rsidR="00DD69F5" w:rsidRDefault="00DD69F5">
      <w:pPr>
        <w:rPr>
          <w:rFonts w:ascii="Calibri" w:hAnsi="Calibri" w:cs="Calibri"/>
          <w:sz w:val="24"/>
          <w:szCs w:val="24"/>
        </w:rPr>
      </w:pPr>
    </w:p>
    <w:sectPr w:rsidR="00DD69F5" w:rsidSect="003F5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C5B2" w14:textId="77777777" w:rsidR="00FE676B" w:rsidRDefault="00FE676B" w:rsidP="00FE676B">
      <w:pPr>
        <w:spacing w:after="0" w:line="240" w:lineRule="auto"/>
      </w:pPr>
      <w:r>
        <w:separator/>
      </w:r>
    </w:p>
  </w:endnote>
  <w:endnote w:type="continuationSeparator" w:id="0">
    <w:p w14:paraId="1B78C940" w14:textId="77777777" w:rsidR="00FE676B" w:rsidRDefault="00FE676B" w:rsidP="00FE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7B5E" w14:textId="77777777" w:rsidR="00FE676B" w:rsidRDefault="00FE676B" w:rsidP="00FE676B">
      <w:pPr>
        <w:spacing w:after="0" w:line="240" w:lineRule="auto"/>
      </w:pPr>
      <w:r>
        <w:separator/>
      </w:r>
    </w:p>
  </w:footnote>
  <w:footnote w:type="continuationSeparator" w:id="0">
    <w:p w14:paraId="52542EB0" w14:textId="77777777" w:rsidR="00FE676B" w:rsidRDefault="00FE676B" w:rsidP="00FE676B">
      <w:pPr>
        <w:spacing w:after="0" w:line="240" w:lineRule="auto"/>
      </w:pPr>
      <w:r>
        <w:continuationSeparator/>
      </w:r>
    </w:p>
  </w:footnote>
  <w:footnote w:id="1">
    <w:p w14:paraId="75FC283E" w14:textId="7C376CF1" w:rsidR="008C7C42" w:rsidRPr="008C7C42" w:rsidRDefault="00FE676B" w:rsidP="008C7C42">
      <w:pPr>
        <w:spacing w:after="0" w:line="240" w:lineRule="auto"/>
        <w:rPr>
          <w:rFonts w:ascii="Calibri" w:eastAsia="Times New Roman" w:hAnsi="Calibri" w:cs="Calibri"/>
          <w:color w:val="000000"/>
          <w:sz w:val="18"/>
          <w:szCs w:val="18"/>
        </w:rPr>
      </w:pPr>
      <w:r>
        <w:rPr>
          <w:rStyle w:val="FootnoteReference"/>
        </w:rPr>
        <w:footnoteRef/>
      </w:r>
      <w:r>
        <w:t xml:space="preserve"> </w:t>
      </w:r>
      <w:r w:rsidR="008C7C42" w:rsidRPr="008C7C42">
        <w:rPr>
          <w:rFonts w:ascii="Calibri" w:eastAsia="Times New Roman" w:hAnsi="Calibri" w:cs="Calibri"/>
          <w:color w:val="000000"/>
          <w:sz w:val="18"/>
          <w:szCs w:val="18"/>
        </w:rPr>
        <w:t xml:space="preserve">LA INFORMACION CONTENIDA EN ESTE ARCHIVO/CUADRO ES CONSIDERADA INFORMACION CONFIDENCIAL </w:t>
      </w:r>
      <w:proofErr w:type="gramStart"/>
      <w:r w:rsidR="008C7C42" w:rsidRPr="008C7C42">
        <w:rPr>
          <w:rFonts w:ascii="Calibri" w:eastAsia="Times New Roman" w:hAnsi="Calibri" w:cs="Calibri"/>
          <w:color w:val="000000"/>
          <w:sz w:val="18"/>
          <w:szCs w:val="18"/>
        </w:rPr>
        <w:t>DE ACUERDO AL</w:t>
      </w:r>
      <w:proofErr w:type="gramEnd"/>
      <w:r w:rsidR="008C7C42" w:rsidRPr="008C7C42">
        <w:rPr>
          <w:rFonts w:ascii="Calibri" w:eastAsia="Times New Roman" w:hAnsi="Calibri" w:cs="Calibri"/>
          <w:color w:val="000000"/>
          <w:sz w:val="18"/>
          <w:szCs w:val="18"/>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EMPRESA.SE HA MULTIPLICADO POR UN NUMERO MENOR O IGUAL A 100 PARA FACILIDAD DE LECTURA</w:t>
      </w:r>
    </w:p>
    <w:p w14:paraId="0EF4B331" w14:textId="3CA3098B" w:rsidR="00FE676B" w:rsidRPr="008C7C42" w:rsidRDefault="00FE676B">
      <w:pPr>
        <w:pStyle w:val="FootnoteText"/>
      </w:pPr>
    </w:p>
  </w:footnote>
  <w:footnote w:id="2">
    <w:p w14:paraId="20F47908" w14:textId="3F5F6E81" w:rsidR="00C81976" w:rsidRPr="008C7C42" w:rsidRDefault="00C81976">
      <w:pPr>
        <w:pStyle w:val="FootnoteText"/>
      </w:pPr>
      <w:r>
        <w:rPr>
          <w:rStyle w:val="FootnoteReference"/>
        </w:rPr>
        <w:footnoteRef/>
      </w:r>
      <w:r>
        <w:t xml:space="preserve"> </w:t>
      </w:r>
      <w:r w:rsidR="008C7C42">
        <w:t>Ver nota 1</w:t>
      </w:r>
    </w:p>
  </w:footnote>
  <w:footnote w:id="3">
    <w:p w14:paraId="644465FD" w14:textId="1929D76A" w:rsidR="005672A0" w:rsidRPr="00304FA6" w:rsidRDefault="005672A0">
      <w:pPr>
        <w:pStyle w:val="FootnoteText"/>
      </w:pPr>
      <w:r>
        <w:rPr>
          <w:rStyle w:val="FootnoteReference"/>
        </w:rPr>
        <w:footnoteRef/>
      </w:r>
      <w:r>
        <w:t xml:space="preserve"> </w:t>
      </w:r>
    </w:p>
  </w:footnote>
  <w:footnote w:id="4">
    <w:p w14:paraId="0872D02F" w14:textId="0C1DC7A3" w:rsidR="00380E23" w:rsidRPr="008C7C42" w:rsidRDefault="00380E23">
      <w:pPr>
        <w:pStyle w:val="FootnoteText"/>
      </w:pPr>
      <w:r>
        <w:rPr>
          <w:rStyle w:val="FootnoteReference"/>
        </w:rPr>
        <w:footnoteRef/>
      </w:r>
      <w:r>
        <w:t xml:space="preserve"> </w:t>
      </w:r>
      <w:r w:rsidR="008C7C42">
        <w:t>Ver nota 1</w:t>
      </w:r>
    </w:p>
  </w:footnote>
  <w:footnote w:id="5">
    <w:p w14:paraId="521C68D0" w14:textId="0CA5B1D1" w:rsidR="00304FA6" w:rsidRPr="00304FA6" w:rsidRDefault="00304FA6">
      <w:pPr>
        <w:pStyle w:val="FootnoteText"/>
      </w:pPr>
      <w:r>
        <w:rPr>
          <w:rStyle w:val="FootnoteReference"/>
        </w:rPr>
        <w:footnoteRef/>
      </w:r>
      <w:r>
        <w:t xml:space="preserve"> </w:t>
      </w:r>
    </w:p>
  </w:footnote>
  <w:footnote w:id="6">
    <w:p w14:paraId="5DDBB444" w14:textId="0EB9E3AC" w:rsidR="00E22C8D" w:rsidRPr="00E22C8D" w:rsidRDefault="00E22C8D">
      <w:pPr>
        <w:pStyle w:val="FootnoteText"/>
      </w:pPr>
      <w:r>
        <w:rPr>
          <w:rStyle w:val="FootnoteReference"/>
        </w:rPr>
        <w:footnoteRef/>
      </w:r>
      <w:r>
        <w:t xml:space="preserve"> </w:t>
      </w:r>
    </w:p>
  </w:footnote>
  <w:footnote w:id="7">
    <w:p w14:paraId="1A4DF6FE" w14:textId="455AD4AE" w:rsidR="000B474B" w:rsidRPr="000B474B" w:rsidRDefault="000B474B">
      <w:pPr>
        <w:pStyle w:val="FootnoteText"/>
      </w:pPr>
      <w:r>
        <w:rPr>
          <w:rStyle w:val="FootnoteReference"/>
        </w:rPr>
        <w:footnoteRef/>
      </w:r>
      <w:r>
        <w:t xml:space="preserve"> </w:t>
      </w:r>
    </w:p>
  </w:footnote>
  <w:footnote w:id="8">
    <w:p w14:paraId="089C4551" w14:textId="413A47F8" w:rsidR="00FF3923" w:rsidRPr="00FF3923" w:rsidRDefault="00FF3923">
      <w:pPr>
        <w:pStyle w:val="FootnoteText"/>
      </w:pPr>
      <w:r>
        <w:rPr>
          <w:rStyle w:val="FootnoteReference"/>
        </w:rPr>
        <w:footnoteRef/>
      </w:r>
      <w:r>
        <w:t xml:space="preserve"> </w:t>
      </w:r>
    </w:p>
  </w:footnote>
  <w:footnote w:id="9">
    <w:p w14:paraId="60BCE552" w14:textId="099F0BF7" w:rsidR="008C7C42" w:rsidRPr="008C7C42" w:rsidRDefault="006C4579" w:rsidP="008C7C42">
      <w:pPr>
        <w:spacing w:after="0" w:line="240" w:lineRule="auto"/>
        <w:rPr>
          <w:rFonts w:ascii="Calibri" w:eastAsia="Times New Roman" w:hAnsi="Calibri" w:cs="Calibri"/>
          <w:color w:val="000000"/>
          <w:sz w:val="18"/>
          <w:szCs w:val="18"/>
        </w:rPr>
      </w:pPr>
      <w:r>
        <w:rPr>
          <w:rStyle w:val="FootnoteReference"/>
        </w:rPr>
        <w:footnoteRef/>
      </w:r>
      <w:r>
        <w:t xml:space="preserve"> </w:t>
      </w:r>
      <w:r w:rsidR="008C7C42" w:rsidRPr="008C7C42">
        <w:rPr>
          <w:rFonts w:ascii="Calibri" w:eastAsia="Times New Roman" w:hAnsi="Calibri" w:cs="Calibri"/>
          <w:color w:val="000000"/>
          <w:sz w:val="18"/>
          <w:szCs w:val="18"/>
        </w:rPr>
        <w:t xml:space="preserve">LA INFORMACION CONTENIDA EN ESTE ARCHIVO/CUADRO ES CONSIDERADA INFORMACION CONFIDENCIAL </w:t>
      </w:r>
      <w:proofErr w:type="gramStart"/>
      <w:r w:rsidR="008C7C42" w:rsidRPr="008C7C42">
        <w:rPr>
          <w:rFonts w:ascii="Calibri" w:eastAsia="Times New Roman" w:hAnsi="Calibri" w:cs="Calibri"/>
          <w:color w:val="000000"/>
          <w:sz w:val="18"/>
          <w:szCs w:val="18"/>
        </w:rPr>
        <w:t>DE ACUERDO AL</w:t>
      </w:r>
      <w:proofErr w:type="gramEnd"/>
      <w:r w:rsidR="008C7C42" w:rsidRPr="008C7C42">
        <w:rPr>
          <w:rFonts w:ascii="Calibri" w:eastAsia="Times New Roman" w:hAnsi="Calibri" w:cs="Calibri"/>
          <w:color w:val="000000"/>
          <w:sz w:val="18"/>
          <w:szCs w:val="18"/>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EMPRESA.SE HA MULTIPLICADO POR UN NUMERO MENOR O IGUAL A 100 PARA FACILIDAD DE LECTURA</w:t>
      </w:r>
    </w:p>
    <w:p w14:paraId="66332F00" w14:textId="4AFEA8FF" w:rsidR="006C4579" w:rsidRPr="008C7C42" w:rsidRDefault="006C4579">
      <w:pPr>
        <w:pStyle w:val="FootnoteText"/>
      </w:pPr>
    </w:p>
  </w:footnote>
  <w:footnote w:id="10">
    <w:p w14:paraId="57A331E2" w14:textId="45A43118" w:rsidR="006C4579" w:rsidRPr="00D22384" w:rsidRDefault="006C4579">
      <w:pPr>
        <w:pStyle w:val="FootnoteText"/>
      </w:pPr>
      <w:r>
        <w:rPr>
          <w:rStyle w:val="FootnoteReference"/>
        </w:rPr>
        <w:footnoteRef/>
      </w:r>
      <w:r>
        <w:t xml:space="preserve"> </w:t>
      </w:r>
      <w:r w:rsidR="008C7C42">
        <w:t xml:space="preserve">Ver nota </w:t>
      </w:r>
      <w:r w:rsidR="00D22384">
        <w:t>4</w:t>
      </w:r>
    </w:p>
  </w:footnote>
  <w:footnote w:id="11">
    <w:p w14:paraId="43CF0BE2" w14:textId="7306970A" w:rsidR="004B0153" w:rsidRPr="00D22384" w:rsidRDefault="004B0153">
      <w:pPr>
        <w:pStyle w:val="FootnoteText"/>
      </w:pPr>
      <w:r>
        <w:rPr>
          <w:rStyle w:val="FootnoteReference"/>
        </w:rPr>
        <w:footnoteRef/>
      </w:r>
      <w:r>
        <w:t xml:space="preserve"> </w:t>
      </w:r>
      <w:r w:rsidR="00D22384">
        <w:t>Ver nota 4</w:t>
      </w:r>
    </w:p>
  </w:footnote>
  <w:footnote w:id="12">
    <w:p w14:paraId="1044C8EF" w14:textId="0A2A46EC" w:rsidR="004B0153" w:rsidRPr="00D22384" w:rsidRDefault="004B0153">
      <w:pPr>
        <w:pStyle w:val="FootnoteText"/>
      </w:pPr>
      <w:r>
        <w:rPr>
          <w:rStyle w:val="FootnoteReference"/>
        </w:rPr>
        <w:footnoteRef/>
      </w:r>
      <w:r>
        <w:t xml:space="preserve"> </w:t>
      </w:r>
      <w:r w:rsidR="00D22384">
        <w:t>Ver nota 4</w:t>
      </w:r>
    </w:p>
  </w:footnote>
  <w:footnote w:id="13">
    <w:p w14:paraId="6DF09AA2" w14:textId="43AF51EA" w:rsidR="00B026BF" w:rsidRPr="00D22384" w:rsidRDefault="00B026BF">
      <w:pPr>
        <w:pStyle w:val="FootnoteText"/>
      </w:pPr>
      <w:r>
        <w:rPr>
          <w:rStyle w:val="FootnoteReference"/>
        </w:rPr>
        <w:footnoteRef/>
      </w:r>
      <w:r>
        <w:t xml:space="preserve"> </w:t>
      </w:r>
      <w:r w:rsidR="00D22384">
        <w:t>Ver nota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4E6"/>
    <w:multiLevelType w:val="hybridMultilevel"/>
    <w:tmpl w:val="F36A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9539B"/>
    <w:multiLevelType w:val="multilevel"/>
    <w:tmpl w:val="63F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E1D8F"/>
    <w:multiLevelType w:val="multilevel"/>
    <w:tmpl w:val="781E9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C7C8A"/>
    <w:multiLevelType w:val="multilevel"/>
    <w:tmpl w:val="624EB6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53594082">
    <w:abstractNumId w:val="3"/>
  </w:num>
  <w:num w:numId="2" w16cid:durableId="542130728">
    <w:abstractNumId w:val="1"/>
  </w:num>
  <w:num w:numId="3" w16cid:durableId="133068074">
    <w:abstractNumId w:val="2"/>
  </w:num>
  <w:num w:numId="4" w16cid:durableId="102035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7"/>
    <w:rsid w:val="00023F9E"/>
    <w:rsid w:val="000B474B"/>
    <w:rsid w:val="001401D9"/>
    <w:rsid w:val="0022333B"/>
    <w:rsid w:val="00227403"/>
    <w:rsid w:val="00262082"/>
    <w:rsid w:val="002A1F0F"/>
    <w:rsid w:val="00304FA6"/>
    <w:rsid w:val="003333B1"/>
    <w:rsid w:val="00334F62"/>
    <w:rsid w:val="00380E23"/>
    <w:rsid w:val="003F56B0"/>
    <w:rsid w:val="003F72C8"/>
    <w:rsid w:val="00411FE0"/>
    <w:rsid w:val="00436BA7"/>
    <w:rsid w:val="004B0153"/>
    <w:rsid w:val="004C2083"/>
    <w:rsid w:val="005605E2"/>
    <w:rsid w:val="005672A0"/>
    <w:rsid w:val="005714A9"/>
    <w:rsid w:val="00573164"/>
    <w:rsid w:val="005B3BA0"/>
    <w:rsid w:val="00605F80"/>
    <w:rsid w:val="00631327"/>
    <w:rsid w:val="006C4579"/>
    <w:rsid w:val="00753446"/>
    <w:rsid w:val="007C1D9E"/>
    <w:rsid w:val="00864E07"/>
    <w:rsid w:val="00890DBD"/>
    <w:rsid w:val="008A2D63"/>
    <w:rsid w:val="008B6D7A"/>
    <w:rsid w:val="008C7C42"/>
    <w:rsid w:val="008D738D"/>
    <w:rsid w:val="008F3E77"/>
    <w:rsid w:val="00922F23"/>
    <w:rsid w:val="009B64BE"/>
    <w:rsid w:val="00A00477"/>
    <w:rsid w:val="00A4691D"/>
    <w:rsid w:val="00AE27F2"/>
    <w:rsid w:val="00B026BF"/>
    <w:rsid w:val="00C81976"/>
    <w:rsid w:val="00CA5FD6"/>
    <w:rsid w:val="00CD1992"/>
    <w:rsid w:val="00D22384"/>
    <w:rsid w:val="00D41CEC"/>
    <w:rsid w:val="00D65E03"/>
    <w:rsid w:val="00DA696F"/>
    <w:rsid w:val="00DD69F5"/>
    <w:rsid w:val="00DE39C4"/>
    <w:rsid w:val="00E06F5F"/>
    <w:rsid w:val="00E22C8D"/>
    <w:rsid w:val="00F71E83"/>
    <w:rsid w:val="00FD4B13"/>
    <w:rsid w:val="00FE6295"/>
    <w:rsid w:val="00FE676B"/>
    <w:rsid w:val="00FF3923"/>
    <w:rsid w:val="00FF5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BD89"/>
  <w15:chartTrackingRefBased/>
  <w15:docId w15:val="{E1D53B82-17AB-4E4B-A69A-BAAE1E05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77"/>
    <w:pPr>
      <w:spacing w:after="200" w:line="276" w:lineRule="auto"/>
    </w:pPr>
    <w:rPr>
      <w:kern w:val="0"/>
      <w14:ligatures w14:val="none"/>
    </w:rPr>
  </w:style>
  <w:style w:type="paragraph" w:styleId="Heading1">
    <w:name w:val="heading 1"/>
    <w:basedOn w:val="Normal"/>
    <w:next w:val="Normal"/>
    <w:link w:val="Heading1Char"/>
    <w:uiPriority w:val="9"/>
    <w:qFormat/>
    <w:rsid w:val="00A00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477"/>
    <w:rPr>
      <w:rFonts w:eastAsiaTheme="majorEastAsia" w:cstheme="majorBidi"/>
      <w:color w:val="272727" w:themeColor="text1" w:themeTint="D8"/>
    </w:rPr>
  </w:style>
  <w:style w:type="paragraph" w:styleId="Title">
    <w:name w:val="Title"/>
    <w:basedOn w:val="Normal"/>
    <w:next w:val="Normal"/>
    <w:link w:val="TitleChar"/>
    <w:uiPriority w:val="10"/>
    <w:qFormat/>
    <w:rsid w:val="00A0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477"/>
    <w:pPr>
      <w:spacing w:before="160"/>
      <w:jc w:val="center"/>
    </w:pPr>
    <w:rPr>
      <w:i/>
      <w:iCs/>
      <w:color w:val="404040" w:themeColor="text1" w:themeTint="BF"/>
    </w:rPr>
  </w:style>
  <w:style w:type="character" w:customStyle="1" w:styleId="QuoteChar">
    <w:name w:val="Quote Char"/>
    <w:basedOn w:val="DefaultParagraphFont"/>
    <w:link w:val="Quote"/>
    <w:uiPriority w:val="29"/>
    <w:rsid w:val="00A00477"/>
    <w:rPr>
      <w:i/>
      <w:iCs/>
      <w:color w:val="404040" w:themeColor="text1" w:themeTint="BF"/>
    </w:rPr>
  </w:style>
  <w:style w:type="paragraph" w:styleId="ListParagraph">
    <w:name w:val="List Paragraph"/>
    <w:basedOn w:val="Normal"/>
    <w:uiPriority w:val="34"/>
    <w:qFormat/>
    <w:rsid w:val="00A00477"/>
    <w:pPr>
      <w:ind w:left="720"/>
      <w:contextualSpacing/>
    </w:pPr>
  </w:style>
  <w:style w:type="character" w:styleId="IntenseEmphasis">
    <w:name w:val="Intense Emphasis"/>
    <w:basedOn w:val="DefaultParagraphFont"/>
    <w:uiPriority w:val="21"/>
    <w:qFormat/>
    <w:rsid w:val="00A00477"/>
    <w:rPr>
      <w:i/>
      <w:iCs/>
      <w:color w:val="0F4761" w:themeColor="accent1" w:themeShade="BF"/>
    </w:rPr>
  </w:style>
  <w:style w:type="paragraph" w:styleId="IntenseQuote">
    <w:name w:val="Intense Quote"/>
    <w:basedOn w:val="Normal"/>
    <w:next w:val="Normal"/>
    <w:link w:val="IntenseQuoteChar"/>
    <w:uiPriority w:val="30"/>
    <w:qFormat/>
    <w:rsid w:val="00A00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477"/>
    <w:rPr>
      <w:i/>
      <w:iCs/>
      <w:color w:val="0F4761" w:themeColor="accent1" w:themeShade="BF"/>
    </w:rPr>
  </w:style>
  <w:style w:type="character" w:styleId="IntenseReference">
    <w:name w:val="Intense Reference"/>
    <w:basedOn w:val="DefaultParagraphFont"/>
    <w:uiPriority w:val="32"/>
    <w:qFormat/>
    <w:rsid w:val="00A00477"/>
    <w:rPr>
      <w:b/>
      <w:bCs/>
      <w:smallCaps/>
      <w:color w:val="0F4761" w:themeColor="accent1" w:themeShade="BF"/>
      <w:spacing w:val="5"/>
    </w:rPr>
  </w:style>
  <w:style w:type="paragraph" w:styleId="FootnoteText">
    <w:name w:val="footnote text"/>
    <w:basedOn w:val="Normal"/>
    <w:link w:val="FootnoteTextChar"/>
    <w:uiPriority w:val="99"/>
    <w:semiHidden/>
    <w:unhideWhenUsed/>
    <w:rsid w:val="00FE6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76B"/>
    <w:rPr>
      <w:kern w:val="0"/>
      <w:sz w:val="20"/>
      <w:szCs w:val="20"/>
      <w14:ligatures w14:val="none"/>
    </w:rPr>
  </w:style>
  <w:style w:type="character" w:styleId="FootnoteReference">
    <w:name w:val="footnote reference"/>
    <w:basedOn w:val="DefaultParagraphFont"/>
    <w:uiPriority w:val="99"/>
    <w:semiHidden/>
    <w:unhideWhenUsed/>
    <w:rsid w:val="00FE676B"/>
    <w:rPr>
      <w:vertAlign w:val="superscript"/>
    </w:rPr>
  </w:style>
  <w:style w:type="paragraph" w:styleId="NoSpacing">
    <w:name w:val="No Spacing"/>
    <w:uiPriority w:val="1"/>
    <w:qFormat/>
    <w:rsid w:val="0057316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5D3A-41E9-4EFA-AF93-2D9C04D9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2809</Words>
  <Characters>16014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cp:lastPrinted>2025-09-02T19:02:00Z</cp:lastPrinted>
  <dcterms:created xsi:type="dcterms:W3CDTF">2025-09-15T16:15:00Z</dcterms:created>
  <dcterms:modified xsi:type="dcterms:W3CDTF">2025-09-15T16:15:00Z</dcterms:modified>
</cp:coreProperties>
</file>