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017B" w14:textId="77777777" w:rsidR="00A52CA9" w:rsidRDefault="00863FD0" w:rsidP="00863FD0">
      <w:pPr>
        <w:jc w:val="both"/>
        <w:rPr>
          <w:b/>
          <w:bCs/>
          <w:lang w:val="es-DO"/>
        </w:rPr>
      </w:pPr>
      <w:r w:rsidRPr="002534E8">
        <w:rPr>
          <w:b/>
          <w:bCs/>
          <w:lang w:val="es-DO"/>
        </w:rPr>
        <w:t>Análisis de la Relación Causal entre el Dumping y la Amenaza de Daño Material</w:t>
      </w:r>
      <w:r w:rsidR="00A52CA9">
        <w:rPr>
          <w:b/>
          <w:bCs/>
          <w:lang w:val="es-DO"/>
        </w:rPr>
        <w:t>.</w:t>
      </w:r>
    </w:p>
    <w:p w14:paraId="6924AAA9" w14:textId="5B8228A4" w:rsidR="00863FD0" w:rsidRPr="002534E8" w:rsidRDefault="00A52CA9" w:rsidP="00863FD0">
      <w:pPr>
        <w:jc w:val="both"/>
        <w:rPr>
          <w:b/>
          <w:bCs/>
          <w:lang w:val="es-DO"/>
        </w:rPr>
      </w:pPr>
      <w:r>
        <w:rPr>
          <w:b/>
          <w:bCs/>
          <w:lang w:val="es-DO"/>
        </w:rPr>
        <w:t>NO CONFIDENCIAL</w:t>
      </w:r>
    </w:p>
    <w:p w14:paraId="3EB40304" w14:textId="243C5DA7" w:rsidR="00863FD0" w:rsidRDefault="00863FD0" w:rsidP="00863FD0">
      <w:pPr>
        <w:jc w:val="both"/>
        <w:rPr>
          <w:lang w:val="es-DO"/>
        </w:rPr>
      </w:pPr>
      <w:r w:rsidRPr="002534E8">
        <w:rPr>
          <w:lang w:val="es-DO"/>
        </w:rPr>
        <w:t xml:space="preserve">Conforme al Artículo 3.5 del Acuerdo Relativo a la Aplicación del Artículo VI del GATT de 1994 (Acuerdo Antidumping de la OMC), esta sección demuestra, mediante una evaluación objetiva basada exclusivamente en los datos de los documentos proporcionados, la relación causal entre las importaciones de varillas desde Costa Rica, comercializadas con un margen de dumping del </w:t>
      </w:r>
      <w:r w:rsidR="007524B6" w:rsidRPr="007524B6">
        <w:rPr>
          <w:b/>
          <w:bCs/>
          <w:lang w:val="es-DO"/>
        </w:rPr>
        <w:t>17.5%</w:t>
      </w:r>
      <w:r w:rsidRPr="007524B6">
        <w:rPr>
          <w:b/>
          <w:bCs/>
          <w:lang w:val="es-DO"/>
        </w:rPr>
        <w:t>,</w:t>
      </w:r>
      <w:r w:rsidRPr="002534E8">
        <w:rPr>
          <w:lang w:val="es-DO"/>
        </w:rPr>
        <w:t xml:space="preserve"> y la amenaza de daño material inminente a la Rama de Producción Nacional (RPN) de varillas en la República Dominicana. El análisis integra pruebas económicas, examinando los efectos directos de las importaciones objeto de dumping y otros factores importantes para cumplir con el principio de no atribución.</w:t>
      </w:r>
    </w:p>
    <w:p w14:paraId="346F700A" w14:textId="77777777" w:rsidR="00932F6C" w:rsidRPr="002534E8" w:rsidRDefault="00932F6C" w:rsidP="00863FD0">
      <w:pPr>
        <w:jc w:val="both"/>
        <w:rPr>
          <w:lang w:val="es-DO"/>
        </w:rPr>
      </w:pPr>
    </w:p>
    <w:p w14:paraId="1AE48054" w14:textId="77777777" w:rsidR="00863FD0" w:rsidRPr="00932F6C" w:rsidRDefault="00863FD0" w:rsidP="00863FD0">
      <w:pPr>
        <w:pStyle w:val="ListParagraph"/>
        <w:numPr>
          <w:ilvl w:val="0"/>
          <w:numId w:val="11"/>
        </w:numPr>
        <w:spacing w:line="278" w:lineRule="auto"/>
        <w:jc w:val="both"/>
        <w:rPr>
          <w:b/>
          <w:bCs/>
          <w:sz w:val="24"/>
          <w:szCs w:val="24"/>
          <w:lang w:val="es-DO"/>
        </w:rPr>
      </w:pPr>
      <w:r w:rsidRPr="00932F6C">
        <w:rPr>
          <w:b/>
          <w:bCs/>
          <w:sz w:val="24"/>
          <w:szCs w:val="24"/>
          <w:lang w:val="es-DO"/>
        </w:rPr>
        <w:t>Evidencia de la Relación de Causalidad</w:t>
      </w:r>
    </w:p>
    <w:p w14:paraId="4B1BE21E" w14:textId="7C80C3F2" w:rsidR="00863FD0" w:rsidRPr="002534E8" w:rsidRDefault="00863FD0" w:rsidP="00863FD0">
      <w:pPr>
        <w:jc w:val="both"/>
        <w:rPr>
          <w:lang w:val="es-DO"/>
        </w:rPr>
      </w:pPr>
      <w:r w:rsidRPr="002534E8">
        <w:rPr>
          <w:lang w:val="es-DO"/>
        </w:rPr>
        <w:t xml:space="preserve">Las importaciones de varillas desde Costa Rica, con un margen de dumping del </w:t>
      </w:r>
      <w:r w:rsidR="007524B6" w:rsidRPr="007524B6">
        <w:rPr>
          <w:b/>
          <w:bCs/>
          <w:lang w:val="es-DO"/>
        </w:rPr>
        <w:t>17.5%</w:t>
      </w:r>
      <w:r w:rsidRPr="007524B6">
        <w:rPr>
          <w:b/>
          <w:bCs/>
          <w:lang w:val="es-DO"/>
        </w:rPr>
        <w:t>,</w:t>
      </w:r>
      <w:r w:rsidRPr="002534E8">
        <w:rPr>
          <w:lang w:val="es-DO"/>
        </w:rPr>
        <w:t xml:space="preserve"> son la causa determinante y directa de la amenaza de daño material a la RPN. La presencia consistente de material importado a precios de dumping permite a los importadores vender consistentemente por debajo de los precios nacionales, incrementando su participación de mercado y dificultando los ajustes de precios de la RPN para reflejar </w:t>
      </w:r>
      <w:r>
        <w:rPr>
          <w:lang w:val="es-DO"/>
        </w:rPr>
        <w:t xml:space="preserve">fluctuaciones </w:t>
      </w:r>
      <w:r w:rsidRPr="002534E8">
        <w:rPr>
          <w:lang w:val="es-DO"/>
        </w:rPr>
        <w:t>en costos. A continuación, se detallan los elementos que sustentan esta relación causal, incorporando las ventajas competitivas de Costa Rica:</w:t>
      </w:r>
    </w:p>
    <w:p w14:paraId="07BE7D4E" w14:textId="62A16B0A" w:rsidR="00863FD0" w:rsidRPr="002534E8" w:rsidRDefault="00987A83" w:rsidP="00863FD0">
      <w:pPr>
        <w:pStyle w:val="ListParagraph"/>
        <w:numPr>
          <w:ilvl w:val="0"/>
          <w:numId w:val="10"/>
        </w:numPr>
        <w:spacing w:line="278" w:lineRule="auto"/>
        <w:jc w:val="both"/>
        <w:rPr>
          <w:b/>
          <w:bCs/>
          <w:lang w:val="es-DO"/>
        </w:rPr>
      </w:pPr>
      <w:r>
        <w:rPr>
          <w:b/>
          <w:bCs/>
          <w:lang w:val="es-DO"/>
        </w:rPr>
        <w:t xml:space="preserve">Las importaciones de Costa Rica </w:t>
      </w:r>
      <w:r w:rsidR="00877E45">
        <w:rPr>
          <w:b/>
          <w:bCs/>
          <w:lang w:val="es-DO"/>
        </w:rPr>
        <w:t xml:space="preserve">aumentaron de forma significativa mientras tuvieron </w:t>
      </w:r>
      <w:r w:rsidR="008E063C">
        <w:rPr>
          <w:b/>
          <w:bCs/>
          <w:lang w:val="es-DO"/>
        </w:rPr>
        <w:t>una tarifa</w:t>
      </w:r>
      <w:r w:rsidR="00877E45">
        <w:rPr>
          <w:b/>
          <w:bCs/>
          <w:lang w:val="es-DO"/>
        </w:rPr>
        <w:t xml:space="preserve"> </w:t>
      </w:r>
      <w:proofErr w:type="gramStart"/>
      <w:r w:rsidR="00877E45">
        <w:rPr>
          <w:b/>
          <w:bCs/>
          <w:lang w:val="es-DO"/>
        </w:rPr>
        <w:t>antidumping,  son</w:t>
      </w:r>
      <w:proofErr w:type="gramEnd"/>
      <w:r w:rsidR="00877E45">
        <w:rPr>
          <w:b/>
          <w:bCs/>
          <w:lang w:val="es-DO"/>
        </w:rPr>
        <w:t xml:space="preserve"> dicha tarifa dichas importaciones están en aumento </w:t>
      </w:r>
    </w:p>
    <w:p w14:paraId="31D9DC19" w14:textId="77777777" w:rsidR="00863FD0" w:rsidRDefault="00863FD0" w:rsidP="00863FD0">
      <w:pPr>
        <w:jc w:val="both"/>
        <w:rPr>
          <w:lang w:val="es-DO"/>
        </w:rPr>
      </w:pPr>
      <w:r w:rsidRPr="00195AB8">
        <w:rPr>
          <w:lang w:val="es-DO"/>
        </w:rPr>
        <w:t xml:space="preserve">Entre 2022 y 2024, las importaciones de varillas desde Costa Rica se mantuvieron en niveles elevados, alcanzando un volumen total de </w:t>
      </w:r>
      <w:r w:rsidRPr="007524B6">
        <w:rPr>
          <w:b/>
          <w:bCs/>
          <w:lang w:val="es-DO"/>
        </w:rPr>
        <w:t>53,835.88 toneladas en 2024</w:t>
      </w:r>
      <w:r w:rsidRPr="00195AB8">
        <w:rPr>
          <w:lang w:val="es-DO"/>
        </w:rPr>
        <w:t xml:space="preserve">. </w:t>
      </w:r>
      <w:r>
        <w:rPr>
          <w:lang w:val="es-DO"/>
        </w:rPr>
        <w:t>En el 2</w:t>
      </w:r>
      <w:r w:rsidRPr="00195AB8">
        <w:rPr>
          <w:lang w:val="es-DO"/>
        </w:rPr>
        <w:t xml:space="preserve">024 </w:t>
      </w:r>
      <w:r>
        <w:rPr>
          <w:lang w:val="es-DO"/>
        </w:rPr>
        <w:t>las importaciones c</w:t>
      </w:r>
      <w:r w:rsidRPr="00195AB8">
        <w:rPr>
          <w:lang w:val="es-DO"/>
        </w:rPr>
        <w:t>reci</w:t>
      </w:r>
      <w:r>
        <w:rPr>
          <w:lang w:val="es-DO"/>
        </w:rPr>
        <w:t xml:space="preserve">eron un </w:t>
      </w:r>
      <w:r w:rsidRPr="007524B6">
        <w:rPr>
          <w:b/>
          <w:bCs/>
          <w:lang w:val="es-DO"/>
        </w:rPr>
        <w:t>23.5% frente al 2023</w:t>
      </w:r>
      <w:r w:rsidRPr="00195AB8">
        <w:rPr>
          <w:lang w:val="es-DO"/>
        </w:rPr>
        <w:t xml:space="preserve">. Este comportamiento se produjo a pesar de la vigencia de un derecho antidumping del </w:t>
      </w:r>
      <w:r w:rsidRPr="007524B6">
        <w:rPr>
          <w:b/>
          <w:bCs/>
          <w:lang w:val="es-DO"/>
        </w:rPr>
        <w:t>15%</w:t>
      </w:r>
      <w:r w:rsidRPr="00195AB8">
        <w:rPr>
          <w:lang w:val="es-DO"/>
        </w:rPr>
        <w:t>, lo que demuestra la capacidad de los exportadores costarricenses para sostener su presencia en el mercado dominicano, incluso bajo medidas correctivas.</w:t>
      </w:r>
    </w:p>
    <w:p w14:paraId="1ABA58AA" w14:textId="34B04382" w:rsidR="007524B6" w:rsidRDefault="007524B6" w:rsidP="00863FD0">
      <w:pPr>
        <w:jc w:val="both"/>
        <w:rPr>
          <w:lang w:val="es-DO"/>
        </w:rPr>
      </w:pPr>
      <w:r>
        <w:rPr>
          <w:lang w:val="es-DO"/>
        </w:rPr>
        <w:t xml:space="preserve">En adición, en el periodo más reciente, entre enero – mayo del 2025, las exportaciones de Costa Rica a la Republica Dominicana aumentaron un </w:t>
      </w:r>
      <w:r w:rsidRPr="00987A83">
        <w:rPr>
          <w:b/>
          <w:bCs/>
          <w:lang w:val="es-DO"/>
        </w:rPr>
        <w:t>20.3%</w:t>
      </w:r>
      <w:r>
        <w:rPr>
          <w:lang w:val="es-DO"/>
        </w:rPr>
        <w:t xml:space="preserve"> con relación al mismo periodo del año anterior, pasando de </w:t>
      </w:r>
      <w:r w:rsidRPr="00987A83">
        <w:rPr>
          <w:b/>
          <w:bCs/>
          <w:lang w:val="es-DO"/>
        </w:rPr>
        <w:t>25,296 TM</w:t>
      </w:r>
      <w:r>
        <w:rPr>
          <w:lang w:val="es-DO"/>
        </w:rPr>
        <w:t xml:space="preserve"> a </w:t>
      </w:r>
      <w:r w:rsidRPr="00987A83">
        <w:rPr>
          <w:b/>
          <w:bCs/>
          <w:lang w:val="es-DO"/>
        </w:rPr>
        <w:t>30,433 TM</w:t>
      </w:r>
      <w:r>
        <w:rPr>
          <w:lang w:val="es-DO"/>
        </w:rPr>
        <w:t xml:space="preserve">. </w:t>
      </w:r>
    </w:p>
    <w:p w14:paraId="0DDD7EDB" w14:textId="58566827" w:rsidR="00863FD0" w:rsidRDefault="00863FD0" w:rsidP="00863FD0">
      <w:pPr>
        <w:jc w:val="both"/>
        <w:rPr>
          <w:lang w:val="es-DO"/>
        </w:rPr>
      </w:pPr>
      <w:r w:rsidRPr="002534E8">
        <w:rPr>
          <w:lang w:val="es-DO"/>
        </w:rPr>
        <w:t xml:space="preserve">Este crecimiento </w:t>
      </w:r>
      <w:r w:rsidR="00987A83">
        <w:rPr>
          <w:lang w:val="es-DO"/>
        </w:rPr>
        <w:t xml:space="preserve">del 20% </w:t>
      </w:r>
      <w:r w:rsidRPr="002534E8">
        <w:rPr>
          <w:lang w:val="es-DO"/>
        </w:rPr>
        <w:t xml:space="preserve">no responde a un aumento del consumo nacional, sino a una penetración agresiva facilitada por precios </w:t>
      </w:r>
      <w:r w:rsidR="007524B6">
        <w:rPr>
          <w:lang w:val="es-DO"/>
        </w:rPr>
        <w:t xml:space="preserve">de dumping </w:t>
      </w:r>
      <w:r w:rsidRPr="002534E8">
        <w:rPr>
          <w:lang w:val="es-DO"/>
        </w:rPr>
        <w:t>y ventajas logísticas de Costa Rica</w:t>
      </w:r>
      <w:r w:rsidR="007524B6">
        <w:rPr>
          <w:lang w:val="es-DO"/>
        </w:rPr>
        <w:t>.</w:t>
      </w:r>
    </w:p>
    <w:p w14:paraId="79DD029D" w14:textId="1321B351" w:rsidR="00987A83" w:rsidRDefault="00987A83" w:rsidP="00863FD0">
      <w:pPr>
        <w:jc w:val="both"/>
        <w:rPr>
          <w:lang w:val="es-DO"/>
        </w:rPr>
      </w:pPr>
      <w:r>
        <w:rPr>
          <w:lang w:val="es-DO"/>
        </w:rPr>
        <w:t>De hecho, las cifras del Banco Central de la Republica Dominicana reflejan una contracción del sector de la construcción en el periodo enero – junio.  Las ventas de varillas están directamente relacionadas con el comportamiento del sector de la construcción. Por consiguiente, dicho aumento no es un reflejo de un aumento de la demanda interna.</w:t>
      </w:r>
    </w:p>
    <w:p w14:paraId="48CDD27A" w14:textId="77777777" w:rsidR="00987A83" w:rsidRDefault="00987A83" w:rsidP="00863FD0">
      <w:pPr>
        <w:jc w:val="both"/>
        <w:rPr>
          <w:lang w:val="es-DO"/>
        </w:rPr>
      </w:pPr>
    </w:p>
    <w:p w14:paraId="5E96C3A3" w14:textId="77777777" w:rsidR="00987A83" w:rsidRDefault="00987A83" w:rsidP="00863FD0">
      <w:pPr>
        <w:jc w:val="both"/>
        <w:rPr>
          <w:lang w:val="es-DO"/>
        </w:rPr>
      </w:pPr>
    </w:p>
    <w:p w14:paraId="7C894F96" w14:textId="77777777" w:rsidR="007524B6" w:rsidRPr="007524B6" w:rsidRDefault="007524B6" w:rsidP="007524B6">
      <w:pPr>
        <w:jc w:val="both"/>
        <w:rPr>
          <w:lang w:val="es-DO"/>
        </w:rPr>
      </w:pPr>
      <w:r w:rsidRPr="007524B6">
        <w:rPr>
          <w:lang w:val="es-DO"/>
        </w:rPr>
        <w:t>Como premisa general comercial, la presencia del material importado a precio de dumping le genera al importador la capacidad de vender por debajo del precio de la RPN de manera consistente. En la medida que exista una presencia continua del producto investigado en los inventarios de los importadores, esto les genera la posibilidad de mantener e incrementar su participación de mercado, a la vez le dificulta a la RPN realizar ajustes de precios que vayan de acuerdo con sus incrementos en costos.</w:t>
      </w:r>
    </w:p>
    <w:p w14:paraId="7539600E" w14:textId="108D4AA3" w:rsidR="007524B6" w:rsidRPr="002534E8" w:rsidRDefault="007524B6" w:rsidP="007524B6">
      <w:pPr>
        <w:jc w:val="both"/>
        <w:rPr>
          <w:lang w:val="es-DO"/>
        </w:rPr>
      </w:pPr>
      <w:r w:rsidRPr="007524B6">
        <w:rPr>
          <w:lang w:val="es-DO"/>
        </w:rPr>
        <w:t>Costa Rica le confiere al importador ventajas relevantes, las cuales hacen que dicho origen tenga un mayor nivel de incidencia sobre el daño a la RPN versus otros orígenes estacionales como</w:t>
      </w:r>
      <w:r w:rsidR="00987A83">
        <w:rPr>
          <w:lang w:val="es-DO"/>
        </w:rPr>
        <w:t xml:space="preserve"> ha sido </w:t>
      </w:r>
      <w:r w:rsidRPr="007524B6">
        <w:rPr>
          <w:lang w:val="es-DO"/>
        </w:rPr>
        <w:t xml:space="preserve">Rusia en el 2023 y Japón en </w:t>
      </w:r>
      <w:r>
        <w:rPr>
          <w:lang w:val="es-DO"/>
        </w:rPr>
        <w:t xml:space="preserve">los primeros meses </w:t>
      </w:r>
      <w:proofErr w:type="gramStart"/>
      <w:r>
        <w:rPr>
          <w:lang w:val="es-DO"/>
        </w:rPr>
        <w:t xml:space="preserve">del </w:t>
      </w:r>
      <w:r w:rsidRPr="007524B6">
        <w:rPr>
          <w:lang w:val="es-DO"/>
        </w:rPr>
        <w:t xml:space="preserve"> 2025</w:t>
      </w:r>
      <w:proofErr w:type="gramEnd"/>
      <w:r>
        <w:rPr>
          <w:lang w:val="es-DO"/>
        </w:rPr>
        <w:t xml:space="preserve">. </w:t>
      </w:r>
    </w:p>
    <w:p w14:paraId="05584DE3" w14:textId="65855836" w:rsidR="00863FD0" w:rsidRPr="002534E8" w:rsidRDefault="00863FD0" w:rsidP="00863FD0">
      <w:pPr>
        <w:numPr>
          <w:ilvl w:val="0"/>
          <w:numId w:val="6"/>
        </w:numPr>
        <w:spacing w:line="278" w:lineRule="auto"/>
        <w:jc w:val="both"/>
        <w:rPr>
          <w:lang w:val="es-DO"/>
        </w:rPr>
      </w:pPr>
      <w:r w:rsidRPr="002534E8">
        <w:rPr>
          <w:b/>
          <w:bCs/>
          <w:lang w:val="es-DO"/>
        </w:rPr>
        <w:t>Cercanía geográfica</w:t>
      </w:r>
      <w:r w:rsidRPr="002534E8">
        <w:rPr>
          <w:lang w:val="es-DO"/>
        </w:rPr>
        <w:t xml:space="preserve">: La proximidad entre Costa Rica y la República Dominicana reduce los tiempos de tránsito marítimo a 4-5 días, frente a </w:t>
      </w:r>
      <w:r w:rsidR="007524B6">
        <w:rPr>
          <w:lang w:val="es-DO"/>
        </w:rPr>
        <w:t>tiempos</w:t>
      </w:r>
      <w:r w:rsidR="00F97020">
        <w:rPr>
          <w:lang w:val="es-DO"/>
        </w:rPr>
        <w:t xml:space="preserve"> mayores que rondan los 30 días </w:t>
      </w:r>
      <w:r w:rsidRPr="002534E8">
        <w:rPr>
          <w:lang w:val="es-DO"/>
        </w:rPr>
        <w:t xml:space="preserve">  para orígenes </w:t>
      </w:r>
      <w:r w:rsidR="00F97020">
        <w:rPr>
          <w:lang w:val="es-DO"/>
        </w:rPr>
        <w:t xml:space="preserve">del Asia Pacifico. </w:t>
      </w:r>
      <w:r w:rsidRPr="002534E8">
        <w:rPr>
          <w:lang w:val="es-DO"/>
        </w:rPr>
        <w:t>Esto permite a los importadores reponer inventarios rápidamente, asegurando una presencia constante del producto importado y una competencia sostenida bajo condiciones de dumping</w:t>
      </w:r>
      <w:r w:rsidR="006F711C">
        <w:rPr>
          <w:rStyle w:val="FootnoteReference"/>
          <w:lang w:val="es-DO"/>
        </w:rPr>
        <w:footnoteReference w:id="1"/>
      </w:r>
      <w:r w:rsidRPr="002534E8">
        <w:rPr>
          <w:lang w:val="es-DO"/>
        </w:rPr>
        <w:t>.</w:t>
      </w:r>
    </w:p>
    <w:p w14:paraId="27B0A507" w14:textId="77777777" w:rsidR="00863FD0" w:rsidRPr="002534E8" w:rsidRDefault="00863FD0" w:rsidP="00863FD0">
      <w:pPr>
        <w:numPr>
          <w:ilvl w:val="0"/>
          <w:numId w:val="6"/>
        </w:numPr>
        <w:spacing w:line="278" w:lineRule="auto"/>
        <w:jc w:val="both"/>
        <w:rPr>
          <w:lang w:val="es-DO"/>
        </w:rPr>
      </w:pPr>
      <w:r w:rsidRPr="002534E8">
        <w:rPr>
          <w:b/>
          <w:bCs/>
          <w:lang w:val="es-DO"/>
        </w:rPr>
        <w:t>Tamaño de lote</w:t>
      </w:r>
      <w:r w:rsidRPr="002534E8">
        <w:rPr>
          <w:lang w:val="es-DO"/>
        </w:rPr>
        <w:t>: Los cortos tiempos de tránsito permiten usar barcos más pequeños, reduciendo las exigencias de tamaño de lote frente a orígenes lejanos que requieren pedidos mayores. Esto facilita una rotación frecuente de inventarios y ajustes en los tipos de varillas, incrementando la competitividad del producto importado y reduciendo la inversión de capital de los importadores, lo que genera una preferencia por Costa Rica versus otros orígenes.</w:t>
      </w:r>
    </w:p>
    <w:p w14:paraId="3EB7D3C9" w14:textId="77777777" w:rsidR="00863FD0" w:rsidRPr="002534E8" w:rsidRDefault="00863FD0" w:rsidP="00863FD0">
      <w:pPr>
        <w:numPr>
          <w:ilvl w:val="0"/>
          <w:numId w:val="6"/>
        </w:numPr>
        <w:spacing w:line="278" w:lineRule="auto"/>
        <w:jc w:val="both"/>
        <w:rPr>
          <w:lang w:val="es-DO"/>
        </w:rPr>
      </w:pPr>
      <w:r w:rsidRPr="002534E8">
        <w:rPr>
          <w:b/>
          <w:bCs/>
          <w:lang w:val="es-DO"/>
        </w:rPr>
        <w:t>Frecuencia de llegadas</w:t>
      </w:r>
      <w:r w:rsidRPr="002534E8">
        <w:rPr>
          <w:lang w:val="es-DO"/>
        </w:rPr>
        <w:t xml:space="preserve">: Las importaciones costarricenses llegan con mayor frecuencia que las de otros orígenes, manteniendo una presión competitiva continua. Durante los últimos tres años, Costa Rica lideró en frecuencia y volumen, representando el </w:t>
      </w:r>
      <w:r w:rsidRPr="00987A83">
        <w:rPr>
          <w:b/>
          <w:bCs/>
          <w:lang w:val="es-DO"/>
        </w:rPr>
        <w:t>60%</w:t>
      </w:r>
      <w:r w:rsidRPr="002534E8">
        <w:rPr>
          <w:lang w:val="es-DO"/>
        </w:rPr>
        <w:t xml:space="preserve"> de las importaciones totales en 2024 y entre el </w:t>
      </w:r>
      <w:r w:rsidRPr="00987A83">
        <w:rPr>
          <w:b/>
          <w:bCs/>
          <w:lang w:val="es-DO"/>
        </w:rPr>
        <w:t>44% y 73%</w:t>
      </w:r>
      <w:r w:rsidRPr="002534E8">
        <w:rPr>
          <w:lang w:val="es-DO"/>
        </w:rPr>
        <w:t xml:space="preserve"> de 2022 a 2024.</w:t>
      </w:r>
    </w:p>
    <w:p w14:paraId="59BCBC12" w14:textId="77777777" w:rsidR="00F97020" w:rsidRDefault="00863FD0" w:rsidP="00F97020">
      <w:pPr>
        <w:pStyle w:val="ListParagraph"/>
        <w:numPr>
          <w:ilvl w:val="0"/>
          <w:numId w:val="6"/>
        </w:numPr>
        <w:jc w:val="both"/>
        <w:rPr>
          <w:lang w:val="es-DO"/>
        </w:rPr>
      </w:pPr>
      <w:r w:rsidRPr="00F97020">
        <w:rPr>
          <w:lang w:val="es-DO"/>
        </w:rPr>
        <w:t xml:space="preserve">En tal sentido, la frecuencia de los embarques, el volumen importando y los precios unitarios por TM son elementos importantes para un análisis de no atribución relativo a las importaciones sostenidas de otros orígenes. La data demuestra </w:t>
      </w:r>
      <w:r w:rsidR="00F97020" w:rsidRPr="00F97020">
        <w:rPr>
          <w:lang w:val="es-DO"/>
        </w:rPr>
        <w:t>que,</w:t>
      </w:r>
      <w:r w:rsidRPr="00F97020">
        <w:rPr>
          <w:lang w:val="es-DO"/>
        </w:rPr>
        <w:t xml:space="preserve"> durante los últimos tres años, las importaciones de Costa Rica en términos de frecuencia fueron las mayores, también fueron las mayores en términos de volúmenes, y en lo que respecta a precios fueron inferiores a las de Estados </w:t>
      </w:r>
      <w:r w:rsidR="00F97020" w:rsidRPr="00F97020">
        <w:rPr>
          <w:lang w:val="es-DO"/>
        </w:rPr>
        <w:t>Unidos, segundo</w:t>
      </w:r>
      <w:r w:rsidRPr="00F97020">
        <w:rPr>
          <w:lang w:val="es-DO"/>
        </w:rPr>
        <w:t xml:space="preserve"> mayor </w:t>
      </w:r>
      <w:r w:rsidR="00F97020" w:rsidRPr="00F97020">
        <w:rPr>
          <w:lang w:val="es-DO"/>
        </w:rPr>
        <w:t>país de</w:t>
      </w:r>
      <w:r w:rsidRPr="00F97020">
        <w:rPr>
          <w:lang w:val="es-DO"/>
        </w:rPr>
        <w:t xml:space="preserve"> origen de las importaciones de varillas.   En términos de los otros orígenes, tales como Rusia, Japón y Colombia, estas importaciones han sido esporádicas, lo que refleja coyunturas puntuales, sin consistencia en los volúmenes exportados a través del periodo de daño.  </w:t>
      </w:r>
    </w:p>
    <w:p w14:paraId="51AC8E92" w14:textId="77777777" w:rsidR="00F97020" w:rsidRDefault="00F97020" w:rsidP="00F97020">
      <w:pPr>
        <w:pStyle w:val="ListParagraph"/>
        <w:jc w:val="both"/>
        <w:rPr>
          <w:lang w:val="es-DO"/>
        </w:rPr>
      </w:pPr>
    </w:p>
    <w:p w14:paraId="1497467A" w14:textId="601274FD" w:rsidR="00F97020" w:rsidRDefault="00863FD0" w:rsidP="00F97020">
      <w:pPr>
        <w:pStyle w:val="ListParagraph"/>
        <w:numPr>
          <w:ilvl w:val="0"/>
          <w:numId w:val="6"/>
        </w:numPr>
        <w:jc w:val="both"/>
        <w:rPr>
          <w:lang w:val="es-DO"/>
        </w:rPr>
      </w:pPr>
      <w:r w:rsidRPr="00F97020">
        <w:rPr>
          <w:lang w:val="es-DO"/>
        </w:rPr>
        <w:lastRenderedPageBreak/>
        <w:t xml:space="preserve">En el caso </w:t>
      </w:r>
      <w:r w:rsidR="00EA7C06">
        <w:rPr>
          <w:lang w:val="es-DO"/>
        </w:rPr>
        <w:t xml:space="preserve">de </w:t>
      </w:r>
      <w:r w:rsidRPr="00F97020">
        <w:rPr>
          <w:lang w:val="es-DO"/>
        </w:rPr>
        <w:t xml:space="preserve">Rusia las importaciones se concentraron en el 2023 y el primer trimestre del 2024, motivadas por las sanciones interpuestas por terceros países a sus exportaciones por la Guerra con Ucrania. No se han registrado importaciones materiales originarias de Rusia luego del primer trimestre del 2024. </w:t>
      </w:r>
      <w:r w:rsidR="00F97020">
        <w:rPr>
          <w:lang w:val="es-DO"/>
        </w:rPr>
        <w:t xml:space="preserve"> De </w:t>
      </w:r>
      <w:r w:rsidR="00EA7C06">
        <w:rPr>
          <w:lang w:val="es-DO"/>
        </w:rPr>
        <w:t>hecho,</w:t>
      </w:r>
      <w:r w:rsidR="00F97020">
        <w:rPr>
          <w:lang w:val="es-DO"/>
        </w:rPr>
        <w:t xml:space="preserve"> entre el 2024 y el 2023 las importaciones desde Rusia se redujeron en un </w:t>
      </w:r>
      <w:r w:rsidR="00EA7C06" w:rsidRPr="00725EB9">
        <w:rPr>
          <w:b/>
          <w:bCs/>
          <w:lang w:val="es-DO"/>
        </w:rPr>
        <w:t>71%</w:t>
      </w:r>
      <w:r w:rsidR="00EA7C06">
        <w:rPr>
          <w:lang w:val="es-DO"/>
        </w:rPr>
        <w:t xml:space="preserve">, pasando de 20,566 TM </w:t>
      </w:r>
      <w:r w:rsidR="00725EB9">
        <w:rPr>
          <w:lang w:val="es-DO"/>
        </w:rPr>
        <w:t xml:space="preserve">a US$5,963 TM. </w:t>
      </w:r>
      <w:r w:rsidR="00EA7C06">
        <w:rPr>
          <w:lang w:val="es-DO"/>
        </w:rPr>
        <w:t xml:space="preserve"> En el periodo </w:t>
      </w:r>
      <w:r w:rsidR="00725EB9">
        <w:rPr>
          <w:lang w:val="es-DO"/>
        </w:rPr>
        <w:t>más</w:t>
      </w:r>
      <w:r w:rsidR="00EA7C06">
        <w:rPr>
          <w:lang w:val="es-DO"/>
        </w:rPr>
        <w:t xml:space="preserve"> reciente </w:t>
      </w:r>
      <w:r w:rsidR="00725EB9">
        <w:rPr>
          <w:lang w:val="es-DO"/>
        </w:rPr>
        <w:t xml:space="preserve">(enero – mayo) </w:t>
      </w:r>
      <w:r w:rsidR="00EA7C06">
        <w:rPr>
          <w:lang w:val="es-DO"/>
        </w:rPr>
        <w:t>las exportaciones se</w:t>
      </w:r>
      <w:r w:rsidR="00725EB9">
        <w:rPr>
          <w:lang w:val="es-DO"/>
        </w:rPr>
        <w:t xml:space="preserve"> redujeron un 10.5%. </w:t>
      </w:r>
    </w:p>
    <w:p w14:paraId="0A776395" w14:textId="77777777" w:rsidR="00F97020" w:rsidRPr="00F97020" w:rsidRDefault="00F97020" w:rsidP="00F97020">
      <w:pPr>
        <w:pStyle w:val="ListParagraph"/>
        <w:rPr>
          <w:lang w:val="es-DO"/>
        </w:rPr>
      </w:pPr>
    </w:p>
    <w:p w14:paraId="3D1A2811" w14:textId="73A41692" w:rsidR="00863FD0" w:rsidRDefault="00863FD0" w:rsidP="00863FD0">
      <w:pPr>
        <w:pStyle w:val="ListParagraph"/>
        <w:numPr>
          <w:ilvl w:val="0"/>
          <w:numId w:val="6"/>
        </w:numPr>
        <w:jc w:val="both"/>
        <w:rPr>
          <w:lang w:val="es-DO"/>
        </w:rPr>
      </w:pPr>
      <w:r w:rsidRPr="00725EB9">
        <w:rPr>
          <w:lang w:val="es-DO"/>
        </w:rPr>
        <w:t xml:space="preserve">En el caso de Japón y Colombia se registraron importaciones en </w:t>
      </w:r>
      <w:r w:rsidR="00F97020" w:rsidRPr="00725EB9">
        <w:rPr>
          <w:lang w:val="es-DO"/>
        </w:rPr>
        <w:t>los primeros cinco meses del 2025</w:t>
      </w:r>
      <w:r w:rsidRPr="00725EB9">
        <w:rPr>
          <w:lang w:val="es-DO"/>
        </w:rPr>
        <w:t xml:space="preserve">, sin reflejar importaciones en el 2022, 2023 y 2024.  </w:t>
      </w:r>
      <w:r w:rsidR="00725EB9" w:rsidRPr="00725EB9">
        <w:rPr>
          <w:lang w:val="es-DO"/>
        </w:rPr>
        <w:t xml:space="preserve">El comportamiento de los volúmenes de Japón </w:t>
      </w:r>
      <w:r w:rsidR="00725EB9">
        <w:rPr>
          <w:lang w:val="es-DO"/>
        </w:rPr>
        <w:t xml:space="preserve">se estima no se traducirá </w:t>
      </w:r>
      <w:r w:rsidR="00725EB9" w:rsidRPr="00725EB9">
        <w:rPr>
          <w:lang w:val="es-DO"/>
        </w:rPr>
        <w:t>en una</w:t>
      </w:r>
      <w:r w:rsidRPr="00725EB9">
        <w:rPr>
          <w:lang w:val="es-DO"/>
        </w:rPr>
        <w:t xml:space="preserve"> amenaza de daño para la RPN</w:t>
      </w:r>
      <w:r w:rsidR="00725EB9" w:rsidRPr="00725EB9">
        <w:rPr>
          <w:lang w:val="es-DO"/>
        </w:rPr>
        <w:t xml:space="preserve">, ya que solo han representado el 7% del total importando, y no </w:t>
      </w:r>
      <w:r w:rsidR="00987A83">
        <w:rPr>
          <w:lang w:val="es-DO"/>
        </w:rPr>
        <w:t xml:space="preserve">se prevén </w:t>
      </w:r>
      <w:r w:rsidR="00725EB9" w:rsidRPr="00725EB9">
        <w:rPr>
          <w:lang w:val="es-DO"/>
        </w:rPr>
        <w:t>aumento</w:t>
      </w:r>
      <w:r w:rsidR="00987A83">
        <w:rPr>
          <w:lang w:val="es-DO"/>
        </w:rPr>
        <w:t>s</w:t>
      </w:r>
      <w:r w:rsidR="00725EB9" w:rsidRPr="00725EB9">
        <w:rPr>
          <w:lang w:val="es-DO"/>
        </w:rPr>
        <w:t xml:space="preserve"> de estas importaciones en el 2025, fruto de la distancia y aspectos logísticos. </w:t>
      </w:r>
      <w:r w:rsidRPr="00725EB9">
        <w:rPr>
          <w:lang w:val="es-DO"/>
        </w:rPr>
        <w:t xml:space="preserve">  </w:t>
      </w:r>
      <w:r w:rsidR="00F97020" w:rsidRPr="00725EB9">
        <w:rPr>
          <w:lang w:val="es-DO"/>
        </w:rPr>
        <w:t xml:space="preserve">En </w:t>
      </w:r>
      <w:r w:rsidR="00725EB9" w:rsidRPr="00725EB9">
        <w:rPr>
          <w:lang w:val="es-DO"/>
        </w:rPr>
        <w:t xml:space="preserve">el caso de Colombia, </w:t>
      </w:r>
      <w:r w:rsidR="00F97020" w:rsidRPr="00725EB9">
        <w:rPr>
          <w:lang w:val="es-DO"/>
        </w:rPr>
        <w:t xml:space="preserve">la RPN </w:t>
      </w:r>
      <w:r w:rsidR="00725EB9" w:rsidRPr="00725EB9">
        <w:rPr>
          <w:lang w:val="es-DO"/>
        </w:rPr>
        <w:t xml:space="preserve">estará monitoreando </w:t>
      </w:r>
      <w:r w:rsidR="00F97020" w:rsidRPr="00725EB9">
        <w:rPr>
          <w:lang w:val="es-DO"/>
        </w:rPr>
        <w:t>su comportamiento</w:t>
      </w:r>
      <w:r w:rsidR="00725EB9" w:rsidRPr="00725EB9">
        <w:rPr>
          <w:lang w:val="es-DO"/>
        </w:rPr>
        <w:t xml:space="preserve">. Hasta </w:t>
      </w:r>
      <w:r w:rsidR="00987A83">
        <w:rPr>
          <w:lang w:val="es-DO"/>
        </w:rPr>
        <w:t xml:space="preserve">principios del </w:t>
      </w:r>
      <w:r w:rsidR="00725EB9" w:rsidRPr="00725EB9">
        <w:rPr>
          <w:lang w:val="es-DO"/>
        </w:rPr>
        <w:t>2025 no se habían registrado importaciones de varillas de dicho origen</w:t>
      </w:r>
      <w:r w:rsidR="00987A83">
        <w:rPr>
          <w:lang w:val="es-DO"/>
        </w:rPr>
        <w:t xml:space="preserve">, si bien se han registrado importaciones de dicho origen, </w:t>
      </w:r>
      <w:r w:rsidR="00725EB9">
        <w:rPr>
          <w:lang w:val="es-DO"/>
        </w:rPr>
        <w:t xml:space="preserve">el periodo enero – mayo solo </w:t>
      </w:r>
      <w:r w:rsidR="00987A83">
        <w:rPr>
          <w:lang w:val="es-DO"/>
        </w:rPr>
        <w:t xml:space="preserve">estas importaciones solo representaron el </w:t>
      </w:r>
      <w:r w:rsidR="00725EB9" w:rsidRPr="00725EB9">
        <w:rPr>
          <w:b/>
          <w:bCs/>
          <w:lang w:val="es-DO"/>
        </w:rPr>
        <w:t>12.3%</w:t>
      </w:r>
      <w:r w:rsidR="00725EB9">
        <w:rPr>
          <w:lang w:val="es-DO"/>
        </w:rPr>
        <w:t xml:space="preserve"> de las importaciones de varillas</w:t>
      </w:r>
      <w:r w:rsidR="00987A83">
        <w:rPr>
          <w:lang w:val="es-DO"/>
        </w:rPr>
        <w:t xml:space="preserve"> totales,</w:t>
      </w:r>
      <w:r w:rsidR="00725EB9">
        <w:rPr>
          <w:lang w:val="es-DO"/>
        </w:rPr>
        <w:t xml:space="preserve"> comparado con un </w:t>
      </w:r>
      <w:r w:rsidR="00725EB9" w:rsidRPr="00725EB9">
        <w:rPr>
          <w:b/>
          <w:bCs/>
          <w:lang w:val="es-DO"/>
        </w:rPr>
        <w:t>47.5%</w:t>
      </w:r>
      <w:r w:rsidR="00725EB9">
        <w:rPr>
          <w:lang w:val="es-DO"/>
        </w:rPr>
        <w:t xml:space="preserve"> de las importaciones de varillas costarricenses. </w:t>
      </w:r>
      <w:r w:rsidR="00987A83">
        <w:rPr>
          <w:lang w:val="es-DO"/>
        </w:rPr>
        <w:t xml:space="preserve">La amenaza de daño por ende se concentra en Costa Rica, mas aun debido a las pruebas de dumping presentadas en la otra sección de este documento de solicitud. </w:t>
      </w:r>
    </w:p>
    <w:p w14:paraId="2877D81A" w14:textId="77777777" w:rsidR="00987A83" w:rsidRPr="00987A83" w:rsidRDefault="00987A83" w:rsidP="00987A83">
      <w:pPr>
        <w:pStyle w:val="ListParagraph"/>
        <w:rPr>
          <w:lang w:val="es-DO"/>
        </w:rPr>
      </w:pPr>
    </w:p>
    <w:p w14:paraId="76835C46" w14:textId="77777777" w:rsidR="00987A83" w:rsidRDefault="00987A83" w:rsidP="00987A83">
      <w:pPr>
        <w:pStyle w:val="ListParagraph"/>
        <w:jc w:val="both"/>
        <w:rPr>
          <w:lang w:val="es-DO"/>
        </w:rPr>
      </w:pPr>
    </w:p>
    <w:p w14:paraId="2F7FF6C8" w14:textId="3DF9719D" w:rsidR="00863FD0" w:rsidRPr="002534E8" w:rsidRDefault="00877E45" w:rsidP="00863FD0">
      <w:pPr>
        <w:pStyle w:val="ListParagraph"/>
        <w:numPr>
          <w:ilvl w:val="0"/>
          <w:numId w:val="10"/>
        </w:numPr>
        <w:spacing w:line="278" w:lineRule="auto"/>
        <w:jc w:val="both"/>
        <w:rPr>
          <w:b/>
          <w:bCs/>
          <w:lang w:val="es-DO"/>
        </w:rPr>
      </w:pPr>
      <w:r>
        <w:rPr>
          <w:b/>
          <w:bCs/>
          <w:lang w:val="es-DO"/>
        </w:rPr>
        <w:t xml:space="preserve">Existe una </w:t>
      </w:r>
      <w:r w:rsidR="00863FD0" w:rsidRPr="002534E8">
        <w:rPr>
          <w:b/>
          <w:bCs/>
          <w:lang w:val="es-DO"/>
        </w:rPr>
        <w:t xml:space="preserve">Subvaloración sostenida </w:t>
      </w:r>
      <w:r>
        <w:rPr>
          <w:b/>
          <w:bCs/>
          <w:lang w:val="es-DO"/>
        </w:rPr>
        <w:t>en los precios de varillas importadas de Costa Rica bajo condiciones de dumping, con relación a los de la RPN</w:t>
      </w:r>
    </w:p>
    <w:p w14:paraId="5B2B31FE" w14:textId="77777777" w:rsidR="00863FD0" w:rsidRPr="002534E8" w:rsidRDefault="00863FD0" w:rsidP="00863FD0">
      <w:pPr>
        <w:jc w:val="both"/>
        <w:rPr>
          <w:lang w:val="es-DO"/>
        </w:rPr>
      </w:pPr>
      <w:r w:rsidRPr="002534E8">
        <w:rPr>
          <w:lang w:val="es-DO"/>
        </w:rPr>
        <w:t>Las varillas importadas desde Costa Rica muestran una subvaloración persistente:</w:t>
      </w:r>
    </w:p>
    <w:p w14:paraId="2329C739" w14:textId="77777777" w:rsidR="00863FD0" w:rsidRPr="002534E8" w:rsidRDefault="00863FD0" w:rsidP="00863FD0">
      <w:pPr>
        <w:numPr>
          <w:ilvl w:val="0"/>
          <w:numId w:val="7"/>
        </w:numPr>
        <w:spacing w:line="278" w:lineRule="auto"/>
        <w:jc w:val="both"/>
        <w:rPr>
          <w:lang w:val="es-DO"/>
        </w:rPr>
      </w:pPr>
      <w:r w:rsidRPr="002534E8">
        <w:rPr>
          <w:b/>
          <w:bCs/>
          <w:lang w:val="es-DO"/>
        </w:rPr>
        <w:t>Precio promedio de importación</w:t>
      </w:r>
      <w:r w:rsidRPr="002534E8">
        <w:rPr>
          <w:lang w:val="es-DO"/>
        </w:rPr>
        <w:t>:</w:t>
      </w:r>
    </w:p>
    <w:p w14:paraId="14CCA968" w14:textId="2ED73037" w:rsidR="00863FD0" w:rsidRPr="002534E8" w:rsidRDefault="00863FD0" w:rsidP="00863FD0">
      <w:pPr>
        <w:numPr>
          <w:ilvl w:val="1"/>
          <w:numId w:val="7"/>
        </w:numPr>
        <w:spacing w:line="278" w:lineRule="auto"/>
        <w:jc w:val="both"/>
        <w:rPr>
          <w:lang w:val="es-DO"/>
        </w:rPr>
      </w:pPr>
      <w:r w:rsidRPr="002534E8">
        <w:rPr>
          <w:lang w:val="es-DO"/>
        </w:rPr>
        <w:t xml:space="preserve">2023: </w:t>
      </w:r>
      <w:r w:rsidR="00A82A9C">
        <w:rPr>
          <w:lang w:val="es-DO"/>
        </w:rPr>
        <w:t>1,623.17</w:t>
      </w:r>
      <w:r w:rsidR="00A82A9C">
        <w:rPr>
          <w:rStyle w:val="FootnoteReference"/>
          <w:lang w:val="es-DO"/>
        </w:rPr>
        <w:footnoteReference w:id="2"/>
      </w:r>
      <w:r w:rsidRPr="002534E8">
        <w:rPr>
          <w:lang w:val="es-DO"/>
        </w:rPr>
        <w:t xml:space="preserve"> USD/tonelada.</w:t>
      </w:r>
    </w:p>
    <w:p w14:paraId="0A8BAA24" w14:textId="290AB782" w:rsidR="00863FD0" w:rsidRPr="002534E8" w:rsidRDefault="00863FD0" w:rsidP="00863FD0">
      <w:pPr>
        <w:numPr>
          <w:ilvl w:val="1"/>
          <w:numId w:val="7"/>
        </w:numPr>
        <w:spacing w:line="278" w:lineRule="auto"/>
        <w:jc w:val="both"/>
        <w:rPr>
          <w:lang w:val="es-DO"/>
        </w:rPr>
      </w:pPr>
      <w:r w:rsidRPr="002534E8">
        <w:rPr>
          <w:lang w:val="es-DO"/>
        </w:rPr>
        <w:t xml:space="preserve">2024: </w:t>
      </w:r>
      <w:r w:rsidR="00A82A9C">
        <w:rPr>
          <w:lang w:val="es-DO"/>
        </w:rPr>
        <w:t>1,400.45</w:t>
      </w:r>
      <w:r w:rsidR="00A82A9C">
        <w:rPr>
          <w:rStyle w:val="FootnoteReference"/>
          <w:lang w:val="es-DO"/>
        </w:rPr>
        <w:footnoteReference w:id="3"/>
      </w:r>
      <w:r w:rsidRPr="002534E8">
        <w:rPr>
          <w:lang w:val="es-DO"/>
        </w:rPr>
        <w:t xml:space="preserve"> USD/tonelada.</w:t>
      </w:r>
    </w:p>
    <w:p w14:paraId="2B0AD2C3" w14:textId="77777777" w:rsidR="00863FD0" w:rsidRPr="002534E8" w:rsidRDefault="00863FD0" w:rsidP="00863FD0">
      <w:pPr>
        <w:numPr>
          <w:ilvl w:val="0"/>
          <w:numId w:val="7"/>
        </w:numPr>
        <w:spacing w:line="278" w:lineRule="auto"/>
        <w:jc w:val="both"/>
        <w:rPr>
          <w:lang w:val="es-DO"/>
        </w:rPr>
      </w:pPr>
      <w:r w:rsidRPr="002534E8">
        <w:rPr>
          <w:b/>
          <w:bCs/>
          <w:lang w:val="es-DO"/>
        </w:rPr>
        <w:t>Precio promedio nacional</w:t>
      </w:r>
      <w:r w:rsidRPr="002534E8">
        <w:rPr>
          <w:lang w:val="es-DO"/>
        </w:rPr>
        <w:t>:</w:t>
      </w:r>
    </w:p>
    <w:p w14:paraId="594458B5" w14:textId="49AE9D96" w:rsidR="00863FD0" w:rsidRPr="002534E8" w:rsidRDefault="00863FD0" w:rsidP="00863FD0">
      <w:pPr>
        <w:numPr>
          <w:ilvl w:val="1"/>
          <w:numId w:val="7"/>
        </w:numPr>
        <w:spacing w:line="278" w:lineRule="auto"/>
        <w:jc w:val="both"/>
        <w:rPr>
          <w:lang w:val="es-DO"/>
        </w:rPr>
      </w:pPr>
      <w:r w:rsidRPr="002534E8">
        <w:rPr>
          <w:lang w:val="es-DO"/>
        </w:rPr>
        <w:t xml:space="preserve">2023: </w:t>
      </w:r>
      <w:r w:rsidR="00A82A9C">
        <w:rPr>
          <w:lang w:val="es-DO"/>
        </w:rPr>
        <w:t>1,871.42</w:t>
      </w:r>
      <w:r w:rsidR="00A82A9C">
        <w:rPr>
          <w:rStyle w:val="FootnoteReference"/>
          <w:lang w:val="es-DO"/>
        </w:rPr>
        <w:footnoteReference w:id="4"/>
      </w:r>
      <w:r w:rsidRPr="002534E8">
        <w:rPr>
          <w:lang w:val="es-DO"/>
        </w:rPr>
        <w:t xml:space="preserve"> USD/tonelada.</w:t>
      </w:r>
    </w:p>
    <w:p w14:paraId="2E0BF7BD" w14:textId="1DCD1B42" w:rsidR="00863FD0" w:rsidRPr="002534E8" w:rsidRDefault="00863FD0" w:rsidP="00863FD0">
      <w:pPr>
        <w:numPr>
          <w:ilvl w:val="1"/>
          <w:numId w:val="7"/>
        </w:numPr>
        <w:spacing w:line="278" w:lineRule="auto"/>
        <w:jc w:val="both"/>
        <w:rPr>
          <w:lang w:val="es-DO"/>
        </w:rPr>
      </w:pPr>
      <w:r w:rsidRPr="002534E8">
        <w:rPr>
          <w:lang w:val="es-DO"/>
        </w:rPr>
        <w:t xml:space="preserve">2024: </w:t>
      </w:r>
      <w:r w:rsidR="00A82A9C">
        <w:rPr>
          <w:lang w:val="es-DO"/>
        </w:rPr>
        <w:t>1,689.60</w:t>
      </w:r>
      <w:r w:rsidR="00A82A9C">
        <w:rPr>
          <w:rStyle w:val="FootnoteReference"/>
          <w:lang w:val="es-DO"/>
        </w:rPr>
        <w:footnoteReference w:id="5"/>
      </w:r>
      <w:r w:rsidRPr="002534E8">
        <w:rPr>
          <w:lang w:val="es-DO"/>
        </w:rPr>
        <w:t xml:space="preserve"> USD/tonelada.</w:t>
      </w:r>
    </w:p>
    <w:p w14:paraId="1C2BDB4A" w14:textId="7D19226D" w:rsidR="00863FD0" w:rsidRPr="002534E8" w:rsidRDefault="00863FD0" w:rsidP="00863FD0">
      <w:pPr>
        <w:numPr>
          <w:ilvl w:val="0"/>
          <w:numId w:val="7"/>
        </w:numPr>
        <w:spacing w:line="278" w:lineRule="auto"/>
        <w:jc w:val="both"/>
        <w:rPr>
          <w:lang w:val="es-DO"/>
        </w:rPr>
      </w:pPr>
      <w:r w:rsidRPr="002534E8">
        <w:rPr>
          <w:b/>
          <w:bCs/>
          <w:lang w:val="es-DO"/>
        </w:rPr>
        <w:lastRenderedPageBreak/>
        <w:t>Subvaloración en 2024</w:t>
      </w:r>
      <w:r w:rsidRPr="002534E8">
        <w:rPr>
          <w:lang w:val="es-DO"/>
        </w:rPr>
        <w:t xml:space="preserve">: </w:t>
      </w:r>
      <w:r w:rsidRPr="00877E45">
        <w:rPr>
          <w:b/>
          <w:bCs/>
          <w:lang w:val="es-DO"/>
        </w:rPr>
        <w:t>17.1%</w:t>
      </w:r>
      <w:r w:rsidRPr="002534E8">
        <w:rPr>
          <w:lang w:val="es-DO"/>
        </w:rPr>
        <w:t xml:space="preserve"> ((</w:t>
      </w:r>
      <w:r w:rsidR="00A82A9C">
        <w:rPr>
          <w:lang w:val="es-DO"/>
        </w:rPr>
        <w:t>1,689.60</w:t>
      </w:r>
      <w:r w:rsidRPr="002534E8">
        <w:rPr>
          <w:lang w:val="es-DO"/>
        </w:rPr>
        <w:t xml:space="preserve"> </w:t>
      </w:r>
      <w:r w:rsidR="004558EC">
        <w:rPr>
          <w:lang w:val="es-DO"/>
        </w:rPr>
        <w:t>–</w:t>
      </w:r>
      <w:r w:rsidRPr="002534E8">
        <w:rPr>
          <w:lang w:val="es-DO"/>
        </w:rPr>
        <w:t xml:space="preserve"> </w:t>
      </w:r>
      <w:r w:rsidR="004558EC">
        <w:rPr>
          <w:lang w:val="es-DO"/>
        </w:rPr>
        <w:t>1,400.45</w:t>
      </w:r>
      <w:r w:rsidRPr="002534E8">
        <w:rPr>
          <w:lang w:val="es-DO"/>
        </w:rPr>
        <w:t xml:space="preserve">) / </w:t>
      </w:r>
      <w:r w:rsidR="004558EC">
        <w:rPr>
          <w:lang w:val="es-DO"/>
        </w:rPr>
        <w:t>1,689.60</w:t>
      </w:r>
      <w:r w:rsidRPr="002534E8">
        <w:rPr>
          <w:lang w:val="es-DO"/>
        </w:rPr>
        <w:t>)</w:t>
      </w:r>
      <w:r w:rsidR="004558EC">
        <w:rPr>
          <w:rStyle w:val="FootnoteReference"/>
          <w:lang w:val="es-DO"/>
        </w:rPr>
        <w:footnoteReference w:id="6"/>
      </w:r>
      <w:r w:rsidRPr="002534E8">
        <w:rPr>
          <w:lang w:val="es-DO"/>
        </w:rPr>
        <w:t>.</w:t>
      </w:r>
    </w:p>
    <w:p w14:paraId="252231C2" w14:textId="60F1B880" w:rsidR="000B2D72" w:rsidRDefault="00863FD0" w:rsidP="00863FD0">
      <w:pPr>
        <w:jc w:val="both"/>
        <w:rPr>
          <w:lang w:val="es-DO"/>
        </w:rPr>
      </w:pPr>
      <w:r w:rsidRPr="002534E8">
        <w:rPr>
          <w:lang w:val="es-DO"/>
        </w:rPr>
        <w:t xml:space="preserve">Esta subvaloración, </w:t>
      </w:r>
      <w:r w:rsidR="00877E45">
        <w:rPr>
          <w:lang w:val="es-DO"/>
        </w:rPr>
        <w:t>es consistente con el m</w:t>
      </w:r>
      <w:r w:rsidRPr="002534E8">
        <w:rPr>
          <w:lang w:val="es-DO"/>
        </w:rPr>
        <w:t xml:space="preserve">argen de dumping </w:t>
      </w:r>
      <w:r w:rsidR="00877E45">
        <w:rPr>
          <w:lang w:val="es-DO"/>
        </w:rPr>
        <w:t xml:space="preserve">calculado </w:t>
      </w:r>
      <w:proofErr w:type="gramStart"/>
      <w:r w:rsidR="00877E45">
        <w:rPr>
          <w:lang w:val="es-DO"/>
        </w:rPr>
        <w:t xml:space="preserve">del </w:t>
      </w:r>
      <w:r w:rsidRPr="002534E8">
        <w:rPr>
          <w:lang w:val="es-DO"/>
        </w:rPr>
        <w:t xml:space="preserve"> </w:t>
      </w:r>
      <w:r w:rsidR="000B2D72">
        <w:rPr>
          <w:lang w:val="es-DO"/>
        </w:rPr>
        <w:t>17.5</w:t>
      </w:r>
      <w:proofErr w:type="gramEnd"/>
      <w:r w:rsidR="00877E45">
        <w:rPr>
          <w:lang w:val="es-DO"/>
        </w:rPr>
        <w:t xml:space="preserve">%. </w:t>
      </w:r>
      <w:r w:rsidRPr="002534E8">
        <w:rPr>
          <w:lang w:val="es-DO"/>
        </w:rPr>
        <w:t xml:space="preserve"> </w:t>
      </w:r>
    </w:p>
    <w:p w14:paraId="000F11C7" w14:textId="0DF1FE40" w:rsidR="00877E45" w:rsidRDefault="00863FD0" w:rsidP="00863FD0">
      <w:pPr>
        <w:jc w:val="both"/>
        <w:rPr>
          <w:lang w:val="es-DO"/>
        </w:rPr>
      </w:pPr>
      <w:r w:rsidRPr="002534E8">
        <w:rPr>
          <w:lang w:val="es-DO"/>
        </w:rPr>
        <w:t>El análisis ARIMA proyecta q</w:t>
      </w:r>
      <w:r>
        <w:rPr>
          <w:lang w:val="es-DO"/>
        </w:rPr>
        <w:t xml:space="preserve">ue </w:t>
      </w:r>
      <w:r w:rsidRPr="002534E8">
        <w:rPr>
          <w:lang w:val="es-DO"/>
        </w:rPr>
        <w:t xml:space="preserve">los precios importados serían un </w:t>
      </w:r>
      <w:r w:rsidR="003316B4" w:rsidRPr="00932F6C">
        <w:rPr>
          <w:b/>
          <w:bCs/>
          <w:lang w:val="es-DO"/>
        </w:rPr>
        <w:t>13.7</w:t>
      </w:r>
      <w:r w:rsidRPr="00932F6C">
        <w:rPr>
          <w:b/>
          <w:bCs/>
          <w:lang w:val="es-DO"/>
        </w:rPr>
        <w:t>%</w:t>
      </w:r>
      <w:r w:rsidRPr="002534E8">
        <w:rPr>
          <w:lang w:val="es-DO"/>
        </w:rPr>
        <w:t xml:space="preserve"> (US$</w:t>
      </w:r>
      <w:r w:rsidR="00BF5902">
        <w:rPr>
          <w:lang w:val="es-DO"/>
        </w:rPr>
        <w:t>244.24</w:t>
      </w:r>
      <w:r w:rsidR="00BF5902">
        <w:rPr>
          <w:rStyle w:val="FootnoteReference"/>
          <w:lang w:val="es-DO"/>
        </w:rPr>
        <w:footnoteReference w:id="7"/>
      </w:r>
      <w:r w:rsidRPr="002534E8">
        <w:rPr>
          <w:lang w:val="es-DO"/>
        </w:rPr>
        <w:t xml:space="preserve">/tonelada) menores que los nacionales en los </w:t>
      </w:r>
      <w:r w:rsidRPr="00932F6C">
        <w:rPr>
          <w:b/>
          <w:bCs/>
          <w:lang w:val="es-DO"/>
        </w:rPr>
        <w:t xml:space="preserve">próximos </w:t>
      </w:r>
      <w:r w:rsidR="00932F6C" w:rsidRPr="00932F6C">
        <w:rPr>
          <w:b/>
          <w:bCs/>
          <w:lang w:val="es-DO"/>
        </w:rPr>
        <w:t xml:space="preserve">36 </w:t>
      </w:r>
      <w:r w:rsidRPr="00932F6C">
        <w:rPr>
          <w:b/>
          <w:bCs/>
          <w:lang w:val="es-DO"/>
        </w:rPr>
        <w:t>meses</w:t>
      </w:r>
      <w:r w:rsidR="00877E45">
        <w:rPr>
          <w:lang w:val="es-DO"/>
        </w:rPr>
        <w:t>.</w:t>
      </w:r>
    </w:p>
    <w:p w14:paraId="59886040" w14:textId="4701B745" w:rsidR="00863FD0" w:rsidRPr="002534E8" w:rsidRDefault="00877E45" w:rsidP="00863FD0">
      <w:pPr>
        <w:jc w:val="both"/>
        <w:rPr>
          <w:lang w:val="es-DO"/>
        </w:rPr>
      </w:pPr>
      <w:r>
        <w:rPr>
          <w:lang w:val="es-DO"/>
        </w:rPr>
        <w:t>D</w:t>
      </w:r>
      <w:r w:rsidR="00932F6C">
        <w:rPr>
          <w:lang w:val="es-DO"/>
        </w:rPr>
        <w:t>ebido a las características de las varillas (</w:t>
      </w:r>
      <w:proofErr w:type="spellStart"/>
      <w:r w:rsidR="00932F6C">
        <w:rPr>
          <w:lang w:val="es-DO"/>
        </w:rPr>
        <w:t>commodity</w:t>
      </w:r>
      <w:proofErr w:type="spellEnd"/>
      <w:r w:rsidR="00932F6C">
        <w:rPr>
          <w:lang w:val="es-DO"/>
        </w:rPr>
        <w:t xml:space="preserve">) esto empujará a </w:t>
      </w:r>
      <w:r w:rsidR="00932F6C" w:rsidRPr="002534E8">
        <w:rPr>
          <w:lang w:val="es-DO"/>
        </w:rPr>
        <w:t>RPN</w:t>
      </w:r>
      <w:r w:rsidR="00863FD0" w:rsidRPr="002534E8">
        <w:rPr>
          <w:lang w:val="es-DO"/>
        </w:rPr>
        <w:t xml:space="preserve"> a reducir precios </w:t>
      </w:r>
      <w:r>
        <w:rPr>
          <w:lang w:val="es-DO"/>
        </w:rPr>
        <w:t>por un monto similar o a perder participación de mercado</w:t>
      </w:r>
      <w:r w:rsidR="00863FD0" w:rsidRPr="002534E8">
        <w:rPr>
          <w:lang w:val="es-DO"/>
        </w:rPr>
        <w:t xml:space="preserve">. </w:t>
      </w:r>
      <w:r>
        <w:rPr>
          <w:lang w:val="es-DO"/>
        </w:rPr>
        <w:t xml:space="preserve">Ambas opciones tendrán su impacto en los resultados financieros de la empresa, ya sea por un impacto de precios o por un impacto en perdida de volumen, o por una combinación de ambos. </w:t>
      </w:r>
    </w:p>
    <w:p w14:paraId="5FE16432" w14:textId="77777777" w:rsidR="00863FD0" w:rsidRDefault="00863FD0" w:rsidP="00863FD0">
      <w:pPr>
        <w:jc w:val="both"/>
        <w:rPr>
          <w:lang w:val="es-DO"/>
        </w:rPr>
      </w:pPr>
      <w:r w:rsidRPr="002534E8">
        <w:rPr>
          <w:lang w:val="es-DO"/>
        </w:rPr>
        <w:t>La presencia continua de inventarios importados, facilitada por la alta frecuencia de llegadas y la rápida reposición desde Costa Rica, impide que la RPN ajuste precios para reflejar incrementos en costos, erosionando su rentabilidad. La flexibilidad en los lotes y la preferencia por Costa Rica amplifican esta presión, ya que los importadores mantienen una oferta constante a precios bajos.</w:t>
      </w:r>
    </w:p>
    <w:p w14:paraId="7085EFB5" w14:textId="5D49E8B1" w:rsidR="00EC11E7" w:rsidRDefault="00EC11E7" w:rsidP="00863FD0">
      <w:pPr>
        <w:jc w:val="both"/>
        <w:rPr>
          <w:kern w:val="2"/>
          <w:lang w:val="es-DO"/>
          <w14:ligatures w14:val="standardContextual"/>
        </w:rPr>
      </w:pPr>
      <w:r>
        <w:rPr>
          <w:lang w:val="es-DO"/>
        </w:rPr>
        <w:fldChar w:fldCharType="begin"/>
      </w:r>
      <w:r>
        <w:rPr>
          <w:lang w:val="es-DO"/>
        </w:rPr>
        <w:instrText xml:space="preserve"> LINK Excel.Sheet.12 "Book1" "Sheet1!R4C2:R8C6" \a \f 4 \h  \* MERGEFORMAT </w:instrText>
      </w:r>
      <w:r>
        <w:rPr>
          <w:lang w:val="es-DO"/>
        </w:rPr>
        <w:fldChar w:fldCharType="separate"/>
      </w:r>
      <w:bookmarkStart w:id="0" w:name="RANGE!B4"/>
    </w:p>
    <w:tbl>
      <w:tblPr>
        <w:tblW w:w="6713" w:type="dxa"/>
        <w:tblLook w:val="04A0" w:firstRow="1" w:lastRow="0" w:firstColumn="1" w:lastColumn="0" w:noHBand="0" w:noVBand="1"/>
      </w:tblPr>
      <w:tblGrid>
        <w:gridCol w:w="813"/>
        <w:gridCol w:w="1236"/>
        <w:gridCol w:w="1630"/>
        <w:gridCol w:w="1517"/>
        <w:gridCol w:w="1517"/>
      </w:tblGrid>
      <w:tr w:rsidR="00EC11E7" w:rsidRPr="00EC11E7" w14:paraId="3AFF89B3" w14:textId="77777777" w:rsidTr="00EC11E7">
        <w:trPr>
          <w:trHeight w:val="1030"/>
        </w:trPr>
        <w:tc>
          <w:tcPr>
            <w:tcW w:w="813"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1607AA2" w14:textId="022C1749" w:rsidR="00EC11E7" w:rsidRPr="00EC11E7" w:rsidRDefault="00EC11E7" w:rsidP="00EC11E7">
            <w:pPr>
              <w:spacing w:after="0" w:line="240" w:lineRule="auto"/>
              <w:jc w:val="center"/>
              <w:rPr>
                <w:rFonts w:ascii="Calibri" w:eastAsia="Times New Roman" w:hAnsi="Calibri" w:cs="Calibri"/>
                <w:color w:val="000000"/>
                <w:sz w:val="20"/>
                <w:szCs w:val="20"/>
                <w:lang w:eastAsia="zh-CN"/>
              </w:rPr>
            </w:pPr>
            <w:r w:rsidRPr="00EC11E7">
              <w:rPr>
                <w:rFonts w:ascii="Calibri" w:eastAsia="Times New Roman" w:hAnsi="Calibri" w:cs="Calibri"/>
                <w:color w:val="000000"/>
                <w:sz w:val="20"/>
                <w:szCs w:val="20"/>
                <w:lang w:val="es-DO" w:eastAsia="zh-CN"/>
              </w:rPr>
              <w:t>Fecha</w:t>
            </w:r>
            <w:bookmarkEnd w:id="0"/>
          </w:p>
        </w:tc>
        <w:tc>
          <w:tcPr>
            <w:tcW w:w="1236" w:type="dxa"/>
            <w:tcBorders>
              <w:top w:val="single" w:sz="8" w:space="0" w:color="auto"/>
              <w:left w:val="nil"/>
              <w:bottom w:val="nil"/>
              <w:right w:val="single" w:sz="8" w:space="0" w:color="auto"/>
            </w:tcBorders>
            <w:shd w:val="clear" w:color="000000" w:fill="D0CECE"/>
            <w:vAlign w:val="center"/>
            <w:hideMark/>
          </w:tcPr>
          <w:p w14:paraId="0D4D6AE7" w14:textId="77777777" w:rsidR="00EC11E7" w:rsidRPr="00EC11E7" w:rsidRDefault="00EC11E7" w:rsidP="00EC11E7">
            <w:pPr>
              <w:spacing w:after="0" w:line="240" w:lineRule="auto"/>
              <w:jc w:val="center"/>
              <w:rPr>
                <w:rFonts w:ascii="Calibri" w:eastAsia="Times New Roman" w:hAnsi="Calibri" w:cs="Calibri"/>
                <w:color w:val="000000"/>
                <w:sz w:val="20"/>
                <w:szCs w:val="20"/>
                <w:lang w:val="es-DO" w:eastAsia="zh-CN"/>
              </w:rPr>
            </w:pPr>
            <w:r w:rsidRPr="00EC11E7">
              <w:rPr>
                <w:rFonts w:ascii="Calibri" w:eastAsia="Times New Roman" w:hAnsi="Calibri" w:cs="Calibri"/>
                <w:color w:val="000000"/>
                <w:sz w:val="20"/>
                <w:szCs w:val="20"/>
                <w:lang w:val="es-DO" w:eastAsia="zh-CN"/>
              </w:rPr>
              <w:t xml:space="preserve"> Precio Promedio de Venta RPN </w:t>
            </w:r>
          </w:p>
        </w:tc>
        <w:tc>
          <w:tcPr>
            <w:tcW w:w="163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E0ACF6C" w14:textId="77777777" w:rsidR="00EC11E7" w:rsidRPr="00EC11E7" w:rsidRDefault="00EC11E7" w:rsidP="00EC11E7">
            <w:pPr>
              <w:spacing w:after="0" w:line="240" w:lineRule="auto"/>
              <w:jc w:val="center"/>
              <w:rPr>
                <w:rFonts w:ascii="Calibri" w:eastAsia="Times New Roman" w:hAnsi="Calibri" w:cs="Calibri"/>
                <w:color w:val="000000"/>
                <w:sz w:val="20"/>
                <w:szCs w:val="20"/>
                <w:lang w:val="es-DO" w:eastAsia="zh-CN"/>
              </w:rPr>
            </w:pPr>
            <w:r w:rsidRPr="00EC11E7">
              <w:rPr>
                <w:rFonts w:ascii="Calibri" w:eastAsia="Times New Roman" w:hAnsi="Calibri" w:cs="Calibri"/>
                <w:color w:val="000000"/>
                <w:sz w:val="20"/>
                <w:szCs w:val="20"/>
                <w:lang w:val="es-DO" w:eastAsia="zh-CN"/>
              </w:rPr>
              <w:t>Precio Promedio Importaciones CIF Costa Rica en US$ por TM</w:t>
            </w:r>
          </w:p>
        </w:tc>
        <w:tc>
          <w:tcPr>
            <w:tcW w:w="151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FC44238" w14:textId="77777777" w:rsidR="00EC11E7" w:rsidRPr="00EC11E7" w:rsidRDefault="00EC11E7" w:rsidP="00EC11E7">
            <w:pPr>
              <w:spacing w:after="0" w:line="240" w:lineRule="auto"/>
              <w:jc w:val="center"/>
              <w:rPr>
                <w:rFonts w:ascii="Calibri" w:eastAsia="Times New Roman" w:hAnsi="Calibri" w:cs="Calibri"/>
                <w:color w:val="000000"/>
                <w:sz w:val="20"/>
                <w:szCs w:val="20"/>
                <w:lang w:val="es-DO" w:eastAsia="zh-CN"/>
              </w:rPr>
            </w:pPr>
            <w:r w:rsidRPr="00EC11E7">
              <w:rPr>
                <w:rFonts w:ascii="Calibri" w:eastAsia="Times New Roman" w:hAnsi="Calibri" w:cs="Calibri"/>
                <w:color w:val="000000"/>
                <w:sz w:val="20"/>
                <w:szCs w:val="20"/>
                <w:lang w:val="es-DO" w:eastAsia="zh-CN"/>
              </w:rPr>
              <w:t>Diferencia Precios Margen de Subvaluación - US$ por TM</w:t>
            </w:r>
          </w:p>
        </w:tc>
        <w:tc>
          <w:tcPr>
            <w:tcW w:w="1517"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72D2C0C" w14:textId="77777777" w:rsidR="00EC11E7" w:rsidRPr="00EC11E7" w:rsidRDefault="00EC11E7" w:rsidP="00EC11E7">
            <w:pPr>
              <w:spacing w:after="0" w:line="240" w:lineRule="auto"/>
              <w:jc w:val="center"/>
              <w:rPr>
                <w:rFonts w:ascii="Calibri" w:eastAsia="Times New Roman" w:hAnsi="Calibri" w:cs="Calibri"/>
                <w:color w:val="000000"/>
                <w:sz w:val="20"/>
                <w:szCs w:val="20"/>
                <w:lang w:eastAsia="zh-CN"/>
              </w:rPr>
            </w:pPr>
            <w:r w:rsidRPr="00EC11E7">
              <w:rPr>
                <w:rFonts w:ascii="Calibri" w:eastAsia="Times New Roman" w:hAnsi="Calibri" w:cs="Calibri"/>
                <w:color w:val="000000"/>
                <w:sz w:val="20"/>
                <w:szCs w:val="20"/>
                <w:lang w:val="es-DO" w:eastAsia="zh-CN"/>
              </w:rPr>
              <w:t xml:space="preserve"> Margen de Subvaluación - Porcentual</w:t>
            </w:r>
          </w:p>
        </w:tc>
      </w:tr>
      <w:tr w:rsidR="00EC11E7" w:rsidRPr="00EC11E7" w14:paraId="5A297D1F" w14:textId="77777777" w:rsidTr="00EC11E7">
        <w:trPr>
          <w:trHeight w:val="423"/>
        </w:trPr>
        <w:tc>
          <w:tcPr>
            <w:tcW w:w="813" w:type="dxa"/>
            <w:vMerge/>
            <w:tcBorders>
              <w:top w:val="single" w:sz="8" w:space="0" w:color="auto"/>
              <w:left w:val="single" w:sz="8" w:space="0" w:color="auto"/>
              <w:bottom w:val="single" w:sz="8" w:space="0" w:color="000000"/>
              <w:right w:val="single" w:sz="8" w:space="0" w:color="auto"/>
            </w:tcBorders>
            <w:vAlign w:val="center"/>
            <w:hideMark/>
          </w:tcPr>
          <w:p w14:paraId="78525A7C" w14:textId="77777777" w:rsidR="00EC11E7" w:rsidRPr="00EC11E7" w:rsidRDefault="00EC11E7" w:rsidP="00EC11E7">
            <w:pPr>
              <w:spacing w:after="0" w:line="240" w:lineRule="auto"/>
              <w:rPr>
                <w:rFonts w:ascii="Calibri" w:eastAsia="Times New Roman" w:hAnsi="Calibri" w:cs="Calibri"/>
                <w:color w:val="000000"/>
                <w:sz w:val="20"/>
                <w:szCs w:val="20"/>
                <w:lang w:eastAsia="zh-CN"/>
              </w:rPr>
            </w:pPr>
          </w:p>
        </w:tc>
        <w:tc>
          <w:tcPr>
            <w:tcW w:w="1236" w:type="dxa"/>
            <w:tcBorders>
              <w:top w:val="nil"/>
              <w:left w:val="nil"/>
              <w:bottom w:val="single" w:sz="8" w:space="0" w:color="auto"/>
              <w:right w:val="single" w:sz="8" w:space="0" w:color="auto"/>
            </w:tcBorders>
            <w:shd w:val="clear" w:color="000000" w:fill="D0CECE"/>
            <w:vAlign w:val="center"/>
            <w:hideMark/>
          </w:tcPr>
          <w:p w14:paraId="0A664BAC" w14:textId="77777777" w:rsidR="00EC11E7" w:rsidRPr="00EC11E7" w:rsidRDefault="00EC11E7" w:rsidP="00EC11E7">
            <w:pPr>
              <w:spacing w:after="0" w:line="240" w:lineRule="auto"/>
              <w:jc w:val="center"/>
              <w:rPr>
                <w:rFonts w:ascii="Calibri" w:eastAsia="Times New Roman" w:hAnsi="Calibri" w:cs="Calibri"/>
                <w:color w:val="000000"/>
                <w:sz w:val="20"/>
                <w:szCs w:val="20"/>
                <w:lang w:eastAsia="zh-CN"/>
              </w:rPr>
            </w:pPr>
            <w:r w:rsidRPr="00EC11E7">
              <w:rPr>
                <w:rFonts w:ascii="Calibri" w:eastAsia="Times New Roman" w:hAnsi="Calibri" w:cs="Calibri"/>
                <w:color w:val="000000"/>
                <w:sz w:val="20"/>
                <w:szCs w:val="20"/>
                <w:lang w:val="es-DO" w:eastAsia="zh-CN"/>
              </w:rPr>
              <w:t xml:space="preserve"> en US$ por TM </w:t>
            </w:r>
          </w:p>
        </w:tc>
        <w:tc>
          <w:tcPr>
            <w:tcW w:w="1630" w:type="dxa"/>
            <w:vMerge/>
            <w:tcBorders>
              <w:top w:val="single" w:sz="8" w:space="0" w:color="auto"/>
              <w:left w:val="single" w:sz="8" w:space="0" w:color="auto"/>
              <w:bottom w:val="single" w:sz="8" w:space="0" w:color="000000"/>
              <w:right w:val="single" w:sz="8" w:space="0" w:color="auto"/>
            </w:tcBorders>
            <w:vAlign w:val="center"/>
            <w:hideMark/>
          </w:tcPr>
          <w:p w14:paraId="1171CC72" w14:textId="77777777" w:rsidR="00EC11E7" w:rsidRPr="00EC11E7" w:rsidRDefault="00EC11E7" w:rsidP="00EC11E7">
            <w:pPr>
              <w:spacing w:after="0" w:line="240" w:lineRule="auto"/>
              <w:rPr>
                <w:rFonts w:ascii="Calibri" w:eastAsia="Times New Roman" w:hAnsi="Calibri" w:cs="Calibri"/>
                <w:color w:val="000000"/>
                <w:sz w:val="20"/>
                <w:szCs w:val="20"/>
                <w:lang w:eastAsia="zh-CN"/>
              </w:rPr>
            </w:pPr>
          </w:p>
        </w:tc>
        <w:tc>
          <w:tcPr>
            <w:tcW w:w="1517" w:type="dxa"/>
            <w:vMerge/>
            <w:tcBorders>
              <w:top w:val="single" w:sz="8" w:space="0" w:color="auto"/>
              <w:left w:val="single" w:sz="8" w:space="0" w:color="auto"/>
              <w:bottom w:val="single" w:sz="8" w:space="0" w:color="000000"/>
              <w:right w:val="single" w:sz="8" w:space="0" w:color="auto"/>
            </w:tcBorders>
            <w:vAlign w:val="center"/>
            <w:hideMark/>
          </w:tcPr>
          <w:p w14:paraId="55BCE56A" w14:textId="77777777" w:rsidR="00EC11E7" w:rsidRPr="00EC11E7" w:rsidRDefault="00EC11E7" w:rsidP="00EC11E7">
            <w:pPr>
              <w:spacing w:after="0" w:line="240" w:lineRule="auto"/>
              <w:rPr>
                <w:rFonts w:ascii="Calibri" w:eastAsia="Times New Roman" w:hAnsi="Calibri" w:cs="Calibri"/>
                <w:color w:val="000000"/>
                <w:sz w:val="20"/>
                <w:szCs w:val="20"/>
                <w:lang w:eastAsia="zh-CN"/>
              </w:rPr>
            </w:pPr>
          </w:p>
        </w:tc>
        <w:tc>
          <w:tcPr>
            <w:tcW w:w="1517" w:type="dxa"/>
            <w:vMerge/>
            <w:tcBorders>
              <w:top w:val="single" w:sz="8" w:space="0" w:color="auto"/>
              <w:left w:val="single" w:sz="8" w:space="0" w:color="auto"/>
              <w:bottom w:val="single" w:sz="8" w:space="0" w:color="000000"/>
              <w:right w:val="single" w:sz="8" w:space="0" w:color="auto"/>
            </w:tcBorders>
            <w:vAlign w:val="center"/>
            <w:hideMark/>
          </w:tcPr>
          <w:p w14:paraId="4AB9EF98" w14:textId="77777777" w:rsidR="00EC11E7" w:rsidRPr="00EC11E7" w:rsidRDefault="00EC11E7" w:rsidP="00EC11E7">
            <w:pPr>
              <w:spacing w:after="0" w:line="240" w:lineRule="auto"/>
              <w:rPr>
                <w:rFonts w:ascii="Calibri" w:eastAsia="Times New Roman" w:hAnsi="Calibri" w:cs="Calibri"/>
                <w:color w:val="000000"/>
                <w:sz w:val="20"/>
                <w:szCs w:val="20"/>
                <w:lang w:eastAsia="zh-CN"/>
              </w:rPr>
            </w:pPr>
          </w:p>
        </w:tc>
      </w:tr>
      <w:tr w:rsidR="00EC11E7" w:rsidRPr="00EC11E7" w14:paraId="14C5607A" w14:textId="77777777" w:rsidTr="00EC11E7">
        <w:trPr>
          <w:trHeight w:val="239"/>
        </w:trPr>
        <w:tc>
          <w:tcPr>
            <w:tcW w:w="813" w:type="dxa"/>
            <w:tcBorders>
              <w:top w:val="nil"/>
              <w:left w:val="single" w:sz="8" w:space="0" w:color="auto"/>
              <w:bottom w:val="single" w:sz="8" w:space="0" w:color="auto"/>
              <w:right w:val="single" w:sz="8" w:space="0" w:color="auto"/>
            </w:tcBorders>
            <w:noWrap/>
            <w:vAlign w:val="center"/>
            <w:hideMark/>
          </w:tcPr>
          <w:p w14:paraId="04B2057A"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2022</w:t>
            </w:r>
          </w:p>
        </w:tc>
        <w:tc>
          <w:tcPr>
            <w:tcW w:w="1236" w:type="dxa"/>
            <w:tcBorders>
              <w:top w:val="nil"/>
              <w:left w:val="nil"/>
              <w:bottom w:val="single" w:sz="8" w:space="0" w:color="auto"/>
              <w:right w:val="single" w:sz="8" w:space="0" w:color="auto"/>
            </w:tcBorders>
            <w:noWrap/>
            <w:vAlign w:val="center"/>
            <w:hideMark/>
          </w:tcPr>
          <w:p w14:paraId="3C88CC6C"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2,108.74</w:t>
            </w:r>
          </w:p>
        </w:tc>
        <w:tc>
          <w:tcPr>
            <w:tcW w:w="1630" w:type="dxa"/>
            <w:tcBorders>
              <w:top w:val="nil"/>
              <w:left w:val="nil"/>
              <w:bottom w:val="single" w:sz="8" w:space="0" w:color="auto"/>
              <w:right w:val="single" w:sz="8" w:space="0" w:color="auto"/>
            </w:tcBorders>
            <w:noWrap/>
            <w:vAlign w:val="center"/>
            <w:hideMark/>
          </w:tcPr>
          <w:p w14:paraId="6717206D"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1823.232</w:t>
            </w:r>
          </w:p>
        </w:tc>
        <w:tc>
          <w:tcPr>
            <w:tcW w:w="1517" w:type="dxa"/>
            <w:tcBorders>
              <w:top w:val="nil"/>
              <w:left w:val="nil"/>
              <w:bottom w:val="single" w:sz="8" w:space="0" w:color="auto"/>
              <w:right w:val="single" w:sz="8" w:space="0" w:color="auto"/>
            </w:tcBorders>
            <w:noWrap/>
            <w:vAlign w:val="center"/>
            <w:hideMark/>
          </w:tcPr>
          <w:p w14:paraId="7D43E397"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-285.504</w:t>
            </w:r>
          </w:p>
        </w:tc>
        <w:tc>
          <w:tcPr>
            <w:tcW w:w="1517" w:type="dxa"/>
            <w:tcBorders>
              <w:top w:val="nil"/>
              <w:left w:val="nil"/>
              <w:bottom w:val="single" w:sz="8" w:space="0" w:color="auto"/>
              <w:right w:val="single" w:sz="8" w:space="0" w:color="auto"/>
            </w:tcBorders>
            <w:noWrap/>
            <w:vAlign w:val="center"/>
            <w:hideMark/>
          </w:tcPr>
          <w:p w14:paraId="307F0A92"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-13.80%</w:t>
            </w:r>
          </w:p>
        </w:tc>
      </w:tr>
      <w:tr w:rsidR="00EC11E7" w:rsidRPr="00EC11E7" w14:paraId="32A541D6" w14:textId="77777777" w:rsidTr="00EC11E7">
        <w:trPr>
          <w:trHeight w:val="239"/>
        </w:trPr>
        <w:tc>
          <w:tcPr>
            <w:tcW w:w="813" w:type="dxa"/>
            <w:tcBorders>
              <w:top w:val="nil"/>
              <w:left w:val="single" w:sz="8" w:space="0" w:color="auto"/>
              <w:bottom w:val="single" w:sz="8" w:space="0" w:color="auto"/>
              <w:right w:val="single" w:sz="8" w:space="0" w:color="auto"/>
            </w:tcBorders>
            <w:noWrap/>
            <w:vAlign w:val="center"/>
            <w:hideMark/>
          </w:tcPr>
          <w:p w14:paraId="7312EF33"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2023</w:t>
            </w:r>
          </w:p>
        </w:tc>
        <w:tc>
          <w:tcPr>
            <w:tcW w:w="1236" w:type="dxa"/>
            <w:tcBorders>
              <w:top w:val="nil"/>
              <w:left w:val="nil"/>
              <w:bottom w:val="single" w:sz="8" w:space="0" w:color="auto"/>
              <w:right w:val="single" w:sz="8" w:space="0" w:color="auto"/>
            </w:tcBorders>
            <w:noWrap/>
            <w:vAlign w:val="center"/>
            <w:hideMark/>
          </w:tcPr>
          <w:p w14:paraId="386F7149"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1871.424</w:t>
            </w:r>
          </w:p>
        </w:tc>
        <w:tc>
          <w:tcPr>
            <w:tcW w:w="1630" w:type="dxa"/>
            <w:tcBorders>
              <w:top w:val="nil"/>
              <w:left w:val="nil"/>
              <w:bottom w:val="single" w:sz="8" w:space="0" w:color="auto"/>
              <w:right w:val="single" w:sz="8" w:space="0" w:color="auto"/>
            </w:tcBorders>
            <w:noWrap/>
            <w:vAlign w:val="center"/>
            <w:hideMark/>
          </w:tcPr>
          <w:p w14:paraId="2659DDCE"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1623.168</w:t>
            </w:r>
          </w:p>
        </w:tc>
        <w:tc>
          <w:tcPr>
            <w:tcW w:w="1517" w:type="dxa"/>
            <w:tcBorders>
              <w:top w:val="nil"/>
              <w:left w:val="nil"/>
              <w:bottom w:val="single" w:sz="8" w:space="0" w:color="auto"/>
              <w:right w:val="single" w:sz="8" w:space="0" w:color="auto"/>
            </w:tcBorders>
            <w:noWrap/>
            <w:vAlign w:val="center"/>
            <w:hideMark/>
          </w:tcPr>
          <w:p w14:paraId="609EEAF8"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-248.256</w:t>
            </w:r>
          </w:p>
        </w:tc>
        <w:tc>
          <w:tcPr>
            <w:tcW w:w="1517" w:type="dxa"/>
            <w:tcBorders>
              <w:top w:val="nil"/>
              <w:left w:val="nil"/>
              <w:bottom w:val="single" w:sz="8" w:space="0" w:color="auto"/>
              <w:right w:val="single" w:sz="8" w:space="0" w:color="auto"/>
            </w:tcBorders>
            <w:noWrap/>
            <w:vAlign w:val="center"/>
            <w:hideMark/>
          </w:tcPr>
          <w:p w14:paraId="4BA922B4"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-13.20%</w:t>
            </w:r>
          </w:p>
        </w:tc>
      </w:tr>
      <w:tr w:rsidR="00EC11E7" w:rsidRPr="00EC11E7" w14:paraId="0DAB8D3A" w14:textId="77777777" w:rsidTr="00EC11E7">
        <w:trPr>
          <w:trHeight w:val="239"/>
        </w:trPr>
        <w:tc>
          <w:tcPr>
            <w:tcW w:w="813" w:type="dxa"/>
            <w:tcBorders>
              <w:top w:val="nil"/>
              <w:left w:val="single" w:sz="8" w:space="0" w:color="auto"/>
              <w:bottom w:val="single" w:sz="8" w:space="0" w:color="auto"/>
              <w:right w:val="single" w:sz="8" w:space="0" w:color="auto"/>
            </w:tcBorders>
            <w:noWrap/>
            <w:vAlign w:val="center"/>
            <w:hideMark/>
          </w:tcPr>
          <w:p w14:paraId="08DB7E8B"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2024</w:t>
            </w:r>
          </w:p>
        </w:tc>
        <w:tc>
          <w:tcPr>
            <w:tcW w:w="1236" w:type="dxa"/>
            <w:tcBorders>
              <w:top w:val="nil"/>
              <w:left w:val="nil"/>
              <w:bottom w:val="single" w:sz="8" w:space="0" w:color="auto"/>
              <w:right w:val="single" w:sz="8" w:space="0" w:color="auto"/>
            </w:tcBorders>
            <w:noWrap/>
            <w:vAlign w:val="center"/>
            <w:hideMark/>
          </w:tcPr>
          <w:p w14:paraId="67925F21"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1689.6</w:t>
            </w:r>
          </w:p>
        </w:tc>
        <w:tc>
          <w:tcPr>
            <w:tcW w:w="1630" w:type="dxa"/>
            <w:tcBorders>
              <w:top w:val="nil"/>
              <w:left w:val="nil"/>
              <w:bottom w:val="single" w:sz="8" w:space="0" w:color="auto"/>
              <w:right w:val="single" w:sz="8" w:space="0" w:color="auto"/>
            </w:tcBorders>
            <w:noWrap/>
            <w:vAlign w:val="center"/>
            <w:hideMark/>
          </w:tcPr>
          <w:p w14:paraId="75585D83"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1400.448</w:t>
            </w:r>
          </w:p>
        </w:tc>
        <w:tc>
          <w:tcPr>
            <w:tcW w:w="1517" w:type="dxa"/>
            <w:tcBorders>
              <w:top w:val="nil"/>
              <w:left w:val="nil"/>
              <w:bottom w:val="single" w:sz="8" w:space="0" w:color="auto"/>
              <w:right w:val="single" w:sz="8" w:space="0" w:color="auto"/>
            </w:tcBorders>
            <w:noWrap/>
            <w:vAlign w:val="center"/>
            <w:hideMark/>
          </w:tcPr>
          <w:p w14:paraId="5A085357"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eastAsia="zh-CN"/>
              </w:rPr>
              <w:t>-289.152</w:t>
            </w:r>
          </w:p>
        </w:tc>
        <w:tc>
          <w:tcPr>
            <w:tcW w:w="1517" w:type="dxa"/>
            <w:tcBorders>
              <w:top w:val="nil"/>
              <w:left w:val="nil"/>
              <w:bottom w:val="single" w:sz="8" w:space="0" w:color="auto"/>
              <w:right w:val="single" w:sz="8" w:space="0" w:color="auto"/>
            </w:tcBorders>
            <w:noWrap/>
            <w:vAlign w:val="center"/>
            <w:hideMark/>
          </w:tcPr>
          <w:p w14:paraId="0C72080D" w14:textId="77777777" w:rsidR="00EC11E7" w:rsidRPr="00EC11E7" w:rsidRDefault="00EC11E7" w:rsidP="00EC11E7">
            <w:pPr>
              <w:spacing w:after="0" w:line="240" w:lineRule="auto"/>
              <w:jc w:val="right"/>
              <w:rPr>
                <w:rFonts w:ascii="Calibri" w:eastAsia="Times New Roman" w:hAnsi="Calibri" w:cs="Calibri"/>
                <w:color w:val="000000"/>
                <w:lang w:eastAsia="zh-CN"/>
              </w:rPr>
            </w:pPr>
            <w:r w:rsidRPr="00EC11E7">
              <w:rPr>
                <w:rFonts w:ascii="Calibri" w:eastAsia="Times New Roman" w:hAnsi="Calibri" w:cs="Calibri"/>
                <w:color w:val="000000"/>
                <w:lang w:val="es-DO" w:eastAsia="zh-CN"/>
              </w:rPr>
              <w:t>-17.10%</w:t>
            </w:r>
          </w:p>
        </w:tc>
      </w:tr>
    </w:tbl>
    <w:p w14:paraId="630214E0" w14:textId="0E630D32" w:rsidR="00442112" w:rsidRDefault="00EC11E7" w:rsidP="00EC11E7">
      <w:pPr>
        <w:jc w:val="both"/>
        <w:rPr>
          <w:sz w:val="20"/>
          <w:szCs w:val="20"/>
          <w:lang w:val="es-DO"/>
        </w:rPr>
      </w:pPr>
      <w:r>
        <w:rPr>
          <w:lang w:val="es-DO"/>
        </w:rPr>
        <w:fldChar w:fldCharType="end"/>
      </w:r>
      <w:r w:rsidR="008E063C" w:rsidRPr="008E063C">
        <w:rPr>
          <w:sz w:val="20"/>
          <w:szCs w:val="20"/>
          <w:lang w:val="es-DO"/>
        </w:rPr>
        <w:t>Fuente:  Elaborado en base a datos de la RPN y la DGA</w:t>
      </w:r>
    </w:p>
    <w:p w14:paraId="674ADA9F" w14:textId="5A3BC314" w:rsidR="005E315E" w:rsidRPr="005E315E" w:rsidRDefault="00EC11E7" w:rsidP="005E315E">
      <w:pPr>
        <w:rPr>
          <w:rFonts w:ascii="Calibri" w:eastAsia="Calibri" w:hAnsi="Calibri" w:cs="Times New Roman"/>
          <w:kern w:val="2"/>
          <w:sz w:val="16"/>
          <w:szCs w:val="16"/>
          <w:lang w:val="es-MX"/>
          <w14:ligatures w14:val="standardContextual"/>
        </w:rPr>
      </w:pPr>
      <w:r>
        <w:rPr>
          <w:sz w:val="20"/>
          <w:szCs w:val="20"/>
          <w:lang w:val="es-DO"/>
        </w:rPr>
        <w:t>Nota:</w:t>
      </w:r>
      <w:r w:rsidR="005E315E" w:rsidRPr="005E315E">
        <w:rPr>
          <w:rFonts w:ascii="Calibri" w:eastAsia="Calibri" w:hAnsi="Calibri" w:cs="Times New Roman"/>
          <w:kern w:val="2"/>
          <w:sz w:val="24"/>
          <w:szCs w:val="24"/>
          <w:lang w:val="es-MX"/>
          <w14:ligatures w14:val="standardContextual"/>
        </w:rPr>
        <w:t xml:space="preserve"> </w:t>
      </w:r>
      <w:r w:rsidR="005E315E" w:rsidRPr="005E315E">
        <w:rPr>
          <w:rFonts w:ascii="Calibri" w:eastAsia="Calibri" w:hAnsi="Calibri" w:cs="Times New Roman"/>
          <w:kern w:val="2"/>
          <w:sz w:val="16"/>
          <w:szCs w:val="16"/>
          <w:lang w:val="es-MX"/>
          <w14:ligatures w14:val="standardContextual"/>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3DB1F555" w14:textId="77777777" w:rsidR="005E315E" w:rsidRPr="005E315E" w:rsidRDefault="005E315E" w:rsidP="005E315E">
      <w:pPr>
        <w:rPr>
          <w:rFonts w:ascii="Calibri" w:eastAsia="Calibri" w:hAnsi="Calibri" w:cs="Times New Roman"/>
          <w:kern w:val="2"/>
          <w:sz w:val="16"/>
          <w:szCs w:val="16"/>
          <w:lang w:val="es-ES"/>
          <w14:ligatures w14:val="standardContextual"/>
        </w:rPr>
      </w:pPr>
      <w:r w:rsidRPr="005E315E">
        <w:rPr>
          <w:rFonts w:ascii="Calibri" w:eastAsia="Calibri" w:hAnsi="Calibri" w:cs="Times New Roman"/>
          <w:kern w:val="2"/>
          <w:sz w:val="16"/>
          <w:szCs w:val="16"/>
          <w:lang w:val="es-ES"/>
          <w14:ligatures w14:val="standardContextual"/>
        </w:rPr>
        <w:t xml:space="preserve">LA INFORMACION CONTENIDA EN ESTE DATO/ANEXO ES CONSIDERADA INFORMACION CONFIDENCIAL </w:t>
      </w:r>
      <w:proofErr w:type="gramStart"/>
      <w:r w:rsidRPr="005E315E">
        <w:rPr>
          <w:rFonts w:ascii="Calibri" w:eastAsia="Calibri" w:hAnsi="Calibri" w:cs="Times New Roman"/>
          <w:kern w:val="2"/>
          <w:sz w:val="16"/>
          <w:szCs w:val="16"/>
          <w:lang w:val="es-ES"/>
          <w14:ligatures w14:val="standardContextual"/>
        </w:rPr>
        <w:t>DE ACUERDO AL</w:t>
      </w:r>
      <w:proofErr w:type="gramEnd"/>
      <w:r w:rsidRPr="005E315E">
        <w:rPr>
          <w:rFonts w:ascii="Calibri" w:eastAsia="Calibri" w:hAnsi="Calibri" w:cs="Times New Roman"/>
          <w:kern w:val="2"/>
          <w:sz w:val="16"/>
          <w:szCs w:val="16"/>
          <w:lang w:val="es-ES"/>
          <w14:ligatures w14:val="standardContextual"/>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10338659" w14:textId="6F1D831C" w:rsidR="00EC11E7" w:rsidRPr="005E315E" w:rsidRDefault="00EC11E7" w:rsidP="00EC11E7">
      <w:pPr>
        <w:jc w:val="both"/>
        <w:rPr>
          <w:sz w:val="20"/>
          <w:szCs w:val="20"/>
          <w:lang w:val="es-ES"/>
        </w:rPr>
      </w:pPr>
    </w:p>
    <w:p w14:paraId="0EB5223A" w14:textId="77777777" w:rsidR="00EC11E7" w:rsidRPr="008E063C" w:rsidRDefault="00EC11E7" w:rsidP="00EC11E7">
      <w:pPr>
        <w:jc w:val="both"/>
        <w:rPr>
          <w:sz w:val="20"/>
          <w:szCs w:val="20"/>
          <w:lang w:val="es-DO"/>
        </w:rPr>
      </w:pPr>
    </w:p>
    <w:p w14:paraId="4F362A89" w14:textId="5C7D0277" w:rsidR="00863FD0" w:rsidRPr="002534E8" w:rsidRDefault="00442112" w:rsidP="00863FD0">
      <w:pPr>
        <w:pStyle w:val="ListParagraph"/>
        <w:numPr>
          <w:ilvl w:val="0"/>
          <w:numId w:val="10"/>
        </w:numPr>
        <w:spacing w:line="278" w:lineRule="auto"/>
        <w:jc w:val="both"/>
        <w:rPr>
          <w:b/>
          <w:bCs/>
          <w:lang w:val="es-DO"/>
        </w:rPr>
      </w:pPr>
      <w:r>
        <w:rPr>
          <w:b/>
          <w:bCs/>
          <w:lang w:val="es-DO"/>
        </w:rPr>
        <w:t xml:space="preserve">Costa Rica ha venido ganando participación de mercado fruto de sus </w:t>
      </w:r>
      <w:proofErr w:type="spellStart"/>
      <w:r>
        <w:rPr>
          <w:b/>
          <w:bCs/>
          <w:lang w:val="es-DO"/>
        </w:rPr>
        <w:t>practicas</w:t>
      </w:r>
      <w:proofErr w:type="spellEnd"/>
      <w:r>
        <w:rPr>
          <w:b/>
          <w:bCs/>
          <w:lang w:val="es-DO"/>
        </w:rPr>
        <w:t xml:space="preserve"> de dumping</w:t>
      </w:r>
    </w:p>
    <w:p w14:paraId="6C0AB7C3" w14:textId="77777777" w:rsidR="00863FD0" w:rsidRDefault="00863FD0" w:rsidP="00863FD0">
      <w:pPr>
        <w:jc w:val="both"/>
        <w:rPr>
          <w:lang w:val="es-DO"/>
        </w:rPr>
      </w:pPr>
      <w:r>
        <w:rPr>
          <w:lang w:val="es-DO"/>
        </w:rPr>
        <w:t xml:space="preserve">En el 2024, Costa Rica aumenta su cuota de participación de mercado, pasando de </w:t>
      </w:r>
      <w:r w:rsidRPr="00442112">
        <w:rPr>
          <w:b/>
          <w:bCs/>
          <w:lang w:val="es-DO"/>
        </w:rPr>
        <w:t>6.9% a 8.6</w:t>
      </w:r>
      <w:r>
        <w:rPr>
          <w:lang w:val="es-DO"/>
        </w:rPr>
        <w:t xml:space="preserve">%. </w:t>
      </w:r>
    </w:p>
    <w:p w14:paraId="5389A4E1" w14:textId="77777777" w:rsidR="00DF4BDB" w:rsidRDefault="00DF4BDB" w:rsidP="00863FD0">
      <w:pPr>
        <w:jc w:val="both"/>
        <w:rPr>
          <w:lang w:val="es-DO"/>
        </w:rPr>
      </w:pPr>
    </w:p>
    <w:p w14:paraId="798AC477" w14:textId="77777777" w:rsidR="00DF4BDB" w:rsidRDefault="00DF4BDB" w:rsidP="00863FD0">
      <w:pPr>
        <w:jc w:val="both"/>
        <w:rPr>
          <w:lang w:val="es-DO"/>
        </w:rPr>
      </w:pPr>
    </w:p>
    <w:p w14:paraId="17710F8B" w14:textId="77777777" w:rsidR="00DF4BDB" w:rsidRDefault="00DF4BDB" w:rsidP="00863FD0">
      <w:pPr>
        <w:jc w:val="both"/>
        <w:rPr>
          <w:lang w:val="es-DO"/>
        </w:rPr>
      </w:pPr>
    </w:p>
    <w:tbl>
      <w:tblPr>
        <w:tblW w:w="10244" w:type="dxa"/>
        <w:tblLook w:val="04A0" w:firstRow="1" w:lastRow="0" w:firstColumn="1" w:lastColumn="0" w:noHBand="0" w:noVBand="1"/>
      </w:tblPr>
      <w:tblGrid>
        <w:gridCol w:w="841"/>
        <w:gridCol w:w="1261"/>
        <w:gridCol w:w="1483"/>
        <w:gridCol w:w="1191"/>
        <w:gridCol w:w="1472"/>
        <w:gridCol w:w="1297"/>
        <w:gridCol w:w="1297"/>
        <w:gridCol w:w="1402"/>
      </w:tblGrid>
      <w:tr w:rsidR="00DF4BDB" w:rsidRPr="00DF4BDB" w14:paraId="4C277B5A" w14:textId="77777777" w:rsidTr="00DF4BDB">
        <w:trPr>
          <w:trHeight w:val="785"/>
        </w:trPr>
        <w:tc>
          <w:tcPr>
            <w:tcW w:w="841" w:type="dxa"/>
            <w:vMerge w:val="restart"/>
            <w:tcBorders>
              <w:top w:val="single" w:sz="8" w:space="0" w:color="auto"/>
              <w:left w:val="single" w:sz="8" w:space="0" w:color="auto"/>
              <w:bottom w:val="single" w:sz="8" w:space="0" w:color="000000"/>
              <w:right w:val="single" w:sz="8" w:space="0" w:color="auto"/>
            </w:tcBorders>
            <w:shd w:val="clear" w:color="000000" w:fill="D1D1D1"/>
            <w:noWrap/>
            <w:vAlign w:val="center"/>
            <w:hideMark/>
          </w:tcPr>
          <w:p w14:paraId="23B1C9BF"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 </w:t>
            </w:r>
          </w:p>
        </w:tc>
        <w:tc>
          <w:tcPr>
            <w:tcW w:w="1261"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7695638C" w14:textId="77777777" w:rsidR="00DF4BDB" w:rsidRPr="00DF4BDB" w:rsidRDefault="00DF4BDB" w:rsidP="00DF4BDB">
            <w:pPr>
              <w:spacing w:after="0" w:line="240" w:lineRule="auto"/>
              <w:rPr>
                <w:rFonts w:ascii="Calibri" w:eastAsia="Times New Roman" w:hAnsi="Calibri" w:cs="Calibri"/>
                <w:color w:val="000000"/>
                <w:sz w:val="20"/>
                <w:szCs w:val="20"/>
                <w:lang w:val="es-DO" w:eastAsia="zh-CN"/>
              </w:rPr>
            </w:pPr>
            <w:r w:rsidRPr="00DF4BDB">
              <w:rPr>
                <w:rFonts w:ascii="Calibri" w:eastAsia="Times New Roman" w:hAnsi="Calibri" w:cs="Calibri"/>
                <w:color w:val="000000"/>
                <w:sz w:val="20"/>
                <w:szCs w:val="20"/>
                <w:lang w:val="es-DO" w:eastAsia="zh-CN"/>
              </w:rPr>
              <w:t>Ventas Rama de Producción Nacional</w:t>
            </w:r>
          </w:p>
        </w:tc>
        <w:tc>
          <w:tcPr>
            <w:tcW w:w="1483"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5C18F6C8"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Importaciones Costa Rica</w:t>
            </w:r>
          </w:p>
        </w:tc>
        <w:tc>
          <w:tcPr>
            <w:tcW w:w="1191"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44C0397D"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Otros Orígenes</w:t>
            </w:r>
          </w:p>
        </w:tc>
        <w:tc>
          <w:tcPr>
            <w:tcW w:w="1472" w:type="dxa"/>
            <w:tcBorders>
              <w:top w:val="single" w:sz="8" w:space="0" w:color="auto"/>
              <w:left w:val="nil"/>
              <w:bottom w:val="nil"/>
              <w:right w:val="single" w:sz="8" w:space="0" w:color="auto"/>
            </w:tcBorders>
            <w:shd w:val="clear" w:color="000000" w:fill="D1D1D1"/>
            <w:vAlign w:val="center"/>
            <w:hideMark/>
          </w:tcPr>
          <w:p w14:paraId="1D6A3A4B"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 xml:space="preserve">Consumo Aparente </w:t>
            </w:r>
          </w:p>
        </w:tc>
        <w:tc>
          <w:tcPr>
            <w:tcW w:w="1297"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0F4B0679"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MS RPN</w:t>
            </w:r>
          </w:p>
        </w:tc>
        <w:tc>
          <w:tcPr>
            <w:tcW w:w="1297"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4C43FE6A"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MS Costa Rica</w:t>
            </w:r>
          </w:p>
        </w:tc>
        <w:tc>
          <w:tcPr>
            <w:tcW w:w="1402"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6783F3A9"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Ms Resto</w:t>
            </w:r>
          </w:p>
        </w:tc>
      </w:tr>
      <w:tr w:rsidR="00DF4BDB" w:rsidRPr="00DF4BDB" w14:paraId="0A5919A9" w14:textId="77777777" w:rsidTr="00DF4BDB">
        <w:trPr>
          <w:trHeight w:val="204"/>
        </w:trPr>
        <w:tc>
          <w:tcPr>
            <w:tcW w:w="841" w:type="dxa"/>
            <w:vMerge/>
            <w:tcBorders>
              <w:top w:val="single" w:sz="8" w:space="0" w:color="auto"/>
              <w:left w:val="single" w:sz="8" w:space="0" w:color="auto"/>
              <w:bottom w:val="single" w:sz="8" w:space="0" w:color="000000"/>
              <w:right w:val="single" w:sz="8" w:space="0" w:color="auto"/>
            </w:tcBorders>
            <w:vAlign w:val="center"/>
            <w:hideMark/>
          </w:tcPr>
          <w:p w14:paraId="21B4072F"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12846799"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483" w:type="dxa"/>
            <w:vMerge/>
            <w:tcBorders>
              <w:top w:val="single" w:sz="8" w:space="0" w:color="auto"/>
              <w:left w:val="single" w:sz="8" w:space="0" w:color="auto"/>
              <w:bottom w:val="single" w:sz="8" w:space="0" w:color="000000"/>
              <w:right w:val="single" w:sz="8" w:space="0" w:color="auto"/>
            </w:tcBorders>
            <w:vAlign w:val="center"/>
            <w:hideMark/>
          </w:tcPr>
          <w:p w14:paraId="7C872408"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191" w:type="dxa"/>
            <w:vMerge/>
            <w:tcBorders>
              <w:top w:val="single" w:sz="8" w:space="0" w:color="auto"/>
              <w:left w:val="single" w:sz="8" w:space="0" w:color="auto"/>
              <w:bottom w:val="single" w:sz="8" w:space="0" w:color="000000"/>
              <w:right w:val="single" w:sz="8" w:space="0" w:color="auto"/>
            </w:tcBorders>
            <w:vAlign w:val="center"/>
            <w:hideMark/>
          </w:tcPr>
          <w:p w14:paraId="677E43BC"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472" w:type="dxa"/>
            <w:tcBorders>
              <w:top w:val="nil"/>
              <w:left w:val="nil"/>
              <w:bottom w:val="single" w:sz="8" w:space="0" w:color="auto"/>
              <w:right w:val="single" w:sz="8" w:space="0" w:color="auto"/>
            </w:tcBorders>
            <w:shd w:val="clear" w:color="000000" w:fill="D1D1D1"/>
            <w:vAlign w:val="center"/>
            <w:hideMark/>
          </w:tcPr>
          <w:p w14:paraId="71F974CF"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Total</w:t>
            </w:r>
          </w:p>
        </w:tc>
        <w:tc>
          <w:tcPr>
            <w:tcW w:w="1297" w:type="dxa"/>
            <w:vMerge/>
            <w:tcBorders>
              <w:top w:val="single" w:sz="8" w:space="0" w:color="auto"/>
              <w:left w:val="single" w:sz="8" w:space="0" w:color="auto"/>
              <w:bottom w:val="single" w:sz="8" w:space="0" w:color="000000"/>
              <w:right w:val="single" w:sz="8" w:space="0" w:color="auto"/>
            </w:tcBorders>
            <w:vAlign w:val="center"/>
            <w:hideMark/>
          </w:tcPr>
          <w:p w14:paraId="0A033086"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297" w:type="dxa"/>
            <w:vMerge/>
            <w:tcBorders>
              <w:top w:val="single" w:sz="8" w:space="0" w:color="auto"/>
              <w:left w:val="single" w:sz="8" w:space="0" w:color="auto"/>
              <w:bottom w:val="single" w:sz="8" w:space="0" w:color="000000"/>
              <w:right w:val="single" w:sz="8" w:space="0" w:color="auto"/>
            </w:tcBorders>
            <w:vAlign w:val="center"/>
            <w:hideMark/>
          </w:tcPr>
          <w:p w14:paraId="376939F4"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c>
          <w:tcPr>
            <w:tcW w:w="1402" w:type="dxa"/>
            <w:vMerge/>
            <w:tcBorders>
              <w:top w:val="single" w:sz="8" w:space="0" w:color="auto"/>
              <w:left w:val="single" w:sz="8" w:space="0" w:color="auto"/>
              <w:bottom w:val="single" w:sz="8" w:space="0" w:color="000000"/>
              <w:right w:val="single" w:sz="8" w:space="0" w:color="auto"/>
            </w:tcBorders>
            <w:vAlign w:val="center"/>
            <w:hideMark/>
          </w:tcPr>
          <w:p w14:paraId="5AE12519" w14:textId="77777777" w:rsidR="00DF4BDB" w:rsidRPr="00DF4BDB" w:rsidRDefault="00DF4BDB" w:rsidP="00DF4BDB">
            <w:pPr>
              <w:spacing w:after="0" w:line="240" w:lineRule="auto"/>
              <w:rPr>
                <w:rFonts w:ascii="Calibri" w:eastAsia="Times New Roman" w:hAnsi="Calibri" w:cs="Calibri"/>
                <w:color w:val="000000"/>
                <w:sz w:val="20"/>
                <w:szCs w:val="20"/>
                <w:lang w:eastAsia="zh-CN"/>
              </w:rPr>
            </w:pPr>
          </w:p>
        </w:tc>
      </w:tr>
      <w:tr w:rsidR="00DF4BDB" w:rsidRPr="00DF4BDB" w14:paraId="6DEE08BF" w14:textId="77777777" w:rsidTr="00DF4BDB">
        <w:trPr>
          <w:trHeight w:val="204"/>
        </w:trPr>
        <w:tc>
          <w:tcPr>
            <w:tcW w:w="841" w:type="dxa"/>
            <w:tcBorders>
              <w:top w:val="nil"/>
              <w:left w:val="single" w:sz="8" w:space="0" w:color="auto"/>
              <w:bottom w:val="single" w:sz="8" w:space="0" w:color="auto"/>
              <w:right w:val="single" w:sz="8" w:space="0" w:color="auto"/>
            </w:tcBorders>
            <w:noWrap/>
            <w:vAlign w:val="center"/>
            <w:hideMark/>
          </w:tcPr>
          <w:p w14:paraId="173A1940" w14:textId="77777777" w:rsidR="00DF4BDB" w:rsidRPr="00DF4BDB" w:rsidRDefault="00DF4BDB" w:rsidP="00DF4BDB">
            <w:pPr>
              <w:spacing w:after="0" w:line="240" w:lineRule="auto"/>
              <w:jc w:val="right"/>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2023</w:t>
            </w:r>
          </w:p>
        </w:tc>
        <w:tc>
          <w:tcPr>
            <w:tcW w:w="1261" w:type="dxa"/>
            <w:tcBorders>
              <w:top w:val="nil"/>
              <w:left w:val="nil"/>
              <w:bottom w:val="single" w:sz="8" w:space="0" w:color="auto"/>
              <w:right w:val="single" w:sz="8" w:space="0" w:color="auto"/>
            </w:tcBorders>
            <w:noWrap/>
            <w:vAlign w:val="center"/>
            <w:hideMark/>
          </w:tcPr>
          <w:p w14:paraId="2AE77036"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1,019,549</w:t>
            </w:r>
          </w:p>
        </w:tc>
        <w:tc>
          <w:tcPr>
            <w:tcW w:w="1483" w:type="dxa"/>
            <w:tcBorders>
              <w:top w:val="nil"/>
              <w:left w:val="nil"/>
              <w:bottom w:val="single" w:sz="8" w:space="0" w:color="auto"/>
              <w:right w:val="single" w:sz="8" w:space="0" w:color="auto"/>
            </w:tcBorders>
            <w:noWrap/>
            <w:vAlign w:val="center"/>
            <w:hideMark/>
          </w:tcPr>
          <w:p w14:paraId="0BC897CB"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83,704</w:t>
            </w:r>
          </w:p>
        </w:tc>
        <w:tc>
          <w:tcPr>
            <w:tcW w:w="1191" w:type="dxa"/>
            <w:tcBorders>
              <w:top w:val="nil"/>
              <w:left w:val="nil"/>
              <w:bottom w:val="single" w:sz="8" w:space="0" w:color="auto"/>
              <w:right w:val="single" w:sz="8" w:space="0" w:color="auto"/>
            </w:tcBorders>
            <w:noWrap/>
            <w:vAlign w:val="center"/>
            <w:hideMark/>
          </w:tcPr>
          <w:p w14:paraId="297407DC"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107,307</w:t>
            </w:r>
          </w:p>
        </w:tc>
        <w:tc>
          <w:tcPr>
            <w:tcW w:w="1472" w:type="dxa"/>
            <w:tcBorders>
              <w:top w:val="nil"/>
              <w:left w:val="nil"/>
              <w:bottom w:val="single" w:sz="8" w:space="0" w:color="auto"/>
              <w:right w:val="single" w:sz="8" w:space="0" w:color="auto"/>
            </w:tcBorders>
            <w:noWrap/>
            <w:vAlign w:val="center"/>
            <w:hideMark/>
          </w:tcPr>
          <w:p w14:paraId="635E56D7"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1,210,560</w:t>
            </w:r>
          </w:p>
        </w:tc>
        <w:tc>
          <w:tcPr>
            <w:tcW w:w="1297" w:type="dxa"/>
            <w:tcBorders>
              <w:top w:val="nil"/>
              <w:left w:val="nil"/>
              <w:bottom w:val="single" w:sz="8" w:space="0" w:color="auto"/>
              <w:right w:val="single" w:sz="8" w:space="0" w:color="auto"/>
            </w:tcBorders>
            <w:noWrap/>
            <w:vAlign w:val="center"/>
            <w:hideMark/>
          </w:tcPr>
          <w:p w14:paraId="353660BB"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84.20%</w:t>
            </w:r>
          </w:p>
        </w:tc>
        <w:tc>
          <w:tcPr>
            <w:tcW w:w="1297" w:type="dxa"/>
            <w:tcBorders>
              <w:top w:val="nil"/>
              <w:left w:val="nil"/>
              <w:bottom w:val="single" w:sz="8" w:space="0" w:color="auto"/>
              <w:right w:val="single" w:sz="8" w:space="0" w:color="auto"/>
            </w:tcBorders>
            <w:noWrap/>
            <w:vAlign w:val="center"/>
            <w:hideMark/>
          </w:tcPr>
          <w:p w14:paraId="0229AB9F" w14:textId="77777777" w:rsidR="00DF4BDB" w:rsidRPr="00DF4BDB" w:rsidRDefault="00DF4BDB" w:rsidP="00DF4BDB">
            <w:pPr>
              <w:spacing w:after="0" w:line="240" w:lineRule="auto"/>
              <w:jc w:val="center"/>
              <w:rPr>
                <w:rFonts w:ascii="Calibri" w:eastAsia="Times New Roman" w:hAnsi="Calibri" w:cs="Calibri"/>
                <w:b/>
                <w:bCs/>
                <w:color w:val="000000"/>
                <w:sz w:val="20"/>
                <w:szCs w:val="20"/>
                <w:lang w:eastAsia="zh-CN"/>
              </w:rPr>
            </w:pPr>
            <w:r w:rsidRPr="00DF4BDB">
              <w:rPr>
                <w:rFonts w:ascii="Calibri" w:eastAsia="Times New Roman" w:hAnsi="Calibri" w:cs="Calibri"/>
                <w:b/>
                <w:bCs/>
                <w:color w:val="000000"/>
                <w:sz w:val="20"/>
                <w:szCs w:val="20"/>
                <w:lang w:val="es-DO" w:eastAsia="zh-CN"/>
              </w:rPr>
              <w:t>6.90%</w:t>
            </w:r>
          </w:p>
        </w:tc>
        <w:tc>
          <w:tcPr>
            <w:tcW w:w="1402" w:type="dxa"/>
            <w:tcBorders>
              <w:top w:val="nil"/>
              <w:left w:val="nil"/>
              <w:bottom w:val="single" w:sz="8" w:space="0" w:color="auto"/>
              <w:right w:val="single" w:sz="8" w:space="0" w:color="auto"/>
            </w:tcBorders>
            <w:noWrap/>
            <w:vAlign w:val="center"/>
            <w:hideMark/>
          </w:tcPr>
          <w:p w14:paraId="13A9A365"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8.90%</w:t>
            </w:r>
          </w:p>
        </w:tc>
      </w:tr>
      <w:tr w:rsidR="00DF4BDB" w:rsidRPr="00DF4BDB" w14:paraId="4129D825" w14:textId="77777777" w:rsidTr="00DF4BDB">
        <w:trPr>
          <w:trHeight w:val="204"/>
        </w:trPr>
        <w:tc>
          <w:tcPr>
            <w:tcW w:w="841" w:type="dxa"/>
            <w:tcBorders>
              <w:top w:val="nil"/>
              <w:left w:val="single" w:sz="8" w:space="0" w:color="auto"/>
              <w:bottom w:val="single" w:sz="8" w:space="0" w:color="auto"/>
              <w:right w:val="single" w:sz="8" w:space="0" w:color="auto"/>
            </w:tcBorders>
            <w:noWrap/>
            <w:vAlign w:val="center"/>
            <w:hideMark/>
          </w:tcPr>
          <w:p w14:paraId="5FD27AED" w14:textId="77777777" w:rsidR="00DF4BDB" w:rsidRPr="00DF4BDB" w:rsidRDefault="00DF4BDB" w:rsidP="00DF4BDB">
            <w:pPr>
              <w:spacing w:after="0" w:line="240" w:lineRule="auto"/>
              <w:jc w:val="right"/>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2024</w:t>
            </w:r>
          </w:p>
        </w:tc>
        <w:tc>
          <w:tcPr>
            <w:tcW w:w="1261" w:type="dxa"/>
            <w:tcBorders>
              <w:top w:val="nil"/>
              <w:left w:val="nil"/>
              <w:bottom w:val="single" w:sz="8" w:space="0" w:color="auto"/>
              <w:right w:val="single" w:sz="8" w:space="0" w:color="auto"/>
            </w:tcBorders>
            <w:noWrap/>
            <w:vAlign w:val="center"/>
            <w:hideMark/>
          </w:tcPr>
          <w:p w14:paraId="28C2B389"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1,031,115</w:t>
            </w:r>
          </w:p>
        </w:tc>
        <w:tc>
          <w:tcPr>
            <w:tcW w:w="1483" w:type="dxa"/>
            <w:tcBorders>
              <w:top w:val="nil"/>
              <w:left w:val="nil"/>
              <w:bottom w:val="single" w:sz="8" w:space="0" w:color="auto"/>
              <w:right w:val="single" w:sz="8" w:space="0" w:color="auto"/>
            </w:tcBorders>
            <w:noWrap/>
            <w:vAlign w:val="center"/>
            <w:hideMark/>
          </w:tcPr>
          <w:p w14:paraId="506E55A7"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103,365</w:t>
            </w:r>
          </w:p>
        </w:tc>
        <w:tc>
          <w:tcPr>
            <w:tcW w:w="1191" w:type="dxa"/>
            <w:tcBorders>
              <w:top w:val="nil"/>
              <w:left w:val="nil"/>
              <w:bottom w:val="single" w:sz="8" w:space="0" w:color="auto"/>
              <w:right w:val="single" w:sz="8" w:space="0" w:color="auto"/>
            </w:tcBorders>
            <w:noWrap/>
            <w:vAlign w:val="center"/>
            <w:hideMark/>
          </w:tcPr>
          <w:p w14:paraId="33D8BB10"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69,671</w:t>
            </w:r>
          </w:p>
        </w:tc>
        <w:tc>
          <w:tcPr>
            <w:tcW w:w="1472" w:type="dxa"/>
            <w:tcBorders>
              <w:top w:val="nil"/>
              <w:left w:val="nil"/>
              <w:bottom w:val="single" w:sz="8" w:space="0" w:color="auto"/>
              <w:right w:val="single" w:sz="8" w:space="0" w:color="auto"/>
            </w:tcBorders>
            <w:noWrap/>
            <w:vAlign w:val="center"/>
            <w:hideMark/>
          </w:tcPr>
          <w:p w14:paraId="1C8D3506"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eastAsia="zh-CN"/>
              </w:rPr>
              <w:t>1,204,151</w:t>
            </w:r>
          </w:p>
        </w:tc>
        <w:tc>
          <w:tcPr>
            <w:tcW w:w="1297" w:type="dxa"/>
            <w:tcBorders>
              <w:top w:val="nil"/>
              <w:left w:val="nil"/>
              <w:bottom w:val="single" w:sz="8" w:space="0" w:color="auto"/>
              <w:right w:val="single" w:sz="8" w:space="0" w:color="auto"/>
            </w:tcBorders>
            <w:noWrap/>
            <w:vAlign w:val="center"/>
            <w:hideMark/>
          </w:tcPr>
          <w:p w14:paraId="7037E358"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85.60%</w:t>
            </w:r>
          </w:p>
        </w:tc>
        <w:tc>
          <w:tcPr>
            <w:tcW w:w="1297" w:type="dxa"/>
            <w:tcBorders>
              <w:top w:val="nil"/>
              <w:left w:val="nil"/>
              <w:bottom w:val="single" w:sz="8" w:space="0" w:color="auto"/>
              <w:right w:val="single" w:sz="8" w:space="0" w:color="auto"/>
            </w:tcBorders>
            <w:noWrap/>
            <w:vAlign w:val="center"/>
            <w:hideMark/>
          </w:tcPr>
          <w:p w14:paraId="2B19A1B4" w14:textId="77777777" w:rsidR="00DF4BDB" w:rsidRPr="00DF4BDB" w:rsidRDefault="00DF4BDB" w:rsidP="00DF4BDB">
            <w:pPr>
              <w:spacing w:after="0" w:line="240" w:lineRule="auto"/>
              <w:jc w:val="center"/>
              <w:rPr>
                <w:rFonts w:ascii="Calibri" w:eastAsia="Times New Roman" w:hAnsi="Calibri" w:cs="Calibri"/>
                <w:b/>
                <w:bCs/>
                <w:color w:val="000000"/>
                <w:sz w:val="20"/>
                <w:szCs w:val="20"/>
                <w:lang w:eastAsia="zh-CN"/>
              </w:rPr>
            </w:pPr>
            <w:r w:rsidRPr="00DF4BDB">
              <w:rPr>
                <w:rFonts w:ascii="Calibri" w:eastAsia="Times New Roman" w:hAnsi="Calibri" w:cs="Calibri"/>
                <w:b/>
                <w:bCs/>
                <w:color w:val="000000"/>
                <w:sz w:val="20"/>
                <w:szCs w:val="20"/>
                <w:lang w:val="es-DO" w:eastAsia="zh-CN"/>
              </w:rPr>
              <w:t>8.60%</w:t>
            </w:r>
          </w:p>
        </w:tc>
        <w:tc>
          <w:tcPr>
            <w:tcW w:w="1402" w:type="dxa"/>
            <w:tcBorders>
              <w:top w:val="nil"/>
              <w:left w:val="nil"/>
              <w:bottom w:val="single" w:sz="8" w:space="0" w:color="auto"/>
              <w:right w:val="single" w:sz="8" w:space="0" w:color="auto"/>
            </w:tcBorders>
            <w:noWrap/>
            <w:vAlign w:val="center"/>
            <w:hideMark/>
          </w:tcPr>
          <w:p w14:paraId="115D3E40" w14:textId="77777777" w:rsidR="00DF4BDB" w:rsidRPr="00DF4BDB" w:rsidRDefault="00DF4BDB" w:rsidP="00DF4BDB">
            <w:pPr>
              <w:spacing w:after="0" w:line="240" w:lineRule="auto"/>
              <w:jc w:val="center"/>
              <w:rPr>
                <w:rFonts w:ascii="Calibri" w:eastAsia="Times New Roman" w:hAnsi="Calibri" w:cs="Calibri"/>
                <w:color w:val="000000"/>
                <w:sz w:val="20"/>
                <w:szCs w:val="20"/>
                <w:lang w:eastAsia="zh-CN"/>
              </w:rPr>
            </w:pPr>
            <w:r w:rsidRPr="00DF4BDB">
              <w:rPr>
                <w:rFonts w:ascii="Calibri" w:eastAsia="Times New Roman" w:hAnsi="Calibri" w:cs="Calibri"/>
                <w:color w:val="000000"/>
                <w:sz w:val="20"/>
                <w:szCs w:val="20"/>
                <w:lang w:val="es-DO" w:eastAsia="zh-CN"/>
              </w:rPr>
              <w:t>5.80%</w:t>
            </w:r>
          </w:p>
        </w:tc>
      </w:tr>
    </w:tbl>
    <w:p w14:paraId="2E0B9BB8" w14:textId="6B3EFE43" w:rsidR="00863FD0" w:rsidRDefault="008E063C" w:rsidP="00863FD0">
      <w:pPr>
        <w:jc w:val="both"/>
        <w:rPr>
          <w:sz w:val="20"/>
          <w:szCs w:val="20"/>
          <w:lang w:val="es-DO"/>
        </w:rPr>
      </w:pPr>
      <w:r w:rsidRPr="008E063C">
        <w:rPr>
          <w:sz w:val="20"/>
          <w:szCs w:val="20"/>
          <w:lang w:val="es-DO"/>
        </w:rPr>
        <w:t xml:space="preserve">Fuente:  Elaborado en </w:t>
      </w:r>
      <w:proofErr w:type="gramStart"/>
      <w:r w:rsidRPr="008E063C">
        <w:rPr>
          <w:sz w:val="20"/>
          <w:szCs w:val="20"/>
          <w:lang w:val="es-DO"/>
        </w:rPr>
        <w:t>base  a</w:t>
      </w:r>
      <w:proofErr w:type="gramEnd"/>
      <w:r w:rsidRPr="008E063C">
        <w:rPr>
          <w:sz w:val="20"/>
          <w:szCs w:val="20"/>
          <w:lang w:val="es-DO"/>
        </w:rPr>
        <w:t xml:space="preserve"> datos de la RPN y de DGA</w:t>
      </w:r>
    </w:p>
    <w:p w14:paraId="62DB4C59" w14:textId="229391FE" w:rsidR="00DF4BDB" w:rsidRPr="005E315E" w:rsidRDefault="00DF4BDB" w:rsidP="00DF4BDB">
      <w:pPr>
        <w:rPr>
          <w:rFonts w:ascii="Calibri" w:eastAsia="Calibri" w:hAnsi="Calibri" w:cs="Times New Roman"/>
          <w:kern w:val="2"/>
          <w:sz w:val="16"/>
          <w:szCs w:val="16"/>
          <w:lang w:val="es-MX"/>
          <w14:ligatures w14:val="standardContextual"/>
        </w:rPr>
      </w:pPr>
      <w:r>
        <w:rPr>
          <w:sz w:val="20"/>
          <w:szCs w:val="20"/>
          <w:lang w:val="es-DO"/>
        </w:rPr>
        <w:t>Nota:</w:t>
      </w:r>
      <w:r w:rsidRPr="00DF4BDB">
        <w:rPr>
          <w:rFonts w:ascii="Calibri" w:eastAsia="Calibri" w:hAnsi="Calibri" w:cs="Times New Roman"/>
          <w:kern w:val="2"/>
          <w:sz w:val="16"/>
          <w:szCs w:val="16"/>
          <w:lang w:val="es-MX"/>
          <w14:ligatures w14:val="standardContextual"/>
        </w:rPr>
        <w:t xml:space="preserve"> </w:t>
      </w:r>
      <w:r w:rsidRPr="005E315E">
        <w:rPr>
          <w:rFonts w:ascii="Calibri" w:eastAsia="Calibri" w:hAnsi="Calibri" w:cs="Times New Roman"/>
          <w:kern w:val="2"/>
          <w:sz w:val="16"/>
          <w:szCs w:val="16"/>
          <w:lang w:val="es-MX"/>
          <w14:ligatures w14:val="standardContextual"/>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120CDC70" w14:textId="77777777" w:rsidR="00DF4BDB" w:rsidRPr="005E315E" w:rsidRDefault="00DF4BDB" w:rsidP="00DF4BDB">
      <w:pPr>
        <w:rPr>
          <w:rFonts w:ascii="Calibri" w:eastAsia="Calibri" w:hAnsi="Calibri" w:cs="Times New Roman"/>
          <w:kern w:val="2"/>
          <w:sz w:val="16"/>
          <w:szCs w:val="16"/>
          <w:lang w:val="es-ES"/>
          <w14:ligatures w14:val="standardContextual"/>
        </w:rPr>
      </w:pPr>
      <w:r w:rsidRPr="005E315E">
        <w:rPr>
          <w:rFonts w:ascii="Calibri" w:eastAsia="Calibri" w:hAnsi="Calibri" w:cs="Times New Roman"/>
          <w:kern w:val="2"/>
          <w:sz w:val="16"/>
          <w:szCs w:val="16"/>
          <w:lang w:val="es-ES"/>
          <w14:ligatures w14:val="standardContextual"/>
        </w:rPr>
        <w:t xml:space="preserve">LA INFORMACION CONTENIDA EN ESTE DATO/ANEXO ES CONSIDERADA INFORMACION CONFIDENCIAL </w:t>
      </w:r>
      <w:proofErr w:type="gramStart"/>
      <w:r w:rsidRPr="005E315E">
        <w:rPr>
          <w:rFonts w:ascii="Calibri" w:eastAsia="Calibri" w:hAnsi="Calibri" w:cs="Times New Roman"/>
          <w:kern w:val="2"/>
          <w:sz w:val="16"/>
          <w:szCs w:val="16"/>
          <w:lang w:val="es-ES"/>
          <w14:ligatures w14:val="standardContextual"/>
        </w:rPr>
        <w:t>DE ACUERDO AL</w:t>
      </w:r>
      <w:proofErr w:type="gramEnd"/>
      <w:r w:rsidRPr="005E315E">
        <w:rPr>
          <w:rFonts w:ascii="Calibri" w:eastAsia="Calibri" w:hAnsi="Calibri" w:cs="Times New Roman"/>
          <w:kern w:val="2"/>
          <w:sz w:val="16"/>
          <w:szCs w:val="16"/>
          <w:lang w:val="es-ES"/>
          <w14:ligatures w14:val="standardContextual"/>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6FDAA79F" w14:textId="77777777" w:rsidR="00DF4BDB" w:rsidRPr="008E063C" w:rsidRDefault="00DF4BDB" w:rsidP="00863FD0">
      <w:pPr>
        <w:jc w:val="both"/>
        <w:rPr>
          <w:sz w:val="20"/>
          <w:szCs w:val="20"/>
          <w:lang w:val="es-DO"/>
        </w:rPr>
      </w:pPr>
    </w:p>
    <w:p w14:paraId="0E619BEB" w14:textId="77777777" w:rsidR="00863FD0" w:rsidRPr="002534E8" w:rsidRDefault="00863FD0" w:rsidP="00863FD0">
      <w:pPr>
        <w:jc w:val="both"/>
        <w:rPr>
          <w:lang w:val="es-DO"/>
        </w:rPr>
      </w:pPr>
      <w:r>
        <w:rPr>
          <w:lang w:val="es-DO"/>
        </w:rPr>
        <w:t>La</w:t>
      </w:r>
      <w:r w:rsidRPr="002534E8">
        <w:rPr>
          <w:lang w:val="es-DO"/>
        </w:rPr>
        <w:t xml:space="preserve"> pérdida relativa frente a Costa Rica refleja un desplazamiento por las importaciones objeto de dumping. La alta frecuencia de llegadas, la rápida reposición de inventarios, y la flexibilidad en los lotes permiten a l</w:t>
      </w:r>
      <w:r>
        <w:rPr>
          <w:lang w:val="es-DO"/>
        </w:rPr>
        <w:t>as</w:t>
      </w:r>
      <w:r w:rsidRPr="002534E8">
        <w:rPr>
          <w:lang w:val="es-DO"/>
        </w:rPr>
        <w:t xml:space="preserve"> importa</w:t>
      </w:r>
      <w:r>
        <w:rPr>
          <w:lang w:val="es-DO"/>
        </w:rPr>
        <w:t xml:space="preserve">ciones a precios de dumping </w:t>
      </w:r>
      <w:r w:rsidRPr="002534E8">
        <w:rPr>
          <w:lang w:val="es-DO"/>
        </w:rPr>
        <w:t>captar mercado de manera sostenida</w:t>
      </w:r>
      <w:r>
        <w:rPr>
          <w:lang w:val="es-DO"/>
        </w:rPr>
        <w:t xml:space="preserve">. </w:t>
      </w:r>
    </w:p>
    <w:p w14:paraId="51A73114" w14:textId="77777777" w:rsidR="00863FD0" w:rsidRPr="002534E8" w:rsidRDefault="00863FD0" w:rsidP="00863FD0">
      <w:pPr>
        <w:pStyle w:val="ListParagraph"/>
        <w:numPr>
          <w:ilvl w:val="0"/>
          <w:numId w:val="10"/>
        </w:numPr>
        <w:spacing w:line="278" w:lineRule="auto"/>
        <w:jc w:val="both"/>
        <w:rPr>
          <w:b/>
          <w:bCs/>
          <w:lang w:val="es-DO"/>
        </w:rPr>
      </w:pPr>
      <w:r w:rsidRPr="002534E8">
        <w:rPr>
          <w:b/>
          <w:bCs/>
          <w:lang w:val="es-DO"/>
        </w:rPr>
        <w:t>Deterioro de los indicadores económicos y financieros</w:t>
      </w:r>
    </w:p>
    <w:p w14:paraId="1612BAA3" w14:textId="77777777" w:rsidR="00863FD0" w:rsidRPr="002534E8" w:rsidRDefault="00863FD0" w:rsidP="00863FD0">
      <w:pPr>
        <w:jc w:val="both"/>
        <w:rPr>
          <w:lang w:val="es-DO"/>
        </w:rPr>
      </w:pPr>
      <w:r w:rsidRPr="002534E8">
        <w:rPr>
          <w:lang w:val="es-DO"/>
        </w:rPr>
        <w:t>Los indicadores económicos muestran una vulnerabilidad clara:</w:t>
      </w:r>
    </w:p>
    <w:p w14:paraId="678EC80B" w14:textId="5C4DCE6F" w:rsidR="00863FD0" w:rsidRPr="002534E8" w:rsidRDefault="00863FD0" w:rsidP="00863FD0">
      <w:pPr>
        <w:numPr>
          <w:ilvl w:val="0"/>
          <w:numId w:val="8"/>
        </w:numPr>
        <w:spacing w:line="278" w:lineRule="auto"/>
        <w:jc w:val="both"/>
        <w:rPr>
          <w:lang w:val="es-DO"/>
        </w:rPr>
      </w:pPr>
      <w:r w:rsidRPr="002534E8">
        <w:rPr>
          <w:b/>
          <w:bCs/>
          <w:lang w:val="es-DO"/>
        </w:rPr>
        <w:t>Inventarios</w:t>
      </w:r>
      <w:r w:rsidRPr="002534E8">
        <w:rPr>
          <w:lang w:val="es-DO"/>
        </w:rPr>
        <w:t>: Aumentaron un 29.2% de 2023 (</w:t>
      </w:r>
      <w:r w:rsidR="008C4B62">
        <w:rPr>
          <w:lang w:val="es-DO"/>
        </w:rPr>
        <w:t>113,109.12</w:t>
      </w:r>
      <w:r w:rsidR="008C4B62">
        <w:rPr>
          <w:rStyle w:val="FootnoteReference"/>
          <w:lang w:val="es-DO"/>
        </w:rPr>
        <w:footnoteReference w:id="8"/>
      </w:r>
      <w:r w:rsidRPr="002534E8">
        <w:rPr>
          <w:lang w:val="es-DO"/>
        </w:rPr>
        <w:t xml:space="preserve"> TM) a 2024 (</w:t>
      </w:r>
      <w:r w:rsidR="009E3FE3">
        <w:rPr>
          <w:lang w:val="es-DO"/>
        </w:rPr>
        <w:t>146,042.89</w:t>
      </w:r>
      <w:r w:rsidR="009E3FE3">
        <w:rPr>
          <w:rStyle w:val="FootnoteReference"/>
          <w:lang w:val="es-DO"/>
        </w:rPr>
        <w:footnoteReference w:id="9"/>
      </w:r>
      <w:r w:rsidRPr="002534E8">
        <w:rPr>
          <w:lang w:val="es-DO"/>
        </w:rPr>
        <w:t xml:space="preserve"> TM), coincidiendo con el crecimiento de importaciones de 43,595 a 53,836 TM. La rápida reposición de inventarios importados agrava la dificultad para colocar el producto nacional.</w:t>
      </w:r>
    </w:p>
    <w:p w14:paraId="6B9D3D1D" w14:textId="205C9F6E" w:rsidR="00863FD0" w:rsidRPr="002534E8" w:rsidRDefault="00863FD0" w:rsidP="00863FD0">
      <w:pPr>
        <w:numPr>
          <w:ilvl w:val="0"/>
          <w:numId w:val="8"/>
        </w:numPr>
        <w:spacing w:line="278" w:lineRule="auto"/>
        <w:jc w:val="both"/>
        <w:rPr>
          <w:lang w:val="es-DO"/>
        </w:rPr>
      </w:pPr>
      <w:r w:rsidRPr="002534E8">
        <w:rPr>
          <w:b/>
          <w:bCs/>
          <w:lang w:val="es-DO"/>
        </w:rPr>
        <w:t>Producción</w:t>
      </w:r>
      <w:r w:rsidRPr="002534E8">
        <w:rPr>
          <w:lang w:val="es-DO"/>
        </w:rPr>
        <w:t>: Creció un 7%</w:t>
      </w:r>
      <w:r>
        <w:rPr>
          <w:lang w:val="es-DO"/>
        </w:rPr>
        <w:t xml:space="preserve">, </w:t>
      </w:r>
      <w:r w:rsidRPr="002534E8">
        <w:rPr>
          <w:lang w:val="es-DO"/>
        </w:rPr>
        <w:t>de 2022 (</w:t>
      </w:r>
      <w:r w:rsidR="002C572E">
        <w:rPr>
          <w:lang w:val="es-DO"/>
        </w:rPr>
        <w:t>1,265,6</w:t>
      </w:r>
      <w:r w:rsidR="00AE457B">
        <w:rPr>
          <w:lang w:val="es-DO"/>
        </w:rPr>
        <w:t>08.32</w:t>
      </w:r>
      <w:r w:rsidR="00AE457B">
        <w:rPr>
          <w:rStyle w:val="FootnoteReference"/>
          <w:lang w:val="es-DO"/>
        </w:rPr>
        <w:footnoteReference w:id="10"/>
      </w:r>
      <w:r w:rsidRPr="002534E8">
        <w:rPr>
          <w:lang w:val="es-DO"/>
        </w:rPr>
        <w:t xml:space="preserve"> TM) a 2024 (</w:t>
      </w:r>
      <w:r w:rsidR="00AE457B">
        <w:rPr>
          <w:lang w:val="es-DO"/>
        </w:rPr>
        <w:t>1,354,143.36</w:t>
      </w:r>
      <w:r w:rsidRPr="002534E8">
        <w:rPr>
          <w:lang w:val="es-DO"/>
        </w:rPr>
        <w:t xml:space="preserve"> TM), </w:t>
      </w:r>
      <w:r>
        <w:rPr>
          <w:lang w:val="es-DO"/>
        </w:rPr>
        <w:t xml:space="preserve">acorde con la demanda interna, </w:t>
      </w:r>
      <w:r w:rsidRPr="002534E8">
        <w:rPr>
          <w:lang w:val="es-DO"/>
        </w:rPr>
        <w:t>pero la presión de precios</w:t>
      </w:r>
      <w:r>
        <w:rPr>
          <w:lang w:val="es-DO"/>
        </w:rPr>
        <w:t xml:space="preserve"> </w:t>
      </w:r>
      <w:r w:rsidRPr="002534E8">
        <w:rPr>
          <w:lang w:val="es-DO"/>
        </w:rPr>
        <w:t>amenaza su sostenibilidad.</w:t>
      </w:r>
    </w:p>
    <w:p w14:paraId="0A3E69B0" w14:textId="7B49B455" w:rsidR="00863FD0" w:rsidRPr="002534E8" w:rsidRDefault="00863FD0" w:rsidP="00863FD0">
      <w:pPr>
        <w:numPr>
          <w:ilvl w:val="0"/>
          <w:numId w:val="8"/>
        </w:numPr>
        <w:spacing w:line="278" w:lineRule="auto"/>
        <w:jc w:val="both"/>
        <w:rPr>
          <w:lang w:val="es-DO"/>
        </w:rPr>
      </w:pPr>
      <w:r w:rsidRPr="002534E8">
        <w:rPr>
          <w:b/>
          <w:bCs/>
          <w:lang w:val="es-DO"/>
        </w:rPr>
        <w:t>Ventas</w:t>
      </w:r>
      <w:r w:rsidRPr="002534E8">
        <w:rPr>
          <w:lang w:val="es-DO"/>
        </w:rPr>
        <w:t>: Cayeron un 7% en valor de 2022 (</w:t>
      </w:r>
      <w:r w:rsidR="00115DE3">
        <w:rPr>
          <w:lang w:val="es-DO"/>
        </w:rPr>
        <w:t>58,135.49</w:t>
      </w:r>
      <w:r w:rsidR="00115DE3">
        <w:rPr>
          <w:rStyle w:val="FootnoteReference"/>
          <w:lang w:val="es-DO"/>
        </w:rPr>
        <w:footnoteReference w:id="11"/>
      </w:r>
      <w:r w:rsidRPr="002534E8">
        <w:rPr>
          <w:lang w:val="es-DO"/>
        </w:rPr>
        <w:t xml:space="preserve"> MM DOP) a 2024 (</w:t>
      </w:r>
      <w:r w:rsidR="00115DE3">
        <w:rPr>
          <w:lang w:val="es-DO"/>
        </w:rPr>
        <w:t>54,040</w:t>
      </w:r>
      <w:r w:rsidR="00EB49FE">
        <w:rPr>
          <w:lang w:val="es-DO"/>
        </w:rPr>
        <w:t>.89</w:t>
      </w:r>
      <w:r w:rsidR="00EB49FE">
        <w:rPr>
          <w:rStyle w:val="FootnoteReference"/>
          <w:lang w:val="es-DO"/>
        </w:rPr>
        <w:footnoteReference w:id="12"/>
      </w:r>
      <w:r w:rsidRPr="002534E8">
        <w:rPr>
          <w:lang w:val="es-DO"/>
        </w:rPr>
        <w:t xml:space="preserve"> MM DOP), pese a un aumento del 7% en volumen, reflejando la presión de precios.</w:t>
      </w:r>
    </w:p>
    <w:p w14:paraId="17694B00" w14:textId="3B5D1B39" w:rsidR="00863FD0" w:rsidRPr="002534E8" w:rsidRDefault="00863FD0" w:rsidP="00863FD0">
      <w:pPr>
        <w:numPr>
          <w:ilvl w:val="0"/>
          <w:numId w:val="8"/>
        </w:numPr>
        <w:spacing w:line="278" w:lineRule="auto"/>
        <w:jc w:val="both"/>
        <w:rPr>
          <w:lang w:val="es-DO"/>
        </w:rPr>
      </w:pPr>
      <w:r w:rsidRPr="002534E8">
        <w:rPr>
          <w:b/>
          <w:bCs/>
          <w:lang w:val="es-DO"/>
        </w:rPr>
        <w:t>Rentabilidad</w:t>
      </w:r>
      <w:r w:rsidRPr="002534E8">
        <w:rPr>
          <w:lang w:val="es-DO"/>
        </w:rPr>
        <w:t xml:space="preserve">: </w:t>
      </w:r>
      <w:r>
        <w:rPr>
          <w:lang w:val="es-DO"/>
        </w:rPr>
        <w:t xml:space="preserve">La proyección precios relativos contrayéndose en un </w:t>
      </w:r>
      <w:r w:rsidRPr="002534E8">
        <w:rPr>
          <w:lang w:val="es-DO"/>
        </w:rPr>
        <w:t>1</w:t>
      </w:r>
      <w:r w:rsidR="00442112">
        <w:rPr>
          <w:lang w:val="es-DO"/>
        </w:rPr>
        <w:t>3</w:t>
      </w:r>
      <w:r w:rsidRPr="002534E8">
        <w:rPr>
          <w:lang w:val="es-DO"/>
        </w:rPr>
        <w:t xml:space="preserve">% (para poder competir, según las proyecciones ARIMA), generaría una contracción </w:t>
      </w:r>
      <w:r w:rsidR="00442112">
        <w:rPr>
          <w:lang w:val="es-DO"/>
        </w:rPr>
        <w:t xml:space="preserve">en los indicadores financieros por factores de precios, volúmenes o una combinación de ambas como bien refleja el análisis de daño. </w:t>
      </w:r>
    </w:p>
    <w:p w14:paraId="2899D7F5" w14:textId="77777777" w:rsidR="00863FD0" w:rsidRPr="002534E8" w:rsidRDefault="00863FD0" w:rsidP="00863FD0">
      <w:pPr>
        <w:jc w:val="both"/>
        <w:rPr>
          <w:lang w:val="es-DO"/>
        </w:rPr>
      </w:pPr>
    </w:p>
    <w:p w14:paraId="30FEA6C0" w14:textId="77777777" w:rsidR="00863FD0" w:rsidRPr="00442112" w:rsidRDefault="00863FD0" w:rsidP="00863FD0">
      <w:pPr>
        <w:pStyle w:val="ListParagraph"/>
        <w:numPr>
          <w:ilvl w:val="0"/>
          <w:numId w:val="11"/>
        </w:numPr>
        <w:spacing w:line="278" w:lineRule="auto"/>
        <w:jc w:val="both"/>
        <w:rPr>
          <w:b/>
          <w:bCs/>
          <w:sz w:val="24"/>
          <w:szCs w:val="24"/>
          <w:lang w:val="es-DO"/>
        </w:rPr>
      </w:pPr>
      <w:r w:rsidRPr="00442112">
        <w:rPr>
          <w:b/>
          <w:bCs/>
          <w:sz w:val="24"/>
          <w:szCs w:val="24"/>
          <w:lang w:val="es-DO"/>
        </w:rPr>
        <w:t>Análisis de Factores Concurrentes: Principio de No Atribución</w:t>
      </w:r>
    </w:p>
    <w:p w14:paraId="344FD7F0" w14:textId="77777777" w:rsidR="00863FD0" w:rsidRPr="002534E8" w:rsidRDefault="00863FD0" w:rsidP="00442112">
      <w:pPr>
        <w:jc w:val="both"/>
        <w:rPr>
          <w:lang w:val="es-DO"/>
        </w:rPr>
      </w:pPr>
      <w:r>
        <w:rPr>
          <w:lang w:val="es-DO"/>
        </w:rPr>
        <w:t xml:space="preserve">A continuación, se descripción y analizan una serie exhaustiva de factores, con el objetivo de </w:t>
      </w:r>
      <w:r w:rsidRPr="002534E8">
        <w:rPr>
          <w:lang w:val="es-DO"/>
        </w:rPr>
        <w:t xml:space="preserve">descartar </w:t>
      </w:r>
      <w:r>
        <w:rPr>
          <w:lang w:val="es-DO"/>
        </w:rPr>
        <w:t xml:space="preserve">las atribuciones a la amenaza de dañó: </w:t>
      </w:r>
      <w:r w:rsidRPr="002534E8">
        <w:rPr>
          <w:lang w:val="es-DO"/>
        </w:rPr>
        <w:t xml:space="preserve"> </w:t>
      </w:r>
    </w:p>
    <w:p w14:paraId="761BD0E6"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Contracción de la Demanda o Cambios en Patrones de Consumo</w:t>
      </w:r>
    </w:p>
    <w:p w14:paraId="242A0908" w14:textId="77777777" w:rsidR="00863FD0" w:rsidRPr="002534E8" w:rsidRDefault="00863FD0" w:rsidP="00863FD0">
      <w:pPr>
        <w:ind w:left="720"/>
        <w:jc w:val="both"/>
        <w:rPr>
          <w:lang w:val="es-DO"/>
        </w:rPr>
      </w:pPr>
      <w:r w:rsidRPr="002534E8">
        <w:rPr>
          <w:lang w:val="es-DO"/>
        </w:rPr>
        <w:t>Durante el período evaluado (2022–2024), la demanda nacional de varillas ha mostrado consistencia y crecimiento moderado, particularmente vinculada al dinamismo del sector construcción. No hay evidencia de que los consumidores hayan sustituido las varillas por productos alternativos (como barras compuestas o prefabricados), ni que haya habido una retracción generalizada del mercado.</w:t>
      </w:r>
    </w:p>
    <w:p w14:paraId="7BA94CF2" w14:textId="31BA6C23" w:rsidR="00863FD0" w:rsidRPr="002534E8" w:rsidRDefault="00863FD0" w:rsidP="00863FD0">
      <w:pPr>
        <w:ind w:left="720"/>
        <w:jc w:val="both"/>
        <w:rPr>
          <w:lang w:val="es-DO"/>
        </w:rPr>
      </w:pPr>
      <w:r w:rsidRPr="002534E8">
        <w:rPr>
          <w:lang w:val="es-DO"/>
        </w:rPr>
        <w:t xml:space="preserve">El consumo aparente se ha mantenido en torno a las </w:t>
      </w:r>
      <w:r w:rsidR="00216245">
        <w:rPr>
          <w:lang w:val="es-DO"/>
        </w:rPr>
        <w:t>1,190.4</w:t>
      </w:r>
      <w:r w:rsidR="00216245">
        <w:rPr>
          <w:rStyle w:val="FootnoteReference"/>
          <w:lang w:val="es-DO"/>
        </w:rPr>
        <w:footnoteReference w:id="13"/>
      </w:r>
      <w:r w:rsidRPr="002534E8">
        <w:rPr>
          <w:lang w:val="es-DO"/>
        </w:rPr>
        <w:t xml:space="preserve"> mil toneladas anuales, y las ventas en volumen de la RPN crecieron de </w:t>
      </w:r>
      <w:r w:rsidR="00216245">
        <w:rPr>
          <w:lang w:val="es-DO"/>
        </w:rPr>
        <w:t>961.92</w:t>
      </w:r>
      <w:r w:rsidR="00216245">
        <w:rPr>
          <w:rStyle w:val="FootnoteReference"/>
          <w:lang w:val="es-DO"/>
        </w:rPr>
        <w:footnoteReference w:id="14"/>
      </w:r>
      <w:r w:rsidRPr="002534E8">
        <w:rPr>
          <w:lang w:val="es-DO"/>
        </w:rPr>
        <w:t xml:space="preserve"> mil TM en 2022 a </w:t>
      </w:r>
      <w:r w:rsidR="00245D42">
        <w:rPr>
          <w:lang w:val="es-DO"/>
        </w:rPr>
        <w:t>1,31.04</w:t>
      </w:r>
      <w:r w:rsidR="00245D42">
        <w:rPr>
          <w:rStyle w:val="FootnoteReference"/>
          <w:lang w:val="es-DO"/>
        </w:rPr>
        <w:footnoteReference w:id="15"/>
      </w:r>
      <w:r w:rsidRPr="002534E8">
        <w:rPr>
          <w:lang w:val="es-DO"/>
        </w:rPr>
        <w:t xml:space="preserve"> mil TM en 2024. En consecuencia, la presión sobre precios</w:t>
      </w:r>
      <w:r w:rsidR="00442112">
        <w:rPr>
          <w:lang w:val="es-DO"/>
        </w:rPr>
        <w:t xml:space="preserve"> y el mantenimiento de la participación de mercado, y sus implicaciones sobre la </w:t>
      </w:r>
      <w:r w:rsidRPr="002534E8">
        <w:rPr>
          <w:lang w:val="es-DO"/>
        </w:rPr>
        <w:t>rentabilidad no puede</w:t>
      </w:r>
      <w:r w:rsidR="00442112">
        <w:rPr>
          <w:lang w:val="es-DO"/>
        </w:rPr>
        <w:t>n</w:t>
      </w:r>
      <w:r w:rsidRPr="002534E8">
        <w:rPr>
          <w:lang w:val="es-DO"/>
        </w:rPr>
        <w:t xml:space="preserve"> explicarse por una caída del consumo, sino por la competencia desleal de importaciones.</w:t>
      </w:r>
    </w:p>
    <w:p w14:paraId="28F9E656"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Ineficiencias o Problemas Internos de la Industria Nacional</w:t>
      </w:r>
    </w:p>
    <w:p w14:paraId="160645FD" w14:textId="77777777" w:rsidR="00863FD0" w:rsidRPr="002534E8" w:rsidRDefault="00863FD0" w:rsidP="00863FD0">
      <w:pPr>
        <w:ind w:left="720"/>
        <w:jc w:val="both"/>
        <w:rPr>
          <w:lang w:val="es-DO"/>
        </w:rPr>
      </w:pPr>
      <w:r w:rsidRPr="002534E8">
        <w:rPr>
          <w:lang w:val="es-DO"/>
        </w:rPr>
        <w:t>La RPN ha demostrado solidez operativa</w:t>
      </w:r>
      <w:r>
        <w:rPr>
          <w:lang w:val="es-DO"/>
        </w:rPr>
        <w:t xml:space="preserve"> </w:t>
      </w:r>
      <w:r w:rsidRPr="002534E8">
        <w:rPr>
          <w:lang w:val="es-DO"/>
        </w:rPr>
        <w:t>y eficiencia relativa. No existen evidencias de ineficiencias tecnológicas, administrativas ni logísticas que justifiquen una pérdida de competitividad.</w:t>
      </w:r>
    </w:p>
    <w:p w14:paraId="09B7BF19" w14:textId="15111844" w:rsidR="00863FD0" w:rsidRPr="002534E8" w:rsidRDefault="00863FD0" w:rsidP="00863FD0">
      <w:pPr>
        <w:ind w:left="720"/>
        <w:jc w:val="both"/>
        <w:rPr>
          <w:lang w:val="es-DO"/>
        </w:rPr>
      </w:pPr>
      <w:r w:rsidRPr="002534E8">
        <w:rPr>
          <w:lang w:val="es-DO"/>
        </w:rPr>
        <w:t xml:space="preserve">Más aún, la única razón por la cual se </w:t>
      </w:r>
      <w:r w:rsidR="00345FF8">
        <w:rPr>
          <w:lang w:val="es-DO"/>
        </w:rPr>
        <w:t xml:space="preserve">podría proyectar </w:t>
      </w:r>
      <w:r w:rsidRPr="002534E8">
        <w:rPr>
          <w:lang w:val="es-DO"/>
        </w:rPr>
        <w:t xml:space="preserve">un deterioro en márgenes y beneficios </w:t>
      </w:r>
      <w:r w:rsidR="00345FF8">
        <w:rPr>
          <w:lang w:val="es-DO"/>
        </w:rPr>
        <w:t xml:space="preserve">se debe a la </w:t>
      </w:r>
      <w:r w:rsidRPr="002534E8">
        <w:rPr>
          <w:lang w:val="es-DO"/>
        </w:rPr>
        <w:t>competencia de</w:t>
      </w:r>
      <w:r w:rsidR="00345FF8">
        <w:rPr>
          <w:lang w:val="es-DO"/>
        </w:rPr>
        <w:t xml:space="preserve">sleal de varillas de </w:t>
      </w:r>
      <w:r w:rsidR="00345FF8" w:rsidRPr="002534E8">
        <w:rPr>
          <w:lang w:val="es-DO"/>
        </w:rPr>
        <w:t>Costa</w:t>
      </w:r>
      <w:r w:rsidRPr="002534E8">
        <w:rPr>
          <w:lang w:val="es-DO"/>
        </w:rPr>
        <w:t xml:space="preserve"> Rica, cuyos productos presentan un margen de dumping del </w:t>
      </w:r>
      <w:r w:rsidR="00345FF8">
        <w:rPr>
          <w:lang w:val="es-DO"/>
        </w:rPr>
        <w:t>17.5%</w:t>
      </w:r>
      <w:r w:rsidRPr="002534E8">
        <w:rPr>
          <w:lang w:val="es-DO"/>
        </w:rPr>
        <w:t xml:space="preserve">.  </w:t>
      </w:r>
    </w:p>
    <w:p w14:paraId="692AE0C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Importaciones de otros países</w:t>
      </w:r>
    </w:p>
    <w:p w14:paraId="35DEF448" w14:textId="2E281E35" w:rsidR="00345FF8" w:rsidRDefault="00863FD0" w:rsidP="00863FD0">
      <w:pPr>
        <w:ind w:left="720"/>
        <w:jc w:val="both"/>
        <w:rPr>
          <w:lang w:val="es-DO"/>
        </w:rPr>
      </w:pPr>
      <w:r w:rsidRPr="002534E8">
        <w:rPr>
          <w:lang w:val="es-DO"/>
        </w:rPr>
        <w:t>Aunque República Dominicana importa varillas desde otros orígenes (</w:t>
      </w:r>
      <w:proofErr w:type="gramStart"/>
      <w:r w:rsidRPr="002534E8">
        <w:rPr>
          <w:lang w:val="es-DO"/>
        </w:rPr>
        <w:t>EEUU</w:t>
      </w:r>
      <w:proofErr w:type="gramEnd"/>
      <w:r w:rsidRPr="002534E8">
        <w:rPr>
          <w:lang w:val="es-DO"/>
        </w:rPr>
        <w:t>, Colombia, Japón, Rusia), ninguno de ellos presenta una participación comparable a Costa Rica</w:t>
      </w:r>
      <w:r w:rsidR="00345FF8">
        <w:rPr>
          <w:lang w:val="es-DO"/>
        </w:rPr>
        <w:t xml:space="preserve">, </w:t>
      </w:r>
      <w:r w:rsidRPr="002534E8">
        <w:rPr>
          <w:lang w:val="es-DO"/>
        </w:rPr>
        <w:t xml:space="preserve">representó entre el </w:t>
      </w:r>
      <w:r w:rsidRPr="00345FF8">
        <w:rPr>
          <w:b/>
          <w:bCs/>
          <w:lang w:val="es-DO"/>
        </w:rPr>
        <w:t>44% y 73%</w:t>
      </w:r>
      <w:r w:rsidRPr="002534E8">
        <w:rPr>
          <w:lang w:val="es-DO"/>
        </w:rPr>
        <w:t xml:space="preserve"> de las importaciones totales entre 2022 y 2024. </w:t>
      </w:r>
      <w:r w:rsidR="00345FF8">
        <w:rPr>
          <w:lang w:val="es-DO"/>
        </w:rPr>
        <w:t xml:space="preserve">En adición, únicamente hemos podido determinar que </w:t>
      </w:r>
      <w:r w:rsidR="00124616">
        <w:rPr>
          <w:lang w:val="es-DO"/>
        </w:rPr>
        <w:t xml:space="preserve">las exportaciones de </w:t>
      </w:r>
      <w:r w:rsidR="00345FF8">
        <w:rPr>
          <w:lang w:val="es-DO"/>
        </w:rPr>
        <w:t xml:space="preserve">Costa Rica e basan en prácticas de dumping. </w:t>
      </w:r>
    </w:p>
    <w:p w14:paraId="2CFECD39" w14:textId="7AFBA9E8" w:rsidR="00863FD0" w:rsidRPr="002534E8" w:rsidRDefault="00863FD0" w:rsidP="00863FD0">
      <w:pPr>
        <w:ind w:left="720"/>
        <w:jc w:val="both"/>
        <w:rPr>
          <w:lang w:val="es-DO"/>
        </w:rPr>
      </w:pPr>
      <w:r w:rsidRPr="002534E8">
        <w:rPr>
          <w:lang w:val="es-DO"/>
        </w:rPr>
        <w:t xml:space="preserve">En 2024, sus exportaciones </w:t>
      </w:r>
      <w:r w:rsidR="00124616">
        <w:rPr>
          <w:lang w:val="es-DO"/>
        </w:rPr>
        <w:t xml:space="preserve">de Costa Rica </w:t>
      </w:r>
      <w:r w:rsidRPr="002534E8">
        <w:rPr>
          <w:lang w:val="es-DO"/>
        </w:rPr>
        <w:t xml:space="preserve">a </w:t>
      </w:r>
      <w:r w:rsidR="00124616">
        <w:rPr>
          <w:lang w:val="es-DO"/>
        </w:rPr>
        <w:t>Republica Dominicana s</w:t>
      </w:r>
      <w:r w:rsidRPr="002534E8">
        <w:rPr>
          <w:lang w:val="es-DO"/>
        </w:rPr>
        <w:t xml:space="preserve">uperaron las 53 mil toneladas, con un precio medio de </w:t>
      </w:r>
      <w:r w:rsidR="0019489A">
        <w:rPr>
          <w:lang w:val="es-DO"/>
        </w:rPr>
        <w:t>1,400.45</w:t>
      </w:r>
      <w:r w:rsidR="0019489A">
        <w:rPr>
          <w:rStyle w:val="FootnoteReference"/>
          <w:lang w:val="es-DO"/>
        </w:rPr>
        <w:footnoteReference w:id="16"/>
      </w:r>
      <w:r w:rsidRPr="002534E8">
        <w:rPr>
          <w:lang w:val="es-DO"/>
        </w:rPr>
        <w:t xml:space="preserve"> USD/tonelada, muy por debajo del precio nacional de </w:t>
      </w:r>
      <w:r w:rsidR="0019489A">
        <w:rPr>
          <w:lang w:val="es-DO"/>
        </w:rPr>
        <w:t>1,689.60</w:t>
      </w:r>
      <w:r w:rsidR="0019489A">
        <w:rPr>
          <w:rStyle w:val="FootnoteReference"/>
          <w:lang w:val="es-DO"/>
        </w:rPr>
        <w:footnoteReference w:id="17"/>
      </w:r>
      <w:r w:rsidRPr="002534E8">
        <w:rPr>
          <w:lang w:val="es-DO"/>
        </w:rPr>
        <w:t xml:space="preserve"> USD/TM.</w:t>
      </w:r>
      <w:r>
        <w:rPr>
          <w:lang w:val="es-DO"/>
        </w:rPr>
        <w:t xml:space="preserve">  </w:t>
      </w:r>
      <w:r w:rsidR="00124616">
        <w:rPr>
          <w:lang w:val="es-DO"/>
        </w:rPr>
        <w:t xml:space="preserve">Los </w:t>
      </w:r>
      <w:r w:rsidR="00124616" w:rsidRPr="002534E8">
        <w:rPr>
          <w:lang w:val="es-DO"/>
        </w:rPr>
        <w:t>casos</w:t>
      </w:r>
      <w:r w:rsidRPr="002534E8">
        <w:rPr>
          <w:lang w:val="es-DO"/>
        </w:rPr>
        <w:t xml:space="preserve"> específico</w:t>
      </w:r>
      <w:r>
        <w:rPr>
          <w:lang w:val="es-DO"/>
        </w:rPr>
        <w:t>s</w:t>
      </w:r>
      <w:r w:rsidRPr="002534E8">
        <w:rPr>
          <w:lang w:val="es-DO"/>
        </w:rPr>
        <w:t xml:space="preserve"> de los demás países importadores fue</w:t>
      </w:r>
      <w:r>
        <w:rPr>
          <w:lang w:val="es-DO"/>
        </w:rPr>
        <w:t>ron</w:t>
      </w:r>
      <w:r w:rsidRPr="002534E8">
        <w:rPr>
          <w:lang w:val="es-DO"/>
        </w:rPr>
        <w:t>:</w:t>
      </w:r>
    </w:p>
    <w:p w14:paraId="4613D8C0" w14:textId="77777777" w:rsidR="00863FD0" w:rsidRPr="002534E8" w:rsidRDefault="00863FD0" w:rsidP="00863FD0">
      <w:pPr>
        <w:numPr>
          <w:ilvl w:val="1"/>
          <w:numId w:val="9"/>
        </w:numPr>
        <w:spacing w:line="278" w:lineRule="auto"/>
        <w:jc w:val="both"/>
        <w:rPr>
          <w:lang w:val="es-DO"/>
        </w:rPr>
      </w:pPr>
      <w:r w:rsidRPr="002534E8">
        <w:rPr>
          <w:lang w:val="es-DO"/>
        </w:rPr>
        <w:lastRenderedPageBreak/>
        <w:t>Rusia: Importaciones concentradas en 2023 y el primer trimestre de 2024, motivadas por sanciones internacionales debido al conflicto con Ucrania. No se registraron importaciones significativas tras el primer trimestre de 2024.</w:t>
      </w:r>
    </w:p>
    <w:p w14:paraId="026F1DD0" w14:textId="0E57C8D5" w:rsidR="00863FD0" w:rsidRPr="002534E8" w:rsidRDefault="00863FD0" w:rsidP="00863FD0">
      <w:pPr>
        <w:numPr>
          <w:ilvl w:val="1"/>
          <w:numId w:val="9"/>
        </w:numPr>
        <w:spacing w:line="278" w:lineRule="auto"/>
        <w:jc w:val="both"/>
        <w:rPr>
          <w:lang w:val="es-DO"/>
        </w:rPr>
      </w:pPr>
      <w:r w:rsidRPr="002534E8">
        <w:rPr>
          <w:lang w:val="es-DO"/>
        </w:rPr>
        <w:t>Japón y Colombia: Importaciones solo en el primer trimestre de 2025, sin presencia en 2022-2024. Sus volúmenes no reflejan una amenaza sostenida.</w:t>
      </w:r>
      <w:r w:rsidR="00124616">
        <w:rPr>
          <w:lang w:val="es-DO"/>
        </w:rPr>
        <w:t xml:space="preserve"> Se estará monitoreando el comportamiento de las exportaciones de Colombia. </w:t>
      </w:r>
    </w:p>
    <w:p w14:paraId="7BD762CA" w14:textId="77777777" w:rsidR="00863FD0" w:rsidRPr="002534E8" w:rsidRDefault="00863FD0" w:rsidP="00863FD0">
      <w:pPr>
        <w:numPr>
          <w:ilvl w:val="1"/>
          <w:numId w:val="9"/>
        </w:numPr>
        <w:spacing w:line="278" w:lineRule="auto"/>
        <w:jc w:val="both"/>
        <w:rPr>
          <w:lang w:val="es-DO"/>
        </w:rPr>
      </w:pPr>
      <w:r w:rsidRPr="002534E8">
        <w:rPr>
          <w:lang w:val="es-DO"/>
        </w:rPr>
        <w:t>Estados Unidos: Segundo mayor origen, pero con precios superiores a los de Costa Rica, limitando su impacto competitivo.</w:t>
      </w:r>
    </w:p>
    <w:p w14:paraId="10F5E25D" w14:textId="77777777" w:rsidR="00863FD0" w:rsidRPr="002534E8" w:rsidRDefault="00863FD0" w:rsidP="00863FD0">
      <w:pPr>
        <w:jc w:val="both"/>
        <w:rPr>
          <w:lang w:val="es-DO"/>
        </w:rPr>
      </w:pPr>
    </w:p>
    <w:p w14:paraId="43F9C175"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Aumentos en los Costos de Insumos</w:t>
      </w:r>
    </w:p>
    <w:p w14:paraId="5F7F7DC5" w14:textId="77777777" w:rsidR="00863FD0" w:rsidRDefault="00863FD0" w:rsidP="00863FD0">
      <w:pPr>
        <w:ind w:left="720"/>
        <w:jc w:val="both"/>
        <w:rPr>
          <w:lang w:val="es-DO"/>
        </w:rPr>
      </w:pPr>
      <w:r w:rsidRPr="002534E8">
        <w:rPr>
          <w:lang w:val="es-DO"/>
        </w:rPr>
        <w:t xml:space="preserve">El principal insumo para la producción de varillas es la palanquilla de acero, un </w:t>
      </w:r>
      <w:proofErr w:type="spellStart"/>
      <w:r w:rsidRPr="002534E8">
        <w:rPr>
          <w:lang w:val="es-DO"/>
        </w:rPr>
        <w:t>commodity</w:t>
      </w:r>
      <w:proofErr w:type="spellEnd"/>
      <w:r w:rsidRPr="002534E8">
        <w:rPr>
          <w:lang w:val="es-DO"/>
        </w:rPr>
        <w:t xml:space="preserve"> transado a nivel internacional, cuyo precio de referencia es conocido y monitoreado por ambos países. Tanto la República Dominicana como Costa Rica </w:t>
      </w:r>
      <w:r>
        <w:rPr>
          <w:lang w:val="es-DO"/>
        </w:rPr>
        <w:t xml:space="preserve">importan </w:t>
      </w:r>
      <w:r w:rsidRPr="002534E8">
        <w:rPr>
          <w:lang w:val="es-DO"/>
        </w:rPr>
        <w:t xml:space="preserve">la palanquilla y por tanto están sujetos </w:t>
      </w:r>
      <w:r>
        <w:rPr>
          <w:lang w:val="es-DO"/>
        </w:rPr>
        <w:t xml:space="preserve">precios </w:t>
      </w:r>
      <w:r w:rsidRPr="002534E8">
        <w:rPr>
          <w:lang w:val="es-DO"/>
        </w:rPr>
        <w:t>bases internacional</w:t>
      </w:r>
      <w:r>
        <w:rPr>
          <w:lang w:val="es-DO"/>
        </w:rPr>
        <w:t xml:space="preserve">es similares. </w:t>
      </w:r>
      <w:r w:rsidRPr="002534E8">
        <w:rPr>
          <w:lang w:val="es-DO"/>
        </w:rPr>
        <w:t xml:space="preserve"> </w:t>
      </w:r>
    </w:p>
    <w:p w14:paraId="3908C75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Cambios en Regulaciones o Normas de Calidad</w:t>
      </w:r>
    </w:p>
    <w:p w14:paraId="20D4D144" w14:textId="77777777" w:rsidR="00863FD0" w:rsidRPr="002534E8" w:rsidRDefault="00863FD0" w:rsidP="00863FD0">
      <w:pPr>
        <w:ind w:left="720"/>
        <w:jc w:val="both"/>
        <w:rPr>
          <w:lang w:val="es-DO"/>
        </w:rPr>
      </w:pPr>
      <w:r w:rsidRPr="002534E8">
        <w:rPr>
          <w:lang w:val="es-DO"/>
        </w:rPr>
        <w:t xml:space="preserve">No se han introducido nuevas regulaciones, impuestos especiales, estándares ambientales o técnicos que afecten negativamente a la industria nacional durante el período de evaluación. </w:t>
      </w:r>
    </w:p>
    <w:p w14:paraId="1F6CE410" w14:textId="77777777" w:rsidR="00863FD0" w:rsidRPr="002534E8" w:rsidRDefault="00863FD0" w:rsidP="00863FD0">
      <w:pPr>
        <w:ind w:left="720"/>
        <w:jc w:val="both"/>
        <w:rPr>
          <w:lang w:val="es-DO"/>
        </w:rPr>
      </w:pPr>
      <w:r w:rsidRPr="002534E8">
        <w:rPr>
          <w:lang w:val="es-DO"/>
        </w:rPr>
        <w:t>En ausencia de cambios regulatorios, no se puede atribuir el daño a factores institucionales ni a desventajas normativas. La estructura del mercado ha permanecido constante, y el entorno competitivo se ha visto alterado únicamente por las condiciones de precio de las importaciones costarricenses.</w:t>
      </w:r>
    </w:p>
    <w:p w14:paraId="2F7602C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Factores Macroeconómicos o Eventos Externos</w:t>
      </w:r>
    </w:p>
    <w:p w14:paraId="5D55FC70" w14:textId="77777777" w:rsidR="00863FD0" w:rsidRPr="002534E8" w:rsidRDefault="00863FD0" w:rsidP="00863FD0">
      <w:pPr>
        <w:ind w:left="720"/>
        <w:jc w:val="both"/>
        <w:rPr>
          <w:lang w:val="es-DO"/>
        </w:rPr>
      </w:pPr>
      <w:r w:rsidRPr="002534E8">
        <w:rPr>
          <w:lang w:val="es-DO"/>
        </w:rPr>
        <w:t xml:space="preserve">La economía dominicana ha mostrado resiliencia y crecimiento. No se ha producido recesión, hiperinflación, devaluación abrupta ni eventos naturales que afecten la producción o distribución de varillas. La demanda interna ha sido </w:t>
      </w:r>
      <w:r>
        <w:rPr>
          <w:lang w:val="es-DO"/>
        </w:rPr>
        <w:t xml:space="preserve">estable, </w:t>
      </w:r>
      <w:r w:rsidRPr="002534E8">
        <w:rPr>
          <w:lang w:val="es-DO"/>
        </w:rPr>
        <w:t>impulsada por la inversión pública y privada en infraestructura.</w:t>
      </w:r>
    </w:p>
    <w:p w14:paraId="46C23498" w14:textId="3BBF4829" w:rsidR="00863FD0" w:rsidRPr="002534E8" w:rsidRDefault="00863FD0" w:rsidP="00863FD0">
      <w:pPr>
        <w:ind w:left="720"/>
        <w:jc w:val="both"/>
        <w:rPr>
          <w:lang w:val="es-DO"/>
        </w:rPr>
      </w:pPr>
      <w:r w:rsidRPr="002534E8">
        <w:rPr>
          <w:lang w:val="es-DO"/>
        </w:rPr>
        <w:t xml:space="preserve">En este contexto, la caída de ingresos proyectada o puede explicarse por eventos macroeconómicos, sino por la necesidad de </w:t>
      </w:r>
      <w:r w:rsidR="00124616">
        <w:rPr>
          <w:lang w:val="es-DO"/>
        </w:rPr>
        <w:t xml:space="preserve">hacer frente a las importaciones a precios de dumping originarias de Costa Rica. </w:t>
      </w:r>
    </w:p>
    <w:p w14:paraId="2368983E"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Restricciones de Capacidad o Problemas Operativos</w:t>
      </w:r>
    </w:p>
    <w:p w14:paraId="7EA54103" w14:textId="77777777" w:rsidR="00863FD0" w:rsidRPr="002534E8" w:rsidRDefault="00863FD0" w:rsidP="00863FD0">
      <w:pPr>
        <w:ind w:left="720"/>
        <w:jc w:val="both"/>
        <w:rPr>
          <w:lang w:val="es-DO"/>
        </w:rPr>
      </w:pPr>
      <w:r w:rsidRPr="002534E8">
        <w:rPr>
          <w:lang w:val="es-DO"/>
        </w:rPr>
        <w:t>La planta nacional ha operado con altos niveles de utilización</w:t>
      </w:r>
      <w:r>
        <w:rPr>
          <w:lang w:val="es-DO"/>
        </w:rPr>
        <w:t xml:space="preserve">. </w:t>
      </w:r>
      <w:r w:rsidRPr="002534E8">
        <w:rPr>
          <w:lang w:val="es-DO"/>
        </w:rPr>
        <w:t>La producción aumentó sostenidamente desde 2022, demostrando capacidad técnica, infraestructura robusta y procesos estables.</w:t>
      </w:r>
    </w:p>
    <w:p w14:paraId="5AD8C0E0" w14:textId="77777777" w:rsidR="00863FD0" w:rsidRPr="002534E8" w:rsidRDefault="00863FD0" w:rsidP="00863FD0">
      <w:pPr>
        <w:jc w:val="both"/>
        <w:rPr>
          <w:lang w:val="es-DO"/>
        </w:rPr>
      </w:pPr>
      <w:r w:rsidRPr="002534E8">
        <w:rPr>
          <w:lang w:val="es-DO"/>
        </w:rPr>
        <w:lastRenderedPageBreak/>
        <w:t>En virtud del principio de no atribución, y del análisis aquí presentado, se establece con claridad que la amenaza de daño material inminente es atribuible exclusivamente al dumping ejercido por Costa Rica, y no a otros factores estructurales, tecnológicos o coyunturales.</w:t>
      </w:r>
    </w:p>
    <w:p w14:paraId="7554BF71" w14:textId="77777777" w:rsidR="00D83D33" w:rsidRDefault="00D83D33" w:rsidP="00F42BED">
      <w:pPr>
        <w:spacing w:line="276" w:lineRule="auto"/>
        <w:jc w:val="both"/>
        <w:rPr>
          <w:sz w:val="24"/>
          <w:szCs w:val="24"/>
          <w:lang w:val="es-DO"/>
        </w:rPr>
      </w:pPr>
    </w:p>
    <w:p w14:paraId="53AF0950" w14:textId="7D8025F8" w:rsidR="00B76B35" w:rsidRDefault="00B76B35" w:rsidP="00F42BED">
      <w:pPr>
        <w:jc w:val="both"/>
        <w:rPr>
          <w:lang w:val="es-DO"/>
        </w:rPr>
      </w:pPr>
    </w:p>
    <w:p w14:paraId="0E4EA339" w14:textId="77777777" w:rsidR="00B76B35" w:rsidRDefault="00B76B35" w:rsidP="00F42BED">
      <w:pPr>
        <w:spacing w:line="276" w:lineRule="auto"/>
        <w:jc w:val="both"/>
        <w:rPr>
          <w:sz w:val="24"/>
          <w:szCs w:val="24"/>
          <w:lang w:val="es-DO"/>
        </w:rPr>
      </w:pPr>
    </w:p>
    <w:p w14:paraId="79D883CA" w14:textId="77777777" w:rsidR="00B76B35" w:rsidRDefault="00B76B35" w:rsidP="00F42BED">
      <w:pPr>
        <w:spacing w:line="276" w:lineRule="auto"/>
        <w:jc w:val="both"/>
        <w:rPr>
          <w:sz w:val="24"/>
          <w:szCs w:val="24"/>
          <w:lang w:val="es-DO"/>
        </w:rPr>
      </w:pPr>
    </w:p>
    <w:p w14:paraId="0244E488" w14:textId="77777777" w:rsidR="00B76B35" w:rsidRDefault="00B76B35" w:rsidP="00F42BED">
      <w:pPr>
        <w:spacing w:line="276" w:lineRule="auto"/>
        <w:jc w:val="both"/>
        <w:rPr>
          <w:sz w:val="24"/>
          <w:szCs w:val="24"/>
          <w:lang w:val="es-DO"/>
        </w:rPr>
      </w:pPr>
    </w:p>
    <w:p w14:paraId="03C71E89" w14:textId="0ABA62E0" w:rsidR="00B76B35" w:rsidRPr="007130E5" w:rsidRDefault="00B76B35" w:rsidP="00F42BED">
      <w:pPr>
        <w:jc w:val="both"/>
        <w:rPr>
          <w:lang w:val="es-DO"/>
        </w:rPr>
      </w:pPr>
    </w:p>
    <w:p w14:paraId="60ADAC9C" w14:textId="77777777" w:rsidR="00B76B35" w:rsidRPr="00A82A9C" w:rsidRDefault="00B76B35" w:rsidP="00F42BED">
      <w:pPr>
        <w:jc w:val="both"/>
        <w:rPr>
          <w:lang w:val="es-DO"/>
        </w:rPr>
      </w:pPr>
    </w:p>
    <w:sectPr w:rsidR="00B76B35" w:rsidRPr="00A82A9C" w:rsidSect="003F5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A512" w14:textId="77777777" w:rsidR="00887559" w:rsidRDefault="00887559" w:rsidP="006F711C">
      <w:pPr>
        <w:spacing w:after="0" w:line="240" w:lineRule="auto"/>
      </w:pPr>
      <w:r>
        <w:separator/>
      </w:r>
    </w:p>
  </w:endnote>
  <w:endnote w:type="continuationSeparator" w:id="0">
    <w:p w14:paraId="1984040F" w14:textId="77777777" w:rsidR="00887559" w:rsidRDefault="00887559" w:rsidP="006F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135E" w14:textId="77777777" w:rsidR="00887559" w:rsidRDefault="00887559" w:rsidP="006F711C">
      <w:pPr>
        <w:spacing w:after="0" w:line="240" w:lineRule="auto"/>
      </w:pPr>
      <w:r>
        <w:separator/>
      </w:r>
    </w:p>
  </w:footnote>
  <w:footnote w:type="continuationSeparator" w:id="0">
    <w:p w14:paraId="2BB81924" w14:textId="77777777" w:rsidR="00887559" w:rsidRDefault="00887559" w:rsidP="006F711C">
      <w:pPr>
        <w:spacing w:after="0" w:line="240" w:lineRule="auto"/>
      </w:pPr>
      <w:r>
        <w:continuationSeparator/>
      </w:r>
    </w:p>
  </w:footnote>
  <w:footnote w:id="1">
    <w:p w14:paraId="5B31F1CB" w14:textId="4F1B79AA" w:rsidR="006F711C" w:rsidRDefault="006F711C">
      <w:pPr>
        <w:pStyle w:val="FootnoteText"/>
      </w:pPr>
      <w:r>
        <w:rPr>
          <w:rStyle w:val="FootnoteReference"/>
        </w:rPr>
        <w:footnoteRef/>
      </w:r>
      <w:r>
        <w:t xml:space="preserve"> </w:t>
      </w:r>
      <w:hyperlink r:id="rId1" w:anchor=":~:text=El%20tiempo%20de%20tr%C3%A1nsito%20para,y%20del%20calendario%20de%20navegaci%C3%B3n" w:history="1">
        <w:r w:rsidRPr="00780030">
          <w:rPr>
            <w:rStyle w:val="Hyperlink"/>
          </w:rPr>
          <w:t>https://www.latinamericancargo.com/es/envios-de-china-a-republica-dominicana/#:~:text=El%20tiempo%20de%20tr%C3%A1nsito%20para,y%20del%20calendario%20de%20navegaci%C3%B3n</w:t>
        </w:r>
      </w:hyperlink>
      <w:r w:rsidRPr="006F711C">
        <w:t>.</w:t>
      </w:r>
    </w:p>
    <w:p w14:paraId="33C7EA68" w14:textId="77777777" w:rsidR="006F711C" w:rsidRDefault="006F711C">
      <w:pPr>
        <w:pStyle w:val="FootnoteText"/>
      </w:pPr>
    </w:p>
  </w:footnote>
  <w:footnote w:id="2">
    <w:p w14:paraId="4C612D66" w14:textId="77777777" w:rsidR="005E315E" w:rsidRPr="005E315E" w:rsidRDefault="00A82A9C" w:rsidP="005E315E">
      <w:pPr>
        <w:pStyle w:val="FootnoteText"/>
        <w:rPr>
          <w:sz w:val="12"/>
          <w:szCs w:val="12"/>
          <w:lang w:val="es-MX"/>
        </w:rPr>
      </w:pPr>
      <w:r>
        <w:rPr>
          <w:rStyle w:val="FootnoteReference"/>
        </w:rPr>
        <w:footnoteRef/>
      </w:r>
      <w:r w:rsidRPr="005E315E">
        <w:rPr>
          <w:lang w:val="es-DO"/>
        </w:rPr>
        <w:t xml:space="preserve"> </w:t>
      </w:r>
      <w:r w:rsidR="005E315E" w:rsidRPr="005E315E">
        <w:rPr>
          <w:sz w:val="12"/>
          <w:szCs w:val="12"/>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471771EE" w14:textId="77777777" w:rsidR="005E315E" w:rsidRPr="005E315E" w:rsidRDefault="005E315E" w:rsidP="005E315E">
      <w:pPr>
        <w:pStyle w:val="FootnoteText"/>
        <w:rPr>
          <w:sz w:val="12"/>
          <w:szCs w:val="12"/>
          <w:lang w:val="es-ES"/>
        </w:rPr>
      </w:pPr>
      <w:r w:rsidRPr="005E315E">
        <w:rPr>
          <w:sz w:val="12"/>
          <w:szCs w:val="12"/>
          <w:lang w:val="es-ES"/>
        </w:rPr>
        <w:t xml:space="preserve">LA INFORMACION CONTENIDA EN ESTE DATO/ANEXO ES CONSIDERADA INFORMACION CONFIDENCIAL </w:t>
      </w:r>
      <w:proofErr w:type="gramStart"/>
      <w:r w:rsidRPr="005E315E">
        <w:rPr>
          <w:sz w:val="12"/>
          <w:szCs w:val="12"/>
          <w:lang w:val="es-ES"/>
        </w:rPr>
        <w:t>DE ACUERDO AL</w:t>
      </w:r>
      <w:proofErr w:type="gramEnd"/>
      <w:r w:rsidRPr="005E315E">
        <w:rPr>
          <w:sz w:val="12"/>
          <w:szCs w:val="12"/>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106173E4" w14:textId="697A8310" w:rsidR="00A82A9C" w:rsidRPr="005E315E" w:rsidRDefault="00A82A9C">
      <w:pPr>
        <w:pStyle w:val="FootnoteText"/>
        <w:rPr>
          <w:lang w:val="es-ES"/>
        </w:rPr>
      </w:pPr>
    </w:p>
  </w:footnote>
  <w:footnote w:id="3">
    <w:p w14:paraId="1B2ED131" w14:textId="488C0DB0" w:rsidR="00A82A9C" w:rsidRPr="0019489A" w:rsidRDefault="00A82A9C">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4">
    <w:p w14:paraId="4AE04E0C" w14:textId="59D42970" w:rsidR="00A82A9C" w:rsidRPr="0019489A" w:rsidRDefault="00A82A9C">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5">
    <w:p w14:paraId="609B7B0E" w14:textId="3B46904B" w:rsidR="00A82A9C" w:rsidRPr="0019489A" w:rsidRDefault="00A82A9C">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6">
    <w:p w14:paraId="484AA5E9" w14:textId="1D1A6896" w:rsidR="004558EC" w:rsidRPr="0019489A" w:rsidRDefault="004558EC">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7">
    <w:p w14:paraId="17B38DCE" w14:textId="192B0615" w:rsidR="00BF5902" w:rsidRPr="0019489A" w:rsidRDefault="00BF5902">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8">
    <w:p w14:paraId="5811A3C8" w14:textId="229500F6" w:rsidR="008C4B62" w:rsidRPr="0019489A" w:rsidRDefault="008C4B62">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9">
    <w:p w14:paraId="2FF567AB" w14:textId="4952B316" w:rsidR="009E3FE3" w:rsidRPr="0019489A" w:rsidRDefault="009E3FE3">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0">
    <w:p w14:paraId="2830996D" w14:textId="04AD250B" w:rsidR="00AE457B" w:rsidRPr="0019489A" w:rsidRDefault="00AE457B">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1">
    <w:p w14:paraId="0BED9C7D" w14:textId="0172C681" w:rsidR="00115DE3" w:rsidRPr="0019489A" w:rsidRDefault="00115DE3">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2">
    <w:p w14:paraId="55982487" w14:textId="2B35FC7C" w:rsidR="00EB49FE" w:rsidRPr="0019489A" w:rsidRDefault="00EB49FE">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3">
    <w:p w14:paraId="7F3C48EB" w14:textId="5123EEAC" w:rsidR="00216245" w:rsidRPr="0019489A" w:rsidRDefault="00216245">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4">
    <w:p w14:paraId="6722F0C7" w14:textId="6A8828B7" w:rsidR="00216245" w:rsidRPr="0019489A" w:rsidRDefault="00216245">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5">
    <w:p w14:paraId="57D344AB" w14:textId="048EF01E" w:rsidR="00245D42" w:rsidRPr="0019489A" w:rsidRDefault="00245D42">
      <w:pPr>
        <w:pStyle w:val="FootnoteText"/>
        <w:rPr>
          <w:lang w:val="es-DO"/>
        </w:rPr>
      </w:pPr>
      <w:r>
        <w:rPr>
          <w:rStyle w:val="FootnoteReference"/>
        </w:rPr>
        <w:footnoteRef/>
      </w:r>
      <w:r w:rsidRPr="0019489A">
        <w:rPr>
          <w:lang w:val="es-DO"/>
        </w:rPr>
        <w:t xml:space="preserve"> </w:t>
      </w:r>
      <w:r w:rsidR="0019489A" w:rsidRPr="0019489A">
        <w:rPr>
          <w:sz w:val="16"/>
          <w:szCs w:val="16"/>
          <w:lang w:val="es-DO"/>
        </w:rPr>
        <w:t>Ver nota 2</w:t>
      </w:r>
    </w:p>
  </w:footnote>
  <w:footnote w:id="16">
    <w:p w14:paraId="587C5733" w14:textId="7A9E5722" w:rsidR="0019489A" w:rsidRPr="0019489A" w:rsidRDefault="0019489A">
      <w:pPr>
        <w:pStyle w:val="FootnoteText"/>
        <w:rPr>
          <w:lang w:val="es-DO"/>
        </w:rPr>
      </w:pPr>
      <w:r>
        <w:rPr>
          <w:rStyle w:val="FootnoteReference"/>
        </w:rPr>
        <w:footnoteRef/>
      </w:r>
      <w:r w:rsidRPr="0019489A">
        <w:rPr>
          <w:lang w:val="es-DO"/>
        </w:rPr>
        <w:t xml:space="preserve"> </w:t>
      </w:r>
      <w:r w:rsidRPr="0019489A">
        <w:rPr>
          <w:sz w:val="16"/>
          <w:szCs w:val="16"/>
          <w:lang w:val="es-DO"/>
        </w:rPr>
        <w:t>Ver nota 2</w:t>
      </w:r>
    </w:p>
  </w:footnote>
  <w:footnote w:id="17">
    <w:p w14:paraId="23B2352D" w14:textId="2781A1F3" w:rsidR="0019489A" w:rsidRPr="0019489A" w:rsidRDefault="0019489A">
      <w:pPr>
        <w:pStyle w:val="FootnoteText"/>
        <w:rPr>
          <w:lang w:val="es-DO"/>
        </w:rPr>
      </w:pPr>
      <w:r>
        <w:rPr>
          <w:rStyle w:val="FootnoteReference"/>
        </w:rPr>
        <w:footnoteRef/>
      </w:r>
      <w:r w:rsidRPr="0019489A">
        <w:rPr>
          <w:lang w:val="es-DO"/>
        </w:rPr>
        <w:t xml:space="preserve"> </w:t>
      </w:r>
      <w:r w:rsidRPr="0019489A">
        <w:rPr>
          <w:sz w:val="16"/>
          <w:szCs w:val="16"/>
          <w:lang w:val="es-DO"/>
        </w:rPr>
        <w:t>Ver nota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4B2A"/>
    <w:multiLevelType w:val="hybridMultilevel"/>
    <w:tmpl w:val="131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309C"/>
    <w:multiLevelType w:val="multilevel"/>
    <w:tmpl w:val="1B4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F5ABE"/>
    <w:multiLevelType w:val="hybridMultilevel"/>
    <w:tmpl w:val="C798965C"/>
    <w:lvl w:ilvl="0" w:tplc="48B60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D39EE"/>
    <w:multiLevelType w:val="hybridMultilevel"/>
    <w:tmpl w:val="B5CAB1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E98469F"/>
    <w:multiLevelType w:val="multilevel"/>
    <w:tmpl w:val="0272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C3011"/>
    <w:multiLevelType w:val="multilevel"/>
    <w:tmpl w:val="34A028B0"/>
    <w:lvl w:ilvl="0">
      <w:start w:val="1"/>
      <w:numFmt w:val="decimal"/>
      <w:pStyle w:val="Style1"/>
      <w:lvlText w:val="%1."/>
      <w:lvlJc w:val="left"/>
      <w:pPr>
        <w:ind w:left="360" w:hanging="360"/>
      </w:pPr>
      <w:rPr>
        <w:rFonts w:hint="default"/>
      </w:rPr>
    </w:lvl>
    <w:lvl w:ilvl="1">
      <w:start w:val="1"/>
      <w:numFmt w:val="decimal"/>
      <w:pStyle w:val="Style2"/>
      <w:isLgl/>
      <w:lvlText w:val="%1.%2"/>
      <w:lvlJc w:val="left"/>
      <w:pPr>
        <w:ind w:left="375" w:hanging="37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3102EF4"/>
    <w:multiLevelType w:val="multilevel"/>
    <w:tmpl w:val="06D6B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D2660"/>
    <w:multiLevelType w:val="multilevel"/>
    <w:tmpl w:val="0380A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43FD0"/>
    <w:multiLevelType w:val="hybridMultilevel"/>
    <w:tmpl w:val="7DBE63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03123F7"/>
    <w:multiLevelType w:val="hybridMultilevel"/>
    <w:tmpl w:val="E42864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D731285"/>
    <w:multiLevelType w:val="hybridMultilevel"/>
    <w:tmpl w:val="74847C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912041156">
    <w:abstractNumId w:val="5"/>
  </w:num>
  <w:num w:numId="2" w16cid:durableId="120463107">
    <w:abstractNumId w:val="10"/>
  </w:num>
  <w:num w:numId="3" w16cid:durableId="95490640">
    <w:abstractNumId w:val="8"/>
  </w:num>
  <w:num w:numId="4" w16cid:durableId="173540893">
    <w:abstractNumId w:val="3"/>
  </w:num>
  <w:num w:numId="5" w16cid:durableId="409229179">
    <w:abstractNumId w:val="9"/>
  </w:num>
  <w:num w:numId="6" w16cid:durableId="1089739915">
    <w:abstractNumId w:val="1"/>
  </w:num>
  <w:num w:numId="7" w16cid:durableId="889002064">
    <w:abstractNumId w:val="4"/>
  </w:num>
  <w:num w:numId="8" w16cid:durableId="640891648">
    <w:abstractNumId w:val="7"/>
  </w:num>
  <w:num w:numId="9" w16cid:durableId="1881164834">
    <w:abstractNumId w:val="6"/>
  </w:num>
  <w:num w:numId="10" w16cid:durableId="767118681">
    <w:abstractNumId w:val="0"/>
  </w:num>
  <w:num w:numId="11" w16cid:durableId="37246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35"/>
    <w:rsid w:val="00084786"/>
    <w:rsid w:val="000B2D72"/>
    <w:rsid w:val="00115DE3"/>
    <w:rsid w:val="00124616"/>
    <w:rsid w:val="0019489A"/>
    <w:rsid w:val="001A7A5F"/>
    <w:rsid w:val="00216245"/>
    <w:rsid w:val="00245D42"/>
    <w:rsid w:val="00285E20"/>
    <w:rsid w:val="002C572E"/>
    <w:rsid w:val="003316B4"/>
    <w:rsid w:val="00334F62"/>
    <w:rsid w:val="00345FF8"/>
    <w:rsid w:val="003F56B0"/>
    <w:rsid w:val="00411FE0"/>
    <w:rsid w:val="00442112"/>
    <w:rsid w:val="004558EC"/>
    <w:rsid w:val="004A45C4"/>
    <w:rsid w:val="00525435"/>
    <w:rsid w:val="005B3BA0"/>
    <w:rsid w:val="005E315E"/>
    <w:rsid w:val="00684748"/>
    <w:rsid w:val="006F711C"/>
    <w:rsid w:val="00725EB9"/>
    <w:rsid w:val="007524B6"/>
    <w:rsid w:val="007A0A43"/>
    <w:rsid w:val="007B78F3"/>
    <w:rsid w:val="00863FD0"/>
    <w:rsid w:val="00864E07"/>
    <w:rsid w:val="00877E45"/>
    <w:rsid w:val="00887559"/>
    <w:rsid w:val="008C4B62"/>
    <w:rsid w:val="008E063C"/>
    <w:rsid w:val="00932F6C"/>
    <w:rsid w:val="00962B64"/>
    <w:rsid w:val="00987A83"/>
    <w:rsid w:val="009A2BDC"/>
    <w:rsid w:val="009D29F4"/>
    <w:rsid w:val="009E3FE3"/>
    <w:rsid w:val="00A52CA9"/>
    <w:rsid w:val="00A82A9C"/>
    <w:rsid w:val="00AB36A3"/>
    <w:rsid w:val="00AE457B"/>
    <w:rsid w:val="00B54405"/>
    <w:rsid w:val="00B76B35"/>
    <w:rsid w:val="00BF003B"/>
    <w:rsid w:val="00BF5902"/>
    <w:rsid w:val="00D83D33"/>
    <w:rsid w:val="00DC362C"/>
    <w:rsid w:val="00DF4BDB"/>
    <w:rsid w:val="00EA7C06"/>
    <w:rsid w:val="00EB49FE"/>
    <w:rsid w:val="00EC11E7"/>
    <w:rsid w:val="00F42BED"/>
    <w:rsid w:val="00F71E83"/>
    <w:rsid w:val="00F97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315"/>
  <w15:chartTrackingRefBased/>
  <w15:docId w15:val="{2402E492-2DBF-447F-9C91-4F95C804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35"/>
    <w:rPr>
      <w:kern w:val="0"/>
      <w:lang w:val="en-US"/>
      <w14:ligatures w14:val="none"/>
    </w:rPr>
  </w:style>
  <w:style w:type="paragraph" w:styleId="Heading1">
    <w:name w:val="heading 1"/>
    <w:basedOn w:val="Normal"/>
    <w:next w:val="Normal"/>
    <w:link w:val="Heading1Char"/>
    <w:uiPriority w:val="9"/>
    <w:qFormat/>
    <w:rsid w:val="00B7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35"/>
    <w:rPr>
      <w:rFonts w:eastAsiaTheme="majorEastAsia" w:cstheme="majorBidi"/>
      <w:color w:val="272727" w:themeColor="text1" w:themeTint="D8"/>
    </w:rPr>
  </w:style>
  <w:style w:type="paragraph" w:styleId="Title">
    <w:name w:val="Title"/>
    <w:basedOn w:val="Normal"/>
    <w:next w:val="Normal"/>
    <w:link w:val="TitleChar"/>
    <w:uiPriority w:val="10"/>
    <w:qFormat/>
    <w:rsid w:val="00B7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35"/>
    <w:pPr>
      <w:spacing w:before="160"/>
      <w:jc w:val="center"/>
    </w:pPr>
    <w:rPr>
      <w:i/>
      <w:iCs/>
      <w:color w:val="404040" w:themeColor="text1" w:themeTint="BF"/>
    </w:rPr>
  </w:style>
  <w:style w:type="character" w:customStyle="1" w:styleId="QuoteChar">
    <w:name w:val="Quote Char"/>
    <w:basedOn w:val="DefaultParagraphFont"/>
    <w:link w:val="Quote"/>
    <w:uiPriority w:val="29"/>
    <w:rsid w:val="00B76B35"/>
    <w:rPr>
      <w:i/>
      <w:iCs/>
      <w:color w:val="404040" w:themeColor="text1" w:themeTint="BF"/>
    </w:rPr>
  </w:style>
  <w:style w:type="paragraph" w:styleId="ListParagraph">
    <w:name w:val="List Paragraph"/>
    <w:basedOn w:val="Normal"/>
    <w:uiPriority w:val="34"/>
    <w:qFormat/>
    <w:rsid w:val="00B76B35"/>
    <w:pPr>
      <w:ind w:left="720"/>
      <w:contextualSpacing/>
    </w:pPr>
  </w:style>
  <w:style w:type="character" w:styleId="IntenseEmphasis">
    <w:name w:val="Intense Emphasis"/>
    <w:basedOn w:val="DefaultParagraphFont"/>
    <w:uiPriority w:val="21"/>
    <w:qFormat/>
    <w:rsid w:val="00B76B35"/>
    <w:rPr>
      <w:i/>
      <w:iCs/>
      <w:color w:val="0F4761" w:themeColor="accent1" w:themeShade="BF"/>
    </w:rPr>
  </w:style>
  <w:style w:type="paragraph" w:styleId="IntenseQuote">
    <w:name w:val="Intense Quote"/>
    <w:basedOn w:val="Normal"/>
    <w:next w:val="Normal"/>
    <w:link w:val="IntenseQuoteChar"/>
    <w:uiPriority w:val="30"/>
    <w:qFormat/>
    <w:rsid w:val="00B7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B35"/>
    <w:rPr>
      <w:i/>
      <w:iCs/>
      <w:color w:val="0F4761" w:themeColor="accent1" w:themeShade="BF"/>
    </w:rPr>
  </w:style>
  <w:style w:type="character" w:styleId="IntenseReference">
    <w:name w:val="Intense Reference"/>
    <w:basedOn w:val="DefaultParagraphFont"/>
    <w:uiPriority w:val="32"/>
    <w:qFormat/>
    <w:rsid w:val="00B76B35"/>
    <w:rPr>
      <w:b/>
      <w:bCs/>
      <w:smallCaps/>
      <w:color w:val="0F4761" w:themeColor="accent1" w:themeShade="BF"/>
      <w:spacing w:val="5"/>
    </w:rPr>
  </w:style>
  <w:style w:type="paragraph" w:styleId="BodyText2">
    <w:name w:val="Body Text 2"/>
    <w:basedOn w:val="Normal"/>
    <w:link w:val="BodyText2Char"/>
    <w:rsid w:val="00B76B35"/>
    <w:pPr>
      <w:widowControl w:val="0"/>
      <w:tabs>
        <w:tab w:val="left" w:pos="0"/>
        <w:tab w:val="left" w:pos="720"/>
      </w:tabs>
      <w:suppressAutoHyphens/>
      <w:spacing w:after="0" w:line="240" w:lineRule="auto"/>
      <w:jc w:val="both"/>
    </w:pPr>
    <w:rPr>
      <w:rFonts w:ascii="Times New Roman" w:eastAsia="Times New Roman" w:hAnsi="Times New Roman" w:cs="Times New Roman"/>
      <w:snapToGrid w:val="0"/>
      <w:color w:val="000000"/>
      <w:sz w:val="24"/>
      <w:szCs w:val="24"/>
      <w:lang w:val="es-ES_tradnl" w:eastAsia="es-ES"/>
    </w:rPr>
  </w:style>
  <w:style w:type="character" w:customStyle="1" w:styleId="BodyText2Char">
    <w:name w:val="Body Text 2 Char"/>
    <w:basedOn w:val="DefaultParagraphFont"/>
    <w:link w:val="BodyText2"/>
    <w:rsid w:val="00B76B35"/>
    <w:rPr>
      <w:rFonts w:ascii="Times New Roman" w:eastAsia="Times New Roman" w:hAnsi="Times New Roman" w:cs="Times New Roman"/>
      <w:snapToGrid w:val="0"/>
      <w:color w:val="000000"/>
      <w:kern w:val="0"/>
      <w:sz w:val="24"/>
      <w:szCs w:val="24"/>
      <w:lang w:val="es-ES_tradnl" w:eastAsia="es-ES"/>
      <w14:ligatures w14:val="none"/>
    </w:rPr>
  </w:style>
  <w:style w:type="paragraph" w:customStyle="1" w:styleId="Style1">
    <w:name w:val="Style1"/>
    <w:basedOn w:val="Normal"/>
    <w:link w:val="Style1Char"/>
    <w:qFormat/>
    <w:rsid w:val="00B76B35"/>
    <w:pPr>
      <w:keepNext/>
      <w:numPr>
        <w:numId w:val="1"/>
      </w:numPr>
      <w:spacing w:before="120" w:after="120" w:line="240" w:lineRule="auto"/>
      <w:jc w:val="both"/>
      <w:outlineLvl w:val="0"/>
    </w:pPr>
    <w:rPr>
      <w:rFonts w:ascii="Calibri" w:eastAsia="MS Mincho" w:hAnsi="Calibri" w:cs="Times New Roman"/>
      <w:b/>
      <w:kern w:val="28"/>
      <w:sz w:val="24"/>
      <w:szCs w:val="20"/>
      <w:u w:val="single"/>
      <w:lang w:val="es-ES"/>
    </w:rPr>
  </w:style>
  <w:style w:type="paragraph" w:customStyle="1" w:styleId="Style2">
    <w:name w:val="Style2"/>
    <w:basedOn w:val="ListParagraph"/>
    <w:qFormat/>
    <w:rsid w:val="00B76B35"/>
    <w:pPr>
      <w:numPr>
        <w:ilvl w:val="1"/>
        <w:numId w:val="1"/>
      </w:numPr>
      <w:tabs>
        <w:tab w:val="num" w:pos="360"/>
      </w:tabs>
      <w:spacing w:after="200" w:line="276" w:lineRule="auto"/>
      <w:ind w:left="720" w:firstLine="0"/>
      <w:jc w:val="both"/>
    </w:pPr>
    <w:rPr>
      <w:rFonts w:ascii="Calibri" w:hAnsi="Calibri" w:cs="Calibri"/>
      <w:b/>
      <w:sz w:val="24"/>
      <w:szCs w:val="24"/>
    </w:rPr>
  </w:style>
  <w:style w:type="character" w:customStyle="1" w:styleId="Style1Char">
    <w:name w:val="Style1 Char"/>
    <w:basedOn w:val="DefaultParagraphFont"/>
    <w:link w:val="Style1"/>
    <w:rsid w:val="00B76B35"/>
    <w:rPr>
      <w:rFonts w:ascii="Calibri" w:eastAsia="MS Mincho" w:hAnsi="Calibri" w:cs="Times New Roman"/>
      <w:b/>
      <w:kern w:val="28"/>
      <w:sz w:val="24"/>
      <w:szCs w:val="20"/>
      <w:u w:val="single"/>
      <w:lang w:val="es-ES"/>
      <w14:ligatures w14:val="none"/>
    </w:rPr>
  </w:style>
  <w:style w:type="paragraph" w:styleId="FootnoteText">
    <w:name w:val="footnote text"/>
    <w:basedOn w:val="Normal"/>
    <w:link w:val="FootnoteTextChar"/>
    <w:uiPriority w:val="99"/>
    <w:semiHidden/>
    <w:unhideWhenUsed/>
    <w:rsid w:val="006F7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11C"/>
    <w:rPr>
      <w:kern w:val="0"/>
      <w:sz w:val="20"/>
      <w:szCs w:val="20"/>
      <w:lang w:val="en-US"/>
      <w14:ligatures w14:val="none"/>
    </w:rPr>
  </w:style>
  <w:style w:type="character" w:styleId="FootnoteReference">
    <w:name w:val="footnote reference"/>
    <w:basedOn w:val="DefaultParagraphFont"/>
    <w:uiPriority w:val="99"/>
    <w:semiHidden/>
    <w:unhideWhenUsed/>
    <w:rsid w:val="006F711C"/>
    <w:rPr>
      <w:vertAlign w:val="superscript"/>
    </w:rPr>
  </w:style>
  <w:style w:type="character" w:styleId="Hyperlink">
    <w:name w:val="Hyperlink"/>
    <w:basedOn w:val="DefaultParagraphFont"/>
    <w:uiPriority w:val="99"/>
    <w:unhideWhenUsed/>
    <w:rsid w:val="006F711C"/>
    <w:rPr>
      <w:color w:val="467886" w:themeColor="hyperlink"/>
      <w:u w:val="single"/>
    </w:rPr>
  </w:style>
  <w:style w:type="character" w:styleId="UnresolvedMention">
    <w:name w:val="Unresolved Mention"/>
    <w:basedOn w:val="DefaultParagraphFont"/>
    <w:uiPriority w:val="99"/>
    <w:semiHidden/>
    <w:unhideWhenUsed/>
    <w:rsid w:val="006F7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atinamericancargo.com/es/envios-de-china-a-republica-dominic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2494-6564-456F-844F-6C31D9B8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3</cp:revision>
  <dcterms:created xsi:type="dcterms:W3CDTF">2025-09-23T15:41:00Z</dcterms:created>
  <dcterms:modified xsi:type="dcterms:W3CDTF">2025-09-23T15:41:00Z</dcterms:modified>
</cp:coreProperties>
</file>