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7CDE" w14:textId="595E6734" w:rsidR="00483E32" w:rsidRPr="002E7BE7" w:rsidRDefault="001951EC">
      <w:pPr>
        <w:pStyle w:val="Heading1"/>
        <w:rPr>
          <w:rFonts w:ascii="Times New Roman" w:hAnsi="Times New Roman" w:cs="Times New Roman"/>
          <w:lang w:val="es-DO"/>
        </w:rPr>
      </w:pPr>
      <w:r>
        <w:rPr>
          <w:rFonts w:ascii="Times New Roman" w:hAnsi="Times New Roman" w:cs="Times New Roman"/>
          <w:lang w:val="es-DO"/>
        </w:rPr>
        <w:t>V</w:t>
      </w:r>
      <w:r w:rsidR="00413FFF" w:rsidRPr="002E7BE7">
        <w:rPr>
          <w:rFonts w:ascii="Times New Roman" w:hAnsi="Times New Roman" w:cs="Times New Roman"/>
          <w:lang w:val="es-DO"/>
        </w:rPr>
        <w:t>erificación de Robustez: Especificación Alternativa con Precios Mundiales de Varillas</w:t>
      </w:r>
    </w:p>
    <w:p w14:paraId="6BB4234B" w14:textId="77777777" w:rsidR="00483E32" w:rsidRPr="002E7BE7" w:rsidRDefault="00413FFF">
      <w:pPr>
        <w:pStyle w:val="Heading2"/>
        <w:rPr>
          <w:rFonts w:ascii="Times New Roman" w:hAnsi="Times New Roman" w:cs="Times New Roman"/>
          <w:lang w:val="es-DO"/>
        </w:rPr>
      </w:pPr>
      <w:r w:rsidRPr="002E7BE7">
        <w:rPr>
          <w:rFonts w:ascii="Times New Roman" w:hAnsi="Times New Roman" w:cs="Times New Roman"/>
          <w:lang w:val="es-DO"/>
        </w:rPr>
        <w:t>Motivación del Ejercicio de Robustez</w:t>
      </w:r>
    </w:p>
    <w:p w14:paraId="78BADB7F" w14:textId="04FE17B0"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lang w:val="es-DO"/>
        </w:rPr>
        <w:t>La especificación inicial del modelo gravitacional para las exportaciones de varillas de acero costarricenses incluía el índice de precios HRC</w:t>
      </w:r>
      <w:r w:rsidR="004F4410">
        <w:rPr>
          <w:rFonts w:ascii="Times New Roman" w:hAnsi="Times New Roman" w:cs="Times New Roman"/>
          <w:lang w:val="es-DO"/>
        </w:rPr>
        <w:t xml:space="preserve">, por sus siglas en </w:t>
      </w:r>
      <w:proofErr w:type="spellStart"/>
      <w:proofErr w:type="gramStart"/>
      <w:r w:rsidR="004F4410">
        <w:rPr>
          <w:rFonts w:ascii="Times New Roman" w:hAnsi="Times New Roman" w:cs="Times New Roman"/>
          <w:lang w:val="es-DO"/>
        </w:rPr>
        <w:t>ingles</w:t>
      </w:r>
      <w:proofErr w:type="spellEnd"/>
      <w:r w:rsidR="004F4410">
        <w:rPr>
          <w:rFonts w:ascii="Times New Roman" w:hAnsi="Times New Roman" w:cs="Times New Roman"/>
          <w:lang w:val="es-DO"/>
        </w:rPr>
        <w:t xml:space="preserve">, </w:t>
      </w:r>
      <w:r w:rsidRPr="002E7BE7">
        <w:rPr>
          <w:rFonts w:ascii="Times New Roman" w:hAnsi="Times New Roman" w:cs="Times New Roman"/>
          <w:lang w:val="es-DO"/>
        </w:rPr>
        <w:t xml:space="preserve"> (</w:t>
      </w:r>
      <w:proofErr w:type="gramEnd"/>
      <w:r w:rsidRPr="002E7BE7">
        <w:rPr>
          <w:rFonts w:ascii="Times New Roman" w:hAnsi="Times New Roman" w:cs="Times New Roman"/>
          <w:lang w:val="es-DO"/>
        </w:rPr>
        <w:t xml:space="preserve">Hot </w:t>
      </w:r>
      <w:proofErr w:type="spellStart"/>
      <w:r w:rsidRPr="002E7BE7">
        <w:rPr>
          <w:rFonts w:ascii="Times New Roman" w:hAnsi="Times New Roman" w:cs="Times New Roman"/>
          <w:lang w:val="es-DO"/>
        </w:rPr>
        <w:t>Rolled</w:t>
      </w:r>
      <w:proofErr w:type="spellEnd"/>
      <w:r w:rsidRPr="002E7BE7">
        <w:rPr>
          <w:rFonts w:ascii="Times New Roman" w:hAnsi="Times New Roman" w:cs="Times New Roman"/>
          <w:lang w:val="es-DO"/>
        </w:rPr>
        <w:t xml:space="preserve"> </w:t>
      </w:r>
      <w:proofErr w:type="spellStart"/>
      <w:proofErr w:type="gramStart"/>
      <w:r w:rsidRPr="002E7BE7">
        <w:rPr>
          <w:rFonts w:ascii="Times New Roman" w:hAnsi="Times New Roman" w:cs="Times New Roman"/>
          <w:lang w:val="es-DO"/>
        </w:rPr>
        <w:t>Coil</w:t>
      </w:r>
      <w:proofErr w:type="spellEnd"/>
      <w:r w:rsidRPr="002E7BE7">
        <w:rPr>
          <w:rFonts w:ascii="Times New Roman" w:hAnsi="Times New Roman" w:cs="Times New Roman"/>
          <w:lang w:val="es-DO"/>
        </w:rPr>
        <w:t>)</w:t>
      </w:r>
      <w:r w:rsidR="004F4410">
        <w:rPr>
          <w:rFonts w:ascii="Times New Roman" w:hAnsi="Times New Roman" w:cs="Times New Roman"/>
          <w:lang w:val="es-DO"/>
        </w:rPr>
        <w:t>(</w:t>
      </w:r>
      <w:proofErr w:type="gramEnd"/>
      <w:r w:rsidR="004F4410">
        <w:rPr>
          <w:rFonts w:ascii="Times New Roman" w:hAnsi="Times New Roman" w:cs="Times New Roman"/>
          <w:lang w:val="es-DO"/>
        </w:rPr>
        <w:t>laminado en caliente en español),</w:t>
      </w:r>
      <w:r w:rsidRPr="002E7BE7">
        <w:rPr>
          <w:rFonts w:ascii="Times New Roman" w:hAnsi="Times New Roman" w:cs="Times New Roman"/>
          <w:lang w:val="es-DO"/>
        </w:rPr>
        <w:t xml:space="preserve"> como variable de control </w:t>
      </w:r>
      <w:r w:rsidR="004236E7" w:rsidRPr="002E7BE7">
        <w:rPr>
          <w:rFonts w:ascii="Times New Roman" w:hAnsi="Times New Roman" w:cs="Times New Roman"/>
          <w:lang w:val="es-DO"/>
        </w:rPr>
        <w:t xml:space="preserve">exógena </w:t>
      </w:r>
      <w:r w:rsidRPr="002E7BE7">
        <w:rPr>
          <w:rFonts w:ascii="Times New Roman" w:hAnsi="Times New Roman" w:cs="Times New Roman"/>
          <w:lang w:val="es-DO"/>
        </w:rPr>
        <w:t xml:space="preserve">para capturar las condiciones del mercado internacional del acero. Esta especificación es estándar, dado que el acero laminado en caliente representa el insumo </w:t>
      </w:r>
      <w:r w:rsidRPr="001951EC">
        <w:rPr>
          <w:rFonts w:ascii="Times New Roman" w:hAnsi="Times New Roman" w:cs="Times New Roman"/>
          <w:lang w:val="es-DO"/>
        </w:rPr>
        <w:t>principal en la cadena productiva de</w:t>
      </w:r>
      <w:r w:rsidR="003D007C" w:rsidRPr="001951EC">
        <w:rPr>
          <w:rFonts w:ascii="Times New Roman" w:hAnsi="Times New Roman" w:cs="Times New Roman"/>
          <w:lang w:val="es-DO"/>
        </w:rPr>
        <w:t xml:space="preserve"> acero</w:t>
      </w:r>
      <w:r w:rsidR="003D007C">
        <w:rPr>
          <w:rFonts w:ascii="Times New Roman" w:hAnsi="Times New Roman" w:cs="Times New Roman"/>
          <w:lang w:val="es-DO"/>
        </w:rPr>
        <w:t xml:space="preserve"> largos y otros derivados. </w:t>
      </w:r>
    </w:p>
    <w:p w14:paraId="35D90816" w14:textId="77777777" w:rsidR="004F4410" w:rsidRDefault="00ED2896">
      <w:pPr>
        <w:spacing w:before="120" w:after="120"/>
        <w:jc w:val="both"/>
        <w:rPr>
          <w:rFonts w:ascii="Times New Roman" w:hAnsi="Times New Roman" w:cs="Times New Roman"/>
          <w:lang w:val="es-DO"/>
        </w:rPr>
      </w:pPr>
      <w:r>
        <w:rPr>
          <w:rFonts w:ascii="Times New Roman" w:hAnsi="Times New Roman" w:cs="Times New Roman"/>
          <w:lang w:val="es-DO"/>
        </w:rPr>
        <w:t>Sin embargo, c</w:t>
      </w:r>
      <w:r w:rsidRPr="002E7BE7">
        <w:rPr>
          <w:rFonts w:ascii="Times New Roman" w:hAnsi="Times New Roman" w:cs="Times New Roman"/>
          <w:lang w:val="es-DO"/>
        </w:rPr>
        <w:t xml:space="preserve">omo ejercicio de robustez adicional, y para reforzar la integridad del modelo, se implementó una especificación alternativa que sustituye el índice HRC por una medida directa del precio mundial de varillas de acero. Esta modificación busca verificar que los resultados principales del análisis no dependen de la especificación particular de la variable de precios. </w:t>
      </w:r>
    </w:p>
    <w:p w14:paraId="33837CAA" w14:textId="65C79CD8" w:rsidR="00483E32" w:rsidRPr="002E7BE7" w:rsidRDefault="00ED2896">
      <w:pPr>
        <w:spacing w:before="120" w:after="120"/>
        <w:jc w:val="both"/>
        <w:rPr>
          <w:rFonts w:ascii="Times New Roman" w:hAnsi="Times New Roman" w:cs="Times New Roman"/>
          <w:lang w:val="es-DO"/>
        </w:rPr>
      </w:pPr>
      <w:r w:rsidRPr="002E7BE7">
        <w:rPr>
          <w:rFonts w:ascii="Times New Roman" w:hAnsi="Times New Roman" w:cs="Times New Roman"/>
          <w:lang w:val="es-DO"/>
        </w:rPr>
        <w:t>El refinamiento metodológico se fundamenta en tres consideraciones:</w:t>
      </w:r>
    </w:p>
    <w:p w14:paraId="56526464" w14:textId="77777777"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b/>
          <w:bCs/>
          <w:lang w:val="es-DO"/>
        </w:rPr>
        <w:t>Primero</w:t>
      </w:r>
      <w:r w:rsidRPr="002E7BE7">
        <w:rPr>
          <w:rFonts w:ascii="Times New Roman" w:hAnsi="Times New Roman" w:cs="Times New Roman"/>
          <w:lang w:val="es-DO"/>
        </w:rPr>
        <w:t>, mayor especificidad del producto. Utilizar el precio específico de varillas de acero (partida arancelaria 7214) en lugar de su insumo principal permite capturar con aún mayor precisión las dinámicas particulares del mercado de productos largos para construcción, complementando el control ejercido por el índice HRC.</w:t>
      </w:r>
    </w:p>
    <w:p w14:paraId="31E239FA" w14:textId="77777777"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b/>
          <w:bCs/>
          <w:lang w:val="es-DO"/>
        </w:rPr>
        <w:t>Segundo</w:t>
      </w:r>
      <w:r w:rsidRPr="002E7BE7">
        <w:rPr>
          <w:rFonts w:ascii="Times New Roman" w:hAnsi="Times New Roman" w:cs="Times New Roman"/>
          <w:lang w:val="es-DO"/>
        </w:rPr>
        <w:t>, coherencia directa con la variable dependiente. Dado que el modelo explica flujos de exportación de varillas, utilizar precios del mismo producto que aparece en la variable dependiente refuerza la consistencia metodológica del análisis.</w:t>
      </w:r>
    </w:p>
    <w:p w14:paraId="2AA7AE91" w14:textId="77777777" w:rsidR="00483E32" w:rsidRPr="002E7BE7" w:rsidRDefault="00413FFF">
      <w:pPr>
        <w:pStyle w:val="Heading2"/>
        <w:rPr>
          <w:rFonts w:ascii="Times New Roman" w:hAnsi="Times New Roman" w:cs="Times New Roman"/>
          <w:lang w:val="es-DO"/>
        </w:rPr>
      </w:pPr>
      <w:r w:rsidRPr="002E7BE7">
        <w:rPr>
          <w:rFonts w:ascii="Times New Roman" w:hAnsi="Times New Roman" w:cs="Times New Roman"/>
          <w:lang w:val="es-DO"/>
        </w:rPr>
        <w:t>Construcción de la Variable de Precio Mundial de Varillas</w:t>
      </w:r>
    </w:p>
    <w:p w14:paraId="7DE0C138" w14:textId="6CD884FA"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lang w:val="es-DO"/>
        </w:rPr>
        <w:t xml:space="preserve">La variable de precio mundial de varillas se construyó a partir de los datos de comercio internacional reportados en la </w:t>
      </w:r>
      <w:r w:rsidRPr="001951EC">
        <w:rPr>
          <w:rFonts w:ascii="Times New Roman" w:hAnsi="Times New Roman" w:cs="Times New Roman"/>
          <w:lang w:val="es-DO"/>
        </w:rPr>
        <w:t>base de datos utilizada para el análisis</w:t>
      </w:r>
      <w:r w:rsidR="001951EC">
        <w:rPr>
          <w:rFonts w:ascii="Times New Roman" w:hAnsi="Times New Roman" w:cs="Times New Roman"/>
          <w:lang w:val="es-DO"/>
        </w:rPr>
        <w:t xml:space="preserve"> de TRADEMAP y consistente con lo entregado en la solicitud de </w:t>
      </w:r>
      <w:r w:rsidR="001951EC" w:rsidRPr="001951EC">
        <w:rPr>
          <w:rFonts w:ascii="Times New Roman" w:hAnsi="Times New Roman" w:cs="Times New Roman"/>
          <w:b/>
          <w:bCs/>
          <w:lang w:val="es-DO"/>
        </w:rPr>
        <w:t>i</w:t>
      </w:r>
      <w:r w:rsidR="001951EC" w:rsidRPr="001951EC">
        <w:rPr>
          <w:rFonts w:ascii="Times New Roman" w:hAnsi="Times New Roman" w:cs="Times New Roman"/>
          <w:lang w:val="es-DO"/>
        </w:rPr>
        <w:t>nvestigación</w:t>
      </w:r>
      <w:r w:rsidRPr="002E7BE7">
        <w:rPr>
          <w:rFonts w:ascii="Times New Roman" w:hAnsi="Times New Roman" w:cs="Times New Roman"/>
          <w:lang w:val="es-DO"/>
        </w:rPr>
        <w:t>. Específicamente, se calculó el precio promedio trimestral ponderado de las exportaciones mundiales de varillas de acero (partida 7214) para el período Q1-2017 a Q1-2025.</w:t>
      </w:r>
    </w:p>
    <w:p w14:paraId="32618BAA" w14:textId="77777777"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lang w:val="es-DO"/>
        </w:rPr>
        <w:t>La metodología de construcción siguió los siguientes pasos:</w:t>
      </w:r>
    </w:p>
    <w:p w14:paraId="6337B838" w14:textId="1E9AA505" w:rsidR="00483E32" w:rsidRPr="002E7BE7" w:rsidRDefault="00413FFF">
      <w:pPr>
        <w:pStyle w:val="ListParagraph"/>
        <w:numPr>
          <w:ilvl w:val="0"/>
          <w:numId w:val="2"/>
        </w:numPr>
        <w:spacing w:before="60" w:after="60"/>
        <w:jc w:val="both"/>
        <w:rPr>
          <w:rFonts w:ascii="Times New Roman" w:hAnsi="Times New Roman" w:cs="Times New Roman"/>
          <w:lang w:val="es-DO"/>
        </w:rPr>
      </w:pPr>
      <w:r w:rsidRPr="002E7BE7">
        <w:rPr>
          <w:rFonts w:ascii="Times New Roman" w:hAnsi="Times New Roman" w:cs="Times New Roman"/>
          <w:lang w:val="es-DO"/>
        </w:rPr>
        <w:t xml:space="preserve">Se recopilaron todos los flujos de exportación FOB (Free </w:t>
      </w:r>
      <w:proofErr w:type="spellStart"/>
      <w:r w:rsidRPr="002E7BE7">
        <w:rPr>
          <w:rFonts w:ascii="Times New Roman" w:hAnsi="Times New Roman" w:cs="Times New Roman"/>
          <w:lang w:val="es-DO"/>
        </w:rPr>
        <w:t>on</w:t>
      </w:r>
      <w:proofErr w:type="spellEnd"/>
      <w:r w:rsidRPr="002E7BE7">
        <w:rPr>
          <w:rFonts w:ascii="Times New Roman" w:hAnsi="Times New Roman" w:cs="Times New Roman"/>
          <w:lang w:val="es-DO"/>
        </w:rPr>
        <w:t xml:space="preserve"> </w:t>
      </w:r>
      <w:proofErr w:type="spellStart"/>
      <w:r w:rsidRPr="002E7BE7">
        <w:rPr>
          <w:rFonts w:ascii="Times New Roman" w:hAnsi="Times New Roman" w:cs="Times New Roman"/>
          <w:lang w:val="es-DO"/>
        </w:rPr>
        <w:t>Board</w:t>
      </w:r>
      <w:proofErr w:type="spellEnd"/>
      <w:r w:rsidRPr="002E7BE7">
        <w:rPr>
          <w:rFonts w:ascii="Times New Roman" w:hAnsi="Times New Roman" w:cs="Times New Roman"/>
          <w:lang w:val="es-DO"/>
        </w:rPr>
        <w:t xml:space="preserve">) de varillas de acero reportados en </w:t>
      </w:r>
      <w:r w:rsidRPr="001951EC">
        <w:rPr>
          <w:rFonts w:ascii="Times New Roman" w:hAnsi="Times New Roman" w:cs="Times New Roman"/>
          <w:lang w:val="es-DO"/>
        </w:rPr>
        <w:t>la base de datos</w:t>
      </w:r>
      <w:r w:rsidR="001951EC">
        <w:rPr>
          <w:rFonts w:ascii="Times New Roman" w:hAnsi="Times New Roman" w:cs="Times New Roman"/>
          <w:lang w:val="es-DO"/>
        </w:rPr>
        <w:t xml:space="preserve"> (</w:t>
      </w:r>
      <w:proofErr w:type="spellStart"/>
      <w:r w:rsidR="001951EC">
        <w:rPr>
          <w:rFonts w:ascii="Times New Roman" w:hAnsi="Times New Roman" w:cs="Times New Roman"/>
          <w:lang w:val="es-DO"/>
        </w:rPr>
        <w:t>Trademap</w:t>
      </w:r>
      <w:proofErr w:type="spellEnd"/>
      <w:r w:rsidR="001951EC">
        <w:rPr>
          <w:rFonts w:ascii="Times New Roman" w:hAnsi="Times New Roman" w:cs="Times New Roman"/>
          <w:lang w:val="es-DO"/>
        </w:rPr>
        <w:t>)</w:t>
      </w:r>
      <w:r w:rsidRPr="001951EC">
        <w:rPr>
          <w:rFonts w:ascii="Times New Roman" w:hAnsi="Times New Roman" w:cs="Times New Roman"/>
          <w:lang w:val="es-DO"/>
        </w:rPr>
        <w:t>,</w:t>
      </w:r>
      <w:r w:rsidRPr="002E7BE7">
        <w:rPr>
          <w:rFonts w:ascii="Times New Roman" w:hAnsi="Times New Roman" w:cs="Times New Roman"/>
          <w:lang w:val="es-DO"/>
        </w:rPr>
        <w:t xml:space="preserve"> incluyendo exportaciones a República Dominicana y a todos los demás destinos.</w:t>
      </w:r>
    </w:p>
    <w:p w14:paraId="6BA336C6" w14:textId="77777777" w:rsidR="00483E32" w:rsidRPr="002E7BE7" w:rsidRDefault="00413FFF">
      <w:pPr>
        <w:pStyle w:val="ListParagraph"/>
        <w:numPr>
          <w:ilvl w:val="0"/>
          <w:numId w:val="2"/>
        </w:numPr>
        <w:spacing w:before="60" w:after="60"/>
        <w:jc w:val="both"/>
        <w:rPr>
          <w:rFonts w:ascii="Times New Roman" w:hAnsi="Times New Roman" w:cs="Times New Roman"/>
          <w:lang w:val="es-DO"/>
        </w:rPr>
      </w:pPr>
      <w:r w:rsidRPr="002E7BE7">
        <w:rPr>
          <w:rFonts w:ascii="Times New Roman" w:hAnsi="Times New Roman" w:cs="Times New Roman"/>
          <w:lang w:val="es-DO"/>
        </w:rPr>
        <w:t xml:space="preserve">Se calculó el valor unitario implícito para cada flujo comercial como el cociente entre el valor FOB en dólares estadounidenses y el peso en kilogramos: </w:t>
      </w:r>
      <w:proofErr w:type="spellStart"/>
      <w:r w:rsidRPr="002E7BE7">
        <w:rPr>
          <w:rFonts w:ascii="Times New Roman" w:hAnsi="Times New Roman" w:cs="Times New Roman"/>
          <w:i/>
          <w:iCs/>
          <w:lang w:val="es-DO"/>
        </w:rPr>
        <w:t>precio</w:t>
      </w:r>
      <w:r w:rsidRPr="002E7BE7">
        <w:rPr>
          <w:rFonts w:ascii="Times New Roman" w:hAnsi="Times New Roman" w:cs="Times New Roman"/>
          <w:i/>
          <w:iCs/>
          <w:vertAlign w:val="subscript"/>
          <w:lang w:val="es-DO"/>
        </w:rPr>
        <w:t>ijt</w:t>
      </w:r>
      <w:proofErr w:type="spellEnd"/>
      <w:r w:rsidRPr="002E7BE7">
        <w:rPr>
          <w:rFonts w:ascii="Times New Roman" w:hAnsi="Times New Roman" w:cs="Times New Roman"/>
          <w:lang w:val="es-DO"/>
        </w:rPr>
        <w:t xml:space="preserve"> = </w:t>
      </w:r>
      <w:proofErr w:type="spellStart"/>
      <w:r w:rsidRPr="002E7BE7">
        <w:rPr>
          <w:rFonts w:ascii="Times New Roman" w:hAnsi="Times New Roman" w:cs="Times New Roman"/>
          <w:lang w:val="es-DO"/>
        </w:rPr>
        <w:t>valor_FOB</w:t>
      </w:r>
      <w:r w:rsidRPr="002E7BE7">
        <w:rPr>
          <w:rFonts w:ascii="Times New Roman" w:hAnsi="Times New Roman" w:cs="Times New Roman"/>
          <w:vertAlign w:val="subscript"/>
          <w:lang w:val="es-DO"/>
        </w:rPr>
        <w:t>ijt</w:t>
      </w:r>
      <w:proofErr w:type="spellEnd"/>
      <w:r w:rsidRPr="002E7BE7">
        <w:rPr>
          <w:rFonts w:ascii="Times New Roman" w:hAnsi="Times New Roman" w:cs="Times New Roman"/>
          <w:lang w:val="es-DO"/>
        </w:rPr>
        <w:t xml:space="preserve"> / </w:t>
      </w:r>
      <w:proofErr w:type="spellStart"/>
      <w:r w:rsidRPr="002E7BE7">
        <w:rPr>
          <w:rFonts w:ascii="Times New Roman" w:hAnsi="Times New Roman" w:cs="Times New Roman"/>
          <w:lang w:val="es-DO"/>
        </w:rPr>
        <w:t>kilogramos</w:t>
      </w:r>
      <w:r w:rsidRPr="002E7BE7">
        <w:rPr>
          <w:rFonts w:ascii="Times New Roman" w:hAnsi="Times New Roman" w:cs="Times New Roman"/>
          <w:vertAlign w:val="subscript"/>
          <w:lang w:val="es-DO"/>
        </w:rPr>
        <w:t>ijt</w:t>
      </w:r>
      <w:proofErr w:type="spellEnd"/>
      <w:r w:rsidRPr="002E7BE7">
        <w:rPr>
          <w:rFonts w:ascii="Times New Roman" w:hAnsi="Times New Roman" w:cs="Times New Roman"/>
          <w:lang w:val="es-DO"/>
        </w:rPr>
        <w:t>.</w:t>
      </w:r>
    </w:p>
    <w:p w14:paraId="6F79427D" w14:textId="77777777" w:rsidR="00483E32" w:rsidRPr="002E7BE7" w:rsidRDefault="00413FFF">
      <w:pPr>
        <w:pStyle w:val="ListParagraph"/>
        <w:numPr>
          <w:ilvl w:val="0"/>
          <w:numId w:val="2"/>
        </w:numPr>
        <w:spacing w:before="60" w:after="60"/>
        <w:jc w:val="both"/>
        <w:rPr>
          <w:rFonts w:ascii="Times New Roman" w:hAnsi="Times New Roman" w:cs="Times New Roman"/>
          <w:lang w:val="es-DO"/>
        </w:rPr>
      </w:pPr>
      <w:r w:rsidRPr="002E7BE7">
        <w:rPr>
          <w:rFonts w:ascii="Times New Roman" w:hAnsi="Times New Roman" w:cs="Times New Roman"/>
          <w:lang w:val="es-DO"/>
        </w:rPr>
        <w:t>Se agregó la información a nivel trimestral, calculando el precio promedio mundial ponderado por el volumen de comercio.</w:t>
      </w:r>
    </w:p>
    <w:p w14:paraId="711D8AAA" w14:textId="77777777"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lang w:val="es-DO"/>
        </w:rPr>
        <w:lastRenderedPageBreak/>
        <w:t xml:space="preserve">Esta metodología de construcción del precio presenta una ventaja adicional: refuerza la </w:t>
      </w:r>
      <w:proofErr w:type="spellStart"/>
      <w:r w:rsidRPr="002E7BE7">
        <w:rPr>
          <w:rFonts w:ascii="Times New Roman" w:hAnsi="Times New Roman" w:cs="Times New Roman"/>
          <w:lang w:val="es-DO"/>
        </w:rPr>
        <w:t>exogeneidad</w:t>
      </w:r>
      <w:proofErr w:type="spellEnd"/>
      <w:r w:rsidRPr="002E7BE7">
        <w:rPr>
          <w:rFonts w:ascii="Times New Roman" w:hAnsi="Times New Roman" w:cs="Times New Roman"/>
          <w:lang w:val="es-DO"/>
        </w:rPr>
        <w:t xml:space="preserve"> de la variable de control. Al incluir en el cálculo del precio mundial </w:t>
      </w:r>
      <w:r w:rsidRPr="002E7BE7">
        <w:rPr>
          <w:rFonts w:ascii="Times New Roman" w:hAnsi="Times New Roman" w:cs="Times New Roman"/>
          <w:i/>
          <w:iCs/>
          <w:lang w:val="es-DO"/>
        </w:rPr>
        <w:t>todas</w:t>
      </w:r>
      <w:r w:rsidRPr="002E7BE7">
        <w:rPr>
          <w:rFonts w:ascii="Times New Roman" w:hAnsi="Times New Roman" w:cs="Times New Roman"/>
          <w:lang w:val="es-DO"/>
        </w:rPr>
        <w:t xml:space="preserve"> las exportaciones de varillas reportadas—incluyendo aquellas de países que no exportan a República Dominicana—se proporciona una salvaguarda adicional contra potenciales correlaciones mecánicas. Las exportaciones de Costa Rica a República Dominicana representan una fracción muy pequeña del comercio mundial de varillas, por lo que tienen un impacto marginal sobre el precio mundial promedio, lo cual refuerza aún más la va</w:t>
      </w:r>
      <w:r w:rsidRPr="002E7BE7">
        <w:rPr>
          <w:rFonts w:ascii="Times New Roman" w:hAnsi="Times New Roman" w:cs="Times New Roman"/>
          <w:lang w:val="es-DO"/>
        </w:rPr>
        <w:t>lidez de esta variable como control exógeno.</w:t>
      </w:r>
    </w:p>
    <w:p w14:paraId="155D9359" w14:textId="77777777" w:rsidR="00483E32" w:rsidRPr="002E7BE7" w:rsidRDefault="00413FFF">
      <w:pPr>
        <w:pStyle w:val="Heading2"/>
        <w:rPr>
          <w:rFonts w:ascii="Times New Roman" w:hAnsi="Times New Roman" w:cs="Times New Roman"/>
          <w:lang w:val="es-DO"/>
        </w:rPr>
      </w:pPr>
      <w:r w:rsidRPr="002E7BE7">
        <w:rPr>
          <w:rFonts w:ascii="Times New Roman" w:hAnsi="Times New Roman" w:cs="Times New Roman"/>
          <w:lang w:val="es-DO"/>
        </w:rPr>
        <w:t>Comparación de Resultados y Robustez</w:t>
      </w:r>
    </w:p>
    <w:p w14:paraId="41EA6CE9" w14:textId="20EFD8C5"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lang w:val="es-DO"/>
        </w:rPr>
        <w:t xml:space="preserve">La Tabla 1 presenta los resultados de ambas especificaciones del modelo PPML (Poisson Pseudo </w:t>
      </w:r>
      <w:proofErr w:type="spellStart"/>
      <w:r w:rsidRPr="002E7BE7">
        <w:rPr>
          <w:rFonts w:ascii="Times New Roman" w:hAnsi="Times New Roman" w:cs="Times New Roman"/>
          <w:lang w:val="es-DO"/>
        </w:rPr>
        <w:t>Maximum</w:t>
      </w:r>
      <w:proofErr w:type="spellEnd"/>
      <w:r w:rsidRPr="002E7BE7">
        <w:rPr>
          <w:rFonts w:ascii="Times New Roman" w:hAnsi="Times New Roman" w:cs="Times New Roman"/>
          <w:lang w:val="es-DO"/>
        </w:rPr>
        <w:t xml:space="preserve"> </w:t>
      </w:r>
      <w:proofErr w:type="spellStart"/>
      <w:r w:rsidRPr="002E7BE7">
        <w:rPr>
          <w:rFonts w:ascii="Times New Roman" w:hAnsi="Times New Roman" w:cs="Times New Roman"/>
          <w:lang w:val="es-DO"/>
        </w:rPr>
        <w:t>Likelihood</w:t>
      </w:r>
      <w:proofErr w:type="spellEnd"/>
      <w:r w:rsidR="004F4410">
        <w:rPr>
          <w:rFonts w:ascii="Times New Roman" w:hAnsi="Times New Roman" w:cs="Times New Roman"/>
          <w:lang w:val="es-DO"/>
        </w:rPr>
        <w:t>, “E</w:t>
      </w:r>
      <w:r w:rsidR="004F4410" w:rsidRPr="004F4410">
        <w:rPr>
          <w:rFonts w:ascii="Times New Roman" w:hAnsi="Times New Roman" w:cs="Times New Roman"/>
          <w:lang w:val="es-DO"/>
        </w:rPr>
        <w:t xml:space="preserve">stimación por </w:t>
      </w:r>
      <w:proofErr w:type="spellStart"/>
      <w:r w:rsidR="004F4410" w:rsidRPr="004F4410">
        <w:rPr>
          <w:rFonts w:ascii="Times New Roman" w:hAnsi="Times New Roman" w:cs="Times New Roman"/>
          <w:lang w:val="es-DO"/>
        </w:rPr>
        <w:t>pseudo-verosimilitud</w:t>
      </w:r>
      <w:proofErr w:type="spellEnd"/>
      <w:r w:rsidR="004F4410" w:rsidRPr="004F4410">
        <w:rPr>
          <w:rFonts w:ascii="Times New Roman" w:hAnsi="Times New Roman" w:cs="Times New Roman"/>
          <w:lang w:val="es-DO"/>
        </w:rPr>
        <w:t xml:space="preserve"> máxima de </w:t>
      </w:r>
      <w:proofErr w:type="spellStart"/>
      <w:proofErr w:type="gramStart"/>
      <w:r w:rsidR="004F4410" w:rsidRPr="004F4410">
        <w:rPr>
          <w:rFonts w:ascii="Times New Roman" w:hAnsi="Times New Roman" w:cs="Times New Roman"/>
          <w:lang w:val="es-DO"/>
        </w:rPr>
        <w:t>Poisson</w:t>
      </w:r>
      <w:r w:rsidR="004F4410">
        <w:rPr>
          <w:rFonts w:ascii="Times New Roman" w:hAnsi="Times New Roman" w:cs="Times New Roman"/>
          <w:lang w:val="es-DO"/>
        </w:rPr>
        <w:t>”en</w:t>
      </w:r>
      <w:proofErr w:type="spellEnd"/>
      <w:proofErr w:type="gramEnd"/>
      <w:r w:rsidR="004F4410">
        <w:rPr>
          <w:rFonts w:ascii="Times New Roman" w:hAnsi="Times New Roman" w:cs="Times New Roman"/>
          <w:lang w:val="es-DO"/>
        </w:rPr>
        <w:t xml:space="preserve"> español</w:t>
      </w:r>
      <w:r w:rsidRPr="002E7BE7">
        <w:rPr>
          <w:rFonts w:ascii="Times New Roman" w:hAnsi="Times New Roman" w:cs="Times New Roman"/>
          <w:lang w:val="es-DO"/>
        </w:rPr>
        <w:t>) con efectos fijos por origen</w:t>
      </w:r>
      <w:r w:rsidR="00DA28C0" w:rsidRPr="002E7BE7">
        <w:rPr>
          <w:rFonts w:ascii="Times New Roman" w:hAnsi="Times New Roman" w:cs="Times New Roman"/>
          <w:lang w:val="es-DO"/>
        </w:rPr>
        <w:t xml:space="preserve"> presentado también en el último documento depositado</w:t>
      </w:r>
      <w:r w:rsidRPr="002E7BE7">
        <w:rPr>
          <w:rFonts w:ascii="Times New Roman" w:hAnsi="Times New Roman" w:cs="Times New Roman"/>
          <w:lang w:val="es-DO"/>
        </w:rPr>
        <w:t>.</w:t>
      </w:r>
      <w:r w:rsidR="00DA28C0" w:rsidRPr="002E7BE7">
        <w:rPr>
          <w:rFonts w:ascii="Times New Roman" w:hAnsi="Times New Roman" w:cs="Times New Roman"/>
          <w:lang w:val="es-DO"/>
        </w:rPr>
        <w:t xml:space="preserve"> En esta ocasión</w:t>
      </w:r>
      <w:r w:rsidRPr="002E7BE7">
        <w:rPr>
          <w:rFonts w:ascii="Times New Roman" w:hAnsi="Times New Roman" w:cs="Times New Roman"/>
          <w:lang w:val="es-DO"/>
        </w:rPr>
        <w:t xml:space="preserve"> El Modelo 1 utiliza el índice </w:t>
      </w:r>
      <w:r w:rsidR="00DA28C0" w:rsidRPr="002E7BE7">
        <w:rPr>
          <w:rFonts w:ascii="Times New Roman" w:hAnsi="Times New Roman" w:cs="Times New Roman"/>
          <w:lang w:val="es-DO"/>
        </w:rPr>
        <w:t>de precios acero largo (</w:t>
      </w:r>
      <w:r w:rsidRPr="002E7BE7">
        <w:rPr>
          <w:rFonts w:ascii="Times New Roman" w:hAnsi="Times New Roman" w:cs="Times New Roman"/>
          <w:lang w:val="es-DO"/>
        </w:rPr>
        <w:t>HRC</w:t>
      </w:r>
      <w:r w:rsidR="00DA28C0" w:rsidRPr="002E7BE7">
        <w:rPr>
          <w:rFonts w:ascii="Times New Roman" w:hAnsi="Times New Roman" w:cs="Times New Roman"/>
          <w:lang w:val="es-DO"/>
        </w:rPr>
        <w:t xml:space="preserve">) </w:t>
      </w:r>
      <w:r w:rsidRPr="002E7BE7">
        <w:rPr>
          <w:rFonts w:ascii="Times New Roman" w:hAnsi="Times New Roman" w:cs="Times New Roman"/>
          <w:lang w:val="es-DO"/>
        </w:rPr>
        <w:t>como variable de control de precios, mientras que el Modelo 2 emplea el precio mundial de varillas construido según la metodología descrita anteriormente.</w:t>
      </w:r>
    </w:p>
    <w:p w14:paraId="59610D98" w14:textId="7A38A1EA" w:rsidR="00483E32" w:rsidRPr="002E7BE7" w:rsidRDefault="00413FFF">
      <w:pPr>
        <w:spacing w:before="120" w:after="120"/>
        <w:jc w:val="both"/>
        <w:rPr>
          <w:rFonts w:ascii="Times New Roman" w:hAnsi="Times New Roman" w:cs="Times New Roman"/>
          <w:lang w:val="es-DO"/>
        </w:rPr>
      </w:pPr>
      <w:r w:rsidRPr="002E7BE7">
        <w:rPr>
          <w:rFonts w:ascii="Times New Roman" w:hAnsi="Times New Roman" w:cs="Times New Roman"/>
          <w:lang w:val="es-DO"/>
        </w:rPr>
        <w:t>Los resultados demuestran una notable robustez en la estimación del coeficiente de interés principal: el efecto de la medida antidumping contra Costa Rica</w:t>
      </w:r>
      <w:r w:rsidR="00DA28C0" w:rsidRPr="002E7BE7">
        <w:rPr>
          <w:rFonts w:ascii="Times New Roman" w:hAnsi="Times New Roman" w:cs="Times New Roman"/>
          <w:lang w:val="es-DO"/>
        </w:rPr>
        <w:t xml:space="preserve"> (</w:t>
      </w:r>
      <w:proofErr w:type="spellStart"/>
      <w:r w:rsidR="00DA28C0" w:rsidRPr="002E7BE7">
        <w:rPr>
          <w:rFonts w:ascii="Times New Roman" w:hAnsi="Times New Roman" w:cs="Times New Roman"/>
          <w:lang w:val="es-DO"/>
        </w:rPr>
        <w:t>dumping_cr</w:t>
      </w:r>
      <w:proofErr w:type="spellEnd"/>
      <w:r w:rsidR="00DA28C0" w:rsidRPr="002E7BE7">
        <w:rPr>
          <w:rFonts w:ascii="Times New Roman" w:hAnsi="Times New Roman" w:cs="Times New Roman"/>
          <w:lang w:val="es-DO"/>
        </w:rPr>
        <w:t>)</w:t>
      </w:r>
      <w:r w:rsidRPr="002E7BE7">
        <w:rPr>
          <w:rFonts w:ascii="Times New Roman" w:hAnsi="Times New Roman" w:cs="Times New Roman"/>
          <w:lang w:val="es-DO"/>
        </w:rPr>
        <w:t xml:space="preserve">. En ambas especificaciones, el coeficiente estimado es de 0.694, y es estadísticamente significativo al 1% de nivel de significancia. </w:t>
      </w:r>
      <w:r w:rsidR="00DA28C0" w:rsidRPr="002E7BE7">
        <w:rPr>
          <w:rFonts w:ascii="Times New Roman" w:hAnsi="Times New Roman" w:cs="Times New Roman"/>
          <w:lang w:val="es-DO"/>
        </w:rPr>
        <w:t xml:space="preserve">El hecho de que coincidan </w:t>
      </w:r>
      <w:r w:rsidRPr="002E7BE7">
        <w:rPr>
          <w:rFonts w:ascii="Times New Roman" w:hAnsi="Times New Roman" w:cs="Times New Roman"/>
          <w:lang w:val="es-DO"/>
        </w:rPr>
        <w:t>hasta tres decimales en el coeficiente principal del modelo proporciona evidencia sólida de que la conclusión fundamental del análisis</w:t>
      </w:r>
      <w:r w:rsidR="00DA28C0" w:rsidRPr="002E7BE7">
        <w:rPr>
          <w:rFonts w:ascii="Times New Roman" w:hAnsi="Times New Roman" w:cs="Times New Roman"/>
          <w:lang w:val="es-DO"/>
        </w:rPr>
        <w:t xml:space="preserve">, </w:t>
      </w:r>
      <w:r w:rsidRPr="002E7BE7">
        <w:rPr>
          <w:rFonts w:ascii="Times New Roman" w:hAnsi="Times New Roman" w:cs="Times New Roman"/>
          <w:lang w:val="es-DO"/>
        </w:rPr>
        <w:t>que la medida antidumping tuvo un efecto positivo y estadísticamente significativo sobre las exportaciones costarricenses de varillas a República Dominicana</w:t>
      </w:r>
      <w:r w:rsidR="00DA28C0" w:rsidRPr="002E7BE7">
        <w:rPr>
          <w:rFonts w:ascii="Times New Roman" w:hAnsi="Times New Roman" w:cs="Times New Roman"/>
          <w:lang w:val="es-DO"/>
        </w:rPr>
        <w:t xml:space="preserve">, </w:t>
      </w:r>
      <w:r w:rsidRPr="002E7BE7">
        <w:rPr>
          <w:rFonts w:ascii="Times New Roman" w:hAnsi="Times New Roman" w:cs="Times New Roman"/>
          <w:lang w:val="es-DO"/>
        </w:rPr>
        <w:t>es robusta a la especificación de la variabl</w:t>
      </w:r>
      <w:r w:rsidRPr="002E7BE7">
        <w:rPr>
          <w:rFonts w:ascii="Times New Roman" w:hAnsi="Times New Roman" w:cs="Times New Roman"/>
          <w:lang w:val="es-DO"/>
        </w:rPr>
        <w:t>e de precios internacionales del acero.</w:t>
      </w:r>
    </w:p>
    <w:p w14:paraId="459A1F5E" w14:textId="77777777" w:rsidR="00DA28C0" w:rsidRPr="002E7BE7" w:rsidRDefault="00DA28C0" w:rsidP="00B044D4">
      <w:pPr>
        <w:spacing w:before="240" w:after="120"/>
        <w:rPr>
          <w:rFonts w:ascii="Times New Roman" w:hAnsi="Times New Roman" w:cs="Times New Roman"/>
          <w:lang w:val="es-DO"/>
        </w:rPr>
      </w:pPr>
    </w:p>
    <w:p w14:paraId="44B2231A" w14:textId="7FBE842F" w:rsidR="00DA28C0" w:rsidRPr="002E7BE7" w:rsidRDefault="00DA28C0" w:rsidP="00DA28C0">
      <w:pPr>
        <w:pStyle w:val="Caption"/>
        <w:keepNext/>
        <w:jc w:val="center"/>
        <w:rPr>
          <w:rFonts w:ascii="Times New Roman" w:hAnsi="Times New Roman" w:cs="Times New Roman"/>
          <w:b/>
          <w:bCs/>
          <w:color w:val="auto"/>
          <w:sz w:val="22"/>
          <w:szCs w:val="22"/>
        </w:rPr>
      </w:pPr>
      <w:r w:rsidRPr="002E7BE7">
        <w:rPr>
          <w:rFonts w:ascii="Times New Roman" w:hAnsi="Times New Roman" w:cs="Times New Roman"/>
          <w:b/>
          <w:bCs/>
          <w:color w:val="auto"/>
          <w:sz w:val="22"/>
          <w:szCs w:val="22"/>
        </w:rPr>
        <w:lastRenderedPageBreak/>
        <w:t xml:space="preserve">Tabla </w:t>
      </w:r>
      <w:r w:rsidRPr="002E7BE7">
        <w:rPr>
          <w:rFonts w:ascii="Times New Roman" w:hAnsi="Times New Roman" w:cs="Times New Roman"/>
          <w:b/>
          <w:bCs/>
          <w:color w:val="auto"/>
          <w:sz w:val="22"/>
          <w:szCs w:val="22"/>
        </w:rPr>
        <w:fldChar w:fldCharType="begin"/>
      </w:r>
      <w:r w:rsidRPr="002E7BE7">
        <w:rPr>
          <w:rFonts w:ascii="Times New Roman" w:hAnsi="Times New Roman" w:cs="Times New Roman"/>
          <w:b/>
          <w:bCs/>
          <w:color w:val="auto"/>
          <w:sz w:val="22"/>
          <w:szCs w:val="22"/>
        </w:rPr>
        <w:instrText xml:space="preserve"> SEQ Tabla \* ARABIC </w:instrText>
      </w:r>
      <w:r w:rsidRPr="002E7BE7">
        <w:rPr>
          <w:rFonts w:ascii="Times New Roman" w:hAnsi="Times New Roman" w:cs="Times New Roman"/>
          <w:b/>
          <w:bCs/>
          <w:color w:val="auto"/>
          <w:sz w:val="22"/>
          <w:szCs w:val="22"/>
        </w:rPr>
        <w:fldChar w:fldCharType="separate"/>
      </w:r>
      <w:r w:rsidRPr="002E7BE7">
        <w:rPr>
          <w:rFonts w:ascii="Times New Roman" w:hAnsi="Times New Roman" w:cs="Times New Roman"/>
          <w:b/>
          <w:bCs/>
          <w:noProof/>
          <w:color w:val="auto"/>
          <w:sz w:val="22"/>
          <w:szCs w:val="22"/>
        </w:rPr>
        <w:t>1</w:t>
      </w:r>
      <w:r w:rsidRPr="002E7BE7">
        <w:rPr>
          <w:rFonts w:ascii="Times New Roman" w:hAnsi="Times New Roman" w:cs="Times New Roman"/>
          <w:b/>
          <w:bCs/>
          <w:color w:val="auto"/>
          <w:sz w:val="22"/>
          <w:szCs w:val="22"/>
        </w:rPr>
        <w:fldChar w:fldCharType="end"/>
      </w:r>
      <w:r w:rsidRPr="002E7BE7">
        <w:rPr>
          <w:rFonts w:ascii="Times New Roman" w:hAnsi="Times New Roman" w:cs="Times New Roman"/>
          <w:b/>
          <w:bCs/>
          <w:color w:val="auto"/>
          <w:sz w:val="22"/>
          <w:szCs w:val="22"/>
        </w:rPr>
        <w:t>. Resultados Modelo de Gravedad con Diferentes Especificaciones</w:t>
      </w:r>
    </w:p>
    <w:p w14:paraId="66ABC58E" w14:textId="6900250C" w:rsidR="00DA28C0" w:rsidRPr="002E7BE7" w:rsidRDefault="00DA28C0" w:rsidP="00DA28C0">
      <w:pPr>
        <w:spacing w:before="240" w:after="120"/>
        <w:jc w:val="center"/>
        <w:rPr>
          <w:rFonts w:ascii="Times New Roman" w:hAnsi="Times New Roman" w:cs="Times New Roman"/>
          <w:lang w:val="es-DO"/>
        </w:rPr>
      </w:pPr>
      <w:r w:rsidRPr="002E7BE7">
        <w:rPr>
          <w:rFonts w:ascii="Times New Roman" w:hAnsi="Times New Roman" w:cs="Times New Roman"/>
          <w:noProof/>
        </w:rPr>
        <w:drawing>
          <wp:inline distT="0" distB="0" distL="0" distR="0" wp14:anchorId="73BA0319" wp14:editId="21F3D644">
            <wp:extent cx="4596130" cy="7162953"/>
            <wp:effectExtent l="0" t="0" r="0" b="0"/>
            <wp:docPr id="744312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12777" name=""/>
                    <pic:cNvPicPr/>
                  </pic:nvPicPr>
                  <pic:blipFill rotWithShape="1">
                    <a:blip r:embed="rId8"/>
                    <a:srcRect t="861"/>
                    <a:stretch>
                      <a:fillRect/>
                    </a:stretch>
                  </pic:blipFill>
                  <pic:spPr bwMode="auto">
                    <a:xfrm>
                      <a:off x="0" y="0"/>
                      <a:ext cx="4610408" cy="7185205"/>
                    </a:xfrm>
                    <a:prstGeom prst="rect">
                      <a:avLst/>
                    </a:prstGeom>
                    <a:ln>
                      <a:noFill/>
                    </a:ln>
                    <a:extLst>
                      <a:ext uri="{53640926-AAD7-44D8-BBD7-CCE9431645EC}">
                        <a14:shadowObscured xmlns:a14="http://schemas.microsoft.com/office/drawing/2010/main"/>
                      </a:ext>
                    </a:extLst>
                  </pic:spPr>
                </pic:pic>
              </a:graphicData>
            </a:graphic>
          </wp:inline>
        </w:drawing>
      </w:r>
    </w:p>
    <w:p w14:paraId="4C72D17C" w14:textId="77777777" w:rsidR="00DA28C0" w:rsidRPr="002E7BE7" w:rsidRDefault="00DA28C0" w:rsidP="00B044D4">
      <w:pPr>
        <w:spacing w:before="240" w:after="120"/>
        <w:rPr>
          <w:rFonts w:ascii="Times New Roman" w:hAnsi="Times New Roman" w:cs="Times New Roman"/>
          <w:lang w:val="es-DO"/>
        </w:rPr>
      </w:pPr>
    </w:p>
    <w:p w14:paraId="0D8966EE" w14:textId="150C8C00" w:rsidR="00B044D4" w:rsidRPr="002E7BE7" w:rsidRDefault="00B044D4" w:rsidP="00413FFF">
      <w:pPr>
        <w:rPr>
          <w:rFonts w:ascii="Times New Roman" w:hAnsi="Times New Roman" w:cs="Times New Roman"/>
          <w:lang w:val="es-DO"/>
        </w:rPr>
      </w:pPr>
      <w:r w:rsidRPr="002E7BE7">
        <w:rPr>
          <w:rFonts w:ascii="Times New Roman" w:hAnsi="Times New Roman" w:cs="Times New Roman"/>
          <w:lang w:val="es-DO"/>
        </w:rPr>
        <w:br w:type="page"/>
      </w:r>
      <w:r w:rsidR="00413FFF">
        <w:rPr>
          <w:rFonts w:ascii="Times New Roman" w:hAnsi="Times New Roman" w:cs="Times New Roman"/>
          <w:lang w:val="es-DO"/>
        </w:rPr>
        <w:lastRenderedPageBreak/>
        <w:t>I</w:t>
      </w:r>
      <w:r w:rsidRPr="002E7BE7">
        <w:rPr>
          <w:rFonts w:ascii="Times New Roman" w:hAnsi="Times New Roman" w:cs="Times New Roman"/>
          <w:lang w:val="es-DO"/>
        </w:rPr>
        <w:t>mplicaciones para las Proyecciones</w:t>
      </w:r>
    </w:p>
    <w:p w14:paraId="6B3E7FA4" w14:textId="4CED9BFA" w:rsidR="00B044D4" w:rsidRPr="002E7BE7" w:rsidRDefault="00B044D4" w:rsidP="00B044D4">
      <w:pPr>
        <w:spacing w:before="120" w:after="120"/>
        <w:jc w:val="both"/>
        <w:rPr>
          <w:rFonts w:ascii="Times New Roman" w:hAnsi="Times New Roman" w:cs="Times New Roman"/>
          <w:lang w:val="es-DO"/>
        </w:rPr>
      </w:pPr>
      <w:r w:rsidRPr="002E7BE7">
        <w:rPr>
          <w:rFonts w:ascii="Times New Roman" w:hAnsi="Times New Roman" w:cs="Times New Roman"/>
          <w:lang w:val="es-DO"/>
        </w:rPr>
        <w:t>El coeficiente del efecto antidumping es prácticamente idéntico entre ambas especificaciones, las proyecciones totales de exportaciones difieren entre los dos modelos. Esta diferencia se explica por cambios en otros coeficientes del modelo.</w:t>
      </w:r>
    </w:p>
    <w:p w14:paraId="57B3A5D8" w14:textId="77777777" w:rsidR="00B044D4" w:rsidRPr="002E7BE7" w:rsidRDefault="00B044D4" w:rsidP="00B044D4">
      <w:pPr>
        <w:spacing w:before="120" w:after="120"/>
        <w:jc w:val="both"/>
        <w:rPr>
          <w:rFonts w:ascii="Times New Roman" w:hAnsi="Times New Roman" w:cs="Times New Roman"/>
          <w:lang w:val="es-DO"/>
        </w:rPr>
      </w:pPr>
      <w:r w:rsidRPr="002E7BE7">
        <w:rPr>
          <w:rFonts w:ascii="Times New Roman" w:hAnsi="Times New Roman" w:cs="Times New Roman"/>
          <w:lang w:val="es-DO"/>
        </w:rPr>
        <w:t>Es importante enfatizar que estas diferencias en las proyecciones totales no afectan la validez de la conclusión principal del análisis: el efecto causal del dumping permanece constante e idéntico en ambas especificaciones</w:t>
      </w:r>
      <w:r w:rsidRPr="002E7BE7">
        <w:rPr>
          <w:rFonts w:ascii="Times New Roman" w:hAnsi="Times New Roman" w:cs="Times New Roman"/>
          <w:b/>
          <w:bCs/>
          <w:lang w:val="es-DO"/>
        </w:rPr>
        <w:t>.</w:t>
      </w:r>
      <w:r w:rsidRPr="002E7BE7">
        <w:rPr>
          <w:rFonts w:ascii="Times New Roman" w:hAnsi="Times New Roman" w:cs="Times New Roman"/>
          <w:lang w:val="es-DO"/>
        </w:rPr>
        <w:t xml:space="preserve"> Las diferencias en las proyecciones provienen de ajustes en otros componentes del modelo que capturan diferentes aspectos de la dinámica comercial, pero el impacto específico de la medida antidumping sobre las exportaciones costarricenses—que es el objeto central de esta investigación—es robusto a la especificación de precios utilizada.</w:t>
      </w:r>
    </w:p>
    <w:p w14:paraId="21EE45A2" w14:textId="77777777" w:rsidR="00B044D4" w:rsidRPr="002E7BE7" w:rsidRDefault="00B044D4" w:rsidP="00B044D4">
      <w:pPr>
        <w:spacing w:before="120" w:after="120"/>
        <w:jc w:val="both"/>
        <w:rPr>
          <w:rFonts w:ascii="Times New Roman" w:hAnsi="Times New Roman" w:cs="Times New Roman"/>
          <w:lang w:val="es-DO"/>
        </w:rPr>
      </w:pPr>
      <w:r w:rsidRPr="002E7BE7">
        <w:rPr>
          <w:rFonts w:ascii="Times New Roman" w:hAnsi="Times New Roman" w:cs="Times New Roman"/>
          <w:lang w:val="es-DO"/>
        </w:rPr>
        <w:t>La Tabla 2 presenta una comparación de las proyecciones de exportaciones anuales (en kilogramos) bajo el escenario normal para ambas especificaciones:</w:t>
      </w:r>
    </w:p>
    <w:p w14:paraId="4CF21C7C" w14:textId="2BE81B19" w:rsidR="00B044D4" w:rsidRPr="002E7BE7" w:rsidRDefault="00B044D4" w:rsidP="00B044D4">
      <w:pPr>
        <w:spacing w:before="60" w:after="120"/>
        <w:jc w:val="both"/>
        <w:rPr>
          <w:rFonts w:ascii="Times New Roman" w:hAnsi="Times New Roman" w:cs="Times New Roman"/>
          <w:lang w:val="es-DO"/>
        </w:rPr>
      </w:pPr>
      <w:r w:rsidRPr="002E7BE7">
        <w:rPr>
          <w:rFonts w:ascii="Times New Roman" w:hAnsi="Times New Roman" w:cs="Times New Roman"/>
          <w:i/>
          <w:iCs/>
          <w:lang w:val="es-DO"/>
        </w:rPr>
        <w:t xml:space="preserve">Nota: Ambas proyecciones incluyen el ajuste por elasticidad que se describe en el documento depositado </w:t>
      </w:r>
      <w:r w:rsidR="004F4410">
        <w:rPr>
          <w:rFonts w:ascii="Times New Roman" w:hAnsi="Times New Roman" w:cs="Times New Roman"/>
          <w:i/>
          <w:iCs/>
          <w:lang w:val="es-DO"/>
        </w:rPr>
        <w:t xml:space="preserve">en la solicitud de inicio de investigación y sus anexos complementarios. </w:t>
      </w:r>
    </w:p>
    <w:p w14:paraId="7F3BA991" w14:textId="77777777" w:rsidR="00B044D4" w:rsidRPr="002E7BE7" w:rsidRDefault="00B044D4" w:rsidP="00B044D4">
      <w:pPr>
        <w:spacing w:before="240" w:after="60"/>
        <w:jc w:val="center"/>
        <w:rPr>
          <w:rFonts w:ascii="Times New Roman" w:hAnsi="Times New Roman" w:cs="Times New Roman"/>
          <w:lang w:val="es-DO"/>
        </w:rPr>
      </w:pPr>
      <w:r w:rsidRPr="002E7BE7">
        <w:rPr>
          <w:rFonts w:ascii="Times New Roman" w:hAnsi="Times New Roman" w:cs="Times New Roman"/>
          <w:b/>
          <w:bCs/>
          <w:lang w:val="es-DO"/>
        </w:rPr>
        <w:t>Tabla 2: Comparación de Proyecciones de Exportaciones</w:t>
      </w:r>
    </w:p>
    <w:p w14:paraId="2EE52ECA" w14:textId="77777777" w:rsidR="00B044D4" w:rsidRPr="002E7BE7" w:rsidRDefault="00B044D4" w:rsidP="00B044D4">
      <w:pPr>
        <w:spacing w:before="60" w:after="60"/>
        <w:jc w:val="center"/>
        <w:rPr>
          <w:rFonts w:ascii="Times New Roman" w:hAnsi="Times New Roman" w:cs="Times New Roman"/>
          <w:lang w:val="es-DO"/>
        </w:rPr>
      </w:pPr>
      <w:r w:rsidRPr="002E7BE7">
        <w:rPr>
          <w:rFonts w:ascii="Times New Roman" w:hAnsi="Times New Roman" w:cs="Times New Roman"/>
          <w:i/>
          <w:iCs/>
          <w:lang w:val="es-DO"/>
        </w:rPr>
        <w:t>Escenario Normal - Kilogramos Anuales</w:t>
      </w:r>
    </w:p>
    <w:p w14:paraId="2940D2D3" w14:textId="77777777" w:rsidR="00B044D4" w:rsidRPr="002E7BE7" w:rsidRDefault="00B044D4" w:rsidP="00B044D4">
      <w:pPr>
        <w:spacing w:before="120" w:after="60"/>
        <w:jc w:val="center"/>
        <w:rPr>
          <w:rFonts w:ascii="Times New Roman" w:hAnsi="Times New Roman" w:cs="Times New Roman"/>
          <w:lang w:val="es-DO"/>
        </w:rPr>
      </w:pPr>
      <w:r w:rsidRPr="002E7BE7">
        <w:rPr>
          <w:rFonts w:ascii="Times New Roman" w:hAnsi="Times New Roman" w:cs="Times New Roman"/>
          <w:b/>
          <w:bCs/>
          <w:lang w:val="es-DO"/>
        </w:rPr>
        <w:t>Año</w:t>
      </w:r>
      <w:r w:rsidRPr="002E7BE7">
        <w:rPr>
          <w:rFonts w:ascii="Times New Roman" w:hAnsi="Times New Roman" w:cs="Times New Roman"/>
          <w:lang w:val="es-DO"/>
        </w:rPr>
        <w:tab/>
      </w:r>
      <w:r w:rsidRPr="002E7BE7">
        <w:rPr>
          <w:rFonts w:ascii="Times New Roman" w:hAnsi="Times New Roman" w:cs="Times New Roman"/>
          <w:lang w:val="es-DO"/>
        </w:rPr>
        <w:tab/>
      </w:r>
      <w:r w:rsidRPr="002E7BE7">
        <w:rPr>
          <w:rFonts w:ascii="Times New Roman" w:hAnsi="Times New Roman" w:cs="Times New Roman"/>
          <w:b/>
          <w:bCs/>
          <w:lang w:val="es-DO"/>
        </w:rPr>
        <w:t>Con HRC</w:t>
      </w:r>
      <w:r w:rsidRPr="002E7BE7">
        <w:rPr>
          <w:rFonts w:ascii="Times New Roman" w:hAnsi="Times New Roman" w:cs="Times New Roman"/>
          <w:lang w:val="es-DO"/>
        </w:rPr>
        <w:tab/>
      </w:r>
      <w:r w:rsidRPr="002E7BE7">
        <w:rPr>
          <w:rFonts w:ascii="Times New Roman" w:hAnsi="Times New Roman" w:cs="Times New Roman"/>
          <w:lang w:val="es-DO"/>
        </w:rPr>
        <w:tab/>
      </w:r>
      <w:r w:rsidRPr="002E7BE7">
        <w:rPr>
          <w:rFonts w:ascii="Times New Roman" w:hAnsi="Times New Roman" w:cs="Times New Roman"/>
          <w:b/>
          <w:bCs/>
          <w:lang w:val="es-DO"/>
        </w:rPr>
        <w:t>Precios Varilla</w:t>
      </w:r>
    </w:p>
    <w:p w14:paraId="36E4C185" w14:textId="77777777" w:rsidR="00B044D4" w:rsidRPr="002E7BE7" w:rsidRDefault="00B044D4" w:rsidP="00B044D4">
      <w:pPr>
        <w:spacing w:before="60" w:after="60"/>
        <w:jc w:val="center"/>
        <w:rPr>
          <w:rFonts w:ascii="Times New Roman" w:hAnsi="Times New Roman" w:cs="Times New Roman"/>
          <w:lang w:val="es-DO"/>
        </w:rPr>
      </w:pPr>
      <w:r w:rsidRPr="002E7BE7">
        <w:rPr>
          <w:rFonts w:ascii="Times New Roman" w:hAnsi="Times New Roman" w:cs="Times New Roman"/>
          <w:lang w:val="es-DO"/>
        </w:rPr>
        <w:t>2025</w:t>
      </w:r>
      <w:r w:rsidRPr="002E7BE7">
        <w:rPr>
          <w:rFonts w:ascii="Times New Roman" w:hAnsi="Times New Roman" w:cs="Times New Roman"/>
          <w:lang w:val="es-DO"/>
        </w:rPr>
        <w:tab/>
      </w:r>
      <w:r w:rsidRPr="002E7BE7">
        <w:rPr>
          <w:rFonts w:ascii="Times New Roman" w:hAnsi="Times New Roman" w:cs="Times New Roman"/>
          <w:lang w:val="es-DO"/>
        </w:rPr>
        <w:tab/>
        <w:t>66,966,773</w:t>
      </w:r>
      <w:r w:rsidRPr="002E7BE7">
        <w:rPr>
          <w:rFonts w:ascii="Times New Roman" w:hAnsi="Times New Roman" w:cs="Times New Roman"/>
          <w:lang w:val="es-DO"/>
        </w:rPr>
        <w:tab/>
      </w:r>
      <w:r w:rsidRPr="002E7BE7">
        <w:rPr>
          <w:rFonts w:ascii="Times New Roman" w:hAnsi="Times New Roman" w:cs="Times New Roman"/>
          <w:lang w:val="es-DO"/>
        </w:rPr>
        <w:tab/>
        <w:t>79,164,346</w:t>
      </w:r>
    </w:p>
    <w:p w14:paraId="00E0CF21" w14:textId="77777777" w:rsidR="00B044D4" w:rsidRPr="002E7BE7" w:rsidRDefault="00B044D4" w:rsidP="00B044D4">
      <w:pPr>
        <w:spacing w:before="60" w:after="60"/>
        <w:jc w:val="center"/>
        <w:rPr>
          <w:rFonts w:ascii="Times New Roman" w:hAnsi="Times New Roman" w:cs="Times New Roman"/>
          <w:lang w:val="es-DO"/>
        </w:rPr>
      </w:pPr>
      <w:r w:rsidRPr="002E7BE7">
        <w:rPr>
          <w:rFonts w:ascii="Times New Roman" w:hAnsi="Times New Roman" w:cs="Times New Roman"/>
          <w:lang w:val="es-DO"/>
        </w:rPr>
        <w:t>2026</w:t>
      </w:r>
      <w:r w:rsidRPr="002E7BE7">
        <w:rPr>
          <w:rFonts w:ascii="Times New Roman" w:hAnsi="Times New Roman" w:cs="Times New Roman"/>
          <w:lang w:val="es-DO"/>
        </w:rPr>
        <w:tab/>
      </w:r>
      <w:r w:rsidRPr="002E7BE7">
        <w:rPr>
          <w:rFonts w:ascii="Times New Roman" w:hAnsi="Times New Roman" w:cs="Times New Roman"/>
          <w:lang w:val="es-DO"/>
        </w:rPr>
        <w:tab/>
        <w:t>74,783,085</w:t>
      </w:r>
      <w:r w:rsidRPr="002E7BE7">
        <w:rPr>
          <w:rFonts w:ascii="Times New Roman" w:hAnsi="Times New Roman" w:cs="Times New Roman"/>
          <w:lang w:val="es-DO"/>
        </w:rPr>
        <w:tab/>
      </w:r>
      <w:r w:rsidRPr="002E7BE7">
        <w:rPr>
          <w:rFonts w:ascii="Times New Roman" w:hAnsi="Times New Roman" w:cs="Times New Roman"/>
          <w:lang w:val="es-DO"/>
        </w:rPr>
        <w:tab/>
        <w:t>89,605,036</w:t>
      </w:r>
    </w:p>
    <w:p w14:paraId="4B76E739" w14:textId="77777777" w:rsidR="00B044D4" w:rsidRPr="002E7BE7" w:rsidRDefault="00B044D4" w:rsidP="00B044D4">
      <w:pPr>
        <w:spacing w:before="60" w:after="120"/>
        <w:jc w:val="center"/>
        <w:rPr>
          <w:rFonts w:ascii="Times New Roman" w:hAnsi="Times New Roman" w:cs="Times New Roman"/>
          <w:lang w:val="es-DO"/>
        </w:rPr>
      </w:pPr>
      <w:r w:rsidRPr="002E7BE7">
        <w:rPr>
          <w:rFonts w:ascii="Times New Roman" w:hAnsi="Times New Roman" w:cs="Times New Roman"/>
          <w:lang w:val="es-DO"/>
        </w:rPr>
        <w:t>2027</w:t>
      </w:r>
      <w:r w:rsidRPr="002E7BE7">
        <w:rPr>
          <w:rFonts w:ascii="Times New Roman" w:hAnsi="Times New Roman" w:cs="Times New Roman"/>
          <w:lang w:val="es-DO"/>
        </w:rPr>
        <w:tab/>
      </w:r>
      <w:r w:rsidRPr="002E7BE7">
        <w:rPr>
          <w:rFonts w:ascii="Times New Roman" w:hAnsi="Times New Roman" w:cs="Times New Roman"/>
          <w:lang w:val="es-DO"/>
        </w:rPr>
        <w:tab/>
        <w:t>73,677,117</w:t>
      </w:r>
      <w:r w:rsidRPr="002E7BE7">
        <w:rPr>
          <w:rFonts w:ascii="Times New Roman" w:hAnsi="Times New Roman" w:cs="Times New Roman"/>
          <w:lang w:val="es-DO"/>
        </w:rPr>
        <w:tab/>
      </w:r>
      <w:r w:rsidRPr="002E7BE7">
        <w:rPr>
          <w:rFonts w:ascii="Times New Roman" w:hAnsi="Times New Roman" w:cs="Times New Roman"/>
          <w:lang w:val="es-DO"/>
        </w:rPr>
        <w:tab/>
        <w:t>87,332,825</w:t>
      </w:r>
    </w:p>
    <w:p w14:paraId="2B91656E" w14:textId="77777777" w:rsidR="00B044D4" w:rsidRPr="002E7BE7" w:rsidRDefault="00B044D4" w:rsidP="00B044D4">
      <w:pPr>
        <w:spacing w:before="120" w:after="120"/>
        <w:jc w:val="both"/>
        <w:rPr>
          <w:rFonts w:ascii="Times New Roman" w:hAnsi="Times New Roman" w:cs="Times New Roman"/>
          <w:lang w:val="es-DO"/>
        </w:rPr>
      </w:pPr>
      <w:r w:rsidRPr="002E7BE7">
        <w:rPr>
          <w:rFonts w:ascii="Times New Roman" w:hAnsi="Times New Roman" w:cs="Times New Roman"/>
          <w:lang w:val="es-DO"/>
        </w:rPr>
        <w:t>Ambas especificaciones proyectan trayectorias crecientes de exportaciones bajo el escenario normal, con niveles absolutos diferentes debido a los cambios en otros coeficientes. Sin embargo, el efecto incremental del dumping sobre estas proyecciones—calculado como la diferencia entre escenarios con y sin medida antidumping—es consistente entre ambos modelos, confirmando que la conclusión sobre el impacto causal de la medida antidumping es robusta independientemente de la especificación de precios utilizada.</w:t>
      </w:r>
    </w:p>
    <w:p w14:paraId="03ECE53C" w14:textId="64ABC3D7" w:rsidR="00B044D4" w:rsidRPr="002E7BE7" w:rsidRDefault="00B044D4" w:rsidP="00B044D4">
      <w:pPr>
        <w:spacing w:before="120" w:after="120"/>
        <w:jc w:val="both"/>
        <w:rPr>
          <w:rFonts w:ascii="Times New Roman" w:hAnsi="Times New Roman" w:cs="Times New Roman"/>
          <w:lang w:val="es-DO"/>
        </w:rPr>
      </w:pPr>
      <w:r w:rsidRPr="002E7BE7">
        <w:rPr>
          <w:rFonts w:ascii="Times New Roman" w:hAnsi="Times New Roman" w:cs="Times New Roman"/>
          <w:lang w:val="es-DO"/>
        </w:rPr>
        <w:t>En la tabla 2 podemos ver el rango posible, sin embargo, se adoptará un enfoque conservador para las proyecciones finales. Se utilizará la proyección del modelo con índice HRC (la más baja de las dos) para todos los análisis subsecuentes</w:t>
      </w:r>
      <w:r w:rsidRPr="002E7BE7">
        <w:rPr>
          <w:rFonts w:ascii="Times New Roman" w:hAnsi="Times New Roman" w:cs="Times New Roman"/>
          <w:b/>
          <w:bCs/>
          <w:lang w:val="es-DO"/>
        </w:rPr>
        <w:t>.</w:t>
      </w:r>
      <w:r w:rsidRPr="002E7BE7">
        <w:rPr>
          <w:rFonts w:ascii="Times New Roman" w:hAnsi="Times New Roman" w:cs="Times New Roman"/>
          <w:lang w:val="es-DO"/>
        </w:rPr>
        <w:t xml:space="preserve"> Este criterio de prudencia metodológica asegura que las conclusiones basadas en las proyecciones no sobreestimen las exportaciones potenciales, mientras que el hallazgo principal sobre el efecto del dumping permanece robusto bajo cualquiera de las dos especificaciones.</w:t>
      </w:r>
    </w:p>
    <w:p w14:paraId="52471F52" w14:textId="77777777" w:rsidR="00B044D4" w:rsidRPr="002E7BE7" w:rsidRDefault="00B044D4" w:rsidP="00B044D4">
      <w:pPr>
        <w:spacing w:before="240" w:after="120"/>
        <w:rPr>
          <w:rFonts w:ascii="Times New Roman" w:hAnsi="Times New Roman" w:cs="Times New Roman"/>
          <w:lang w:val="es-DO"/>
        </w:rPr>
      </w:pPr>
    </w:p>
    <w:sectPr w:rsidR="00B044D4" w:rsidRPr="002E7BE7">
      <w:head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3448" w14:textId="77777777" w:rsidR="00413FFF" w:rsidRDefault="00413FFF" w:rsidP="00413FFF">
      <w:r>
        <w:separator/>
      </w:r>
    </w:p>
  </w:endnote>
  <w:endnote w:type="continuationSeparator" w:id="0">
    <w:p w14:paraId="51E19F8B" w14:textId="77777777" w:rsidR="00413FFF" w:rsidRDefault="00413FFF" w:rsidP="0041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D105" w14:textId="77777777" w:rsidR="00413FFF" w:rsidRDefault="00413FFF" w:rsidP="00413FFF">
      <w:r>
        <w:separator/>
      </w:r>
    </w:p>
  </w:footnote>
  <w:footnote w:type="continuationSeparator" w:id="0">
    <w:p w14:paraId="636EDB63" w14:textId="77777777" w:rsidR="00413FFF" w:rsidRDefault="00413FFF" w:rsidP="0041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2A6" w14:textId="6F4E064E" w:rsidR="00413FFF" w:rsidRDefault="00413FFF" w:rsidP="00413FFF">
    <w:pPr>
      <w:pStyle w:val="Heading1"/>
      <w:rPr>
        <w:rFonts w:ascii="Times New Roman" w:hAnsi="Times New Roman" w:cs="Times New Roman"/>
        <w:sz w:val="22"/>
        <w:szCs w:val="22"/>
        <w:lang w:val="es-DO"/>
      </w:rPr>
    </w:pPr>
    <w:r w:rsidRPr="001951EC">
      <w:rPr>
        <w:rFonts w:ascii="Times New Roman" w:hAnsi="Times New Roman" w:cs="Times New Roman"/>
        <w:sz w:val="22"/>
        <w:szCs w:val="22"/>
        <w:lang w:val="es-DO"/>
      </w:rPr>
      <w:t xml:space="preserve">Información complementaria solicitud de investigación </w:t>
    </w:r>
    <w:bookmarkStart w:id="0" w:name="_Hlk164660168"/>
    <w:r w:rsidRPr="001951EC">
      <w:rPr>
        <w:rFonts w:ascii="Times New Roman" w:hAnsi="Times New Roman" w:cs="Times New Roman"/>
        <w:sz w:val="22"/>
        <w:szCs w:val="22"/>
        <w:lang w:val="es-DO"/>
      </w:rPr>
      <w:t>antidumping a las importaciones de Barras o Varillas de Acero Corrugadas o Deformadas para Refuerzo de Concreto u Hormigón originarias de la República de Costa Rica</w:t>
    </w:r>
    <w:bookmarkEnd w:id="0"/>
    <w:r w:rsidRPr="001951EC">
      <w:rPr>
        <w:rFonts w:ascii="Times New Roman" w:hAnsi="Times New Roman" w:cs="Times New Roman"/>
        <w:sz w:val="22"/>
        <w:szCs w:val="22"/>
        <w:lang w:val="es-DO"/>
      </w:rPr>
      <w:t>.</w:t>
    </w:r>
    <w:r>
      <w:rPr>
        <w:rFonts w:ascii="Times New Roman" w:hAnsi="Times New Roman" w:cs="Times New Roman"/>
        <w:sz w:val="22"/>
        <w:szCs w:val="22"/>
        <w:lang w:val="es-DO"/>
      </w:rPr>
      <w:t xml:space="preserve">  </w:t>
    </w:r>
  </w:p>
  <w:p w14:paraId="12552F10" w14:textId="6077829E" w:rsidR="00413FFF" w:rsidRPr="00413FFF" w:rsidRDefault="00413FFF" w:rsidP="00413FFF">
    <w:pPr>
      <w:pStyle w:val="Heading1"/>
      <w:rPr>
        <w:rFonts w:ascii="Times New Roman" w:hAnsi="Times New Roman" w:cs="Times New Roman"/>
        <w:sz w:val="22"/>
        <w:szCs w:val="22"/>
        <w:lang w:val="es-DO"/>
      </w:rPr>
    </w:pPr>
    <w:r>
      <w:rPr>
        <w:rFonts w:ascii="Times New Roman" w:hAnsi="Times New Roman" w:cs="Times New Roman"/>
        <w:sz w:val="22"/>
        <w:szCs w:val="22"/>
        <w:lang w:val="es-DO"/>
      </w:rPr>
      <w:t>MODELO GRAVITACIONAL – PRECIOS VARILLAS</w:t>
    </w:r>
  </w:p>
  <w:p w14:paraId="46BBB84F" w14:textId="77777777" w:rsidR="00413FFF" w:rsidRPr="00413FFF" w:rsidRDefault="00413FFF">
    <w:pPr>
      <w:pStyle w:val="Header"/>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F2A"/>
    <w:multiLevelType w:val="hybridMultilevel"/>
    <w:tmpl w:val="D6F02C50"/>
    <w:lvl w:ilvl="0" w:tplc="4D6EE28A">
      <w:start w:val="1"/>
      <w:numFmt w:val="bullet"/>
      <w:lvlText w:val="●"/>
      <w:lvlJc w:val="left"/>
      <w:pPr>
        <w:ind w:left="720" w:hanging="360"/>
      </w:pPr>
    </w:lvl>
    <w:lvl w:ilvl="1" w:tplc="79AAEB50">
      <w:start w:val="1"/>
      <w:numFmt w:val="bullet"/>
      <w:lvlText w:val="○"/>
      <w:lvlJc w:val="left"/>
      <w:pPr>
        <w:ind w:left="1440" w:hanging="360"/>
      </w:pPr>
    </w:lvl>
    <w:lvl w:ilvl="2" w:tplc="07665304">
      <w:start w:val="1"/>
      <w:numFmt w:val="bullet"/>
      <w:lvlText w:val="■"/>
      <w:lvlJc w:val="left"/>
      <w:pPr>
        <w:ind w:left="2160" w:hanging="360"/>
      </w:pPr>
    </w:lvl>
    <w:lvl w:ilvl="3" w:tplc="5B5438B6">
      <w:start w:val="1"/>
      <w:numFmt w:val="bullet"/>
      <w:lvlText w:val="●"/>
      <w:lvlJc w:val="left"/>
      <w:pPr>
        <w:ind w:left="2880" w:hanging="360"/>
      </w:pPr>
    </w:lvl>
    <w:lvl w:ilvl="4" w:tplc="233C4136">
      <w:start w:val="1"/>
      <w:numFmt w:val="bullet"/>
      <w:lvlText w:val="○"/>
      <w:lvlJc w:val="left"/>
      <w:pPr>
        <w:ind w:left="3600" w:hanging="360"/>
      </w:pPr>
    </w:lvl>
    <w:lvl w:ilvl="5" w:tplc="2A5C5F0E">
      <w:start w:val="1"/>
      <w:numFmt w:val="bullet"/>
      <w:lvlText w:val="■"/>
      <w:lvlJc w:val="left"/>
      <w:pPr>
        <w:ind w:left="4320" w:hanging="360"/>
      </w:pPr>
    </w:lvl>
    <w:lvl w:ilvl="6" w:tplc="016CC53E">
      <w:start w:val="1"/>
      <w:numFmt w:val="bullet"/>
      <w:lvlText w:val="●"/>
      <w:lvlJc w:val="left"/>
      <w:pPr>
        <w:ind w:left="5040" w:hanging="360"/>
      </w:pPr>
    </w:lvl>
    <w:lvl w:ilvl="7" w:tplc="88E4313C">
      <w:start w:val="1"/>
      <w:numFmt w:val="bullet"/>
      <w:lvlText w:val="●"/>
      <w:lvlJc w:val="left"/>
      <w:pPr>
        <w:ind w:left="5760" w:hanging="360"/>
      </w:pPr>
    </w:lvl>
    <w:lvl w:ilvl="8" w:tplc="1EF4C39E">
      <w:start w:val="1"/>
      <w:numFmt w:val="bullet"/>
      <w:lvlText w:val="●"/>
      <w:lvlJc w:val="left"/>
      <w:pPr>
        <w:ind w:left="6480" w:hanging="360"/>
      </w:pPr>
    </w:lvl>
  </w:abstractNum>
  <w:abstractNum w:abstractNumId="1" w15:restartNumberingAfterBreak="0">
    <w:nsid w:val="250C6924"/>
    <w:multiLevelType w:val="hybridMultilevel"/>
    <w:tmpl w:val="B608C094"/>
    <w:lvl w:ilvl="0" w:tplc="641AC0BC">
      <w:start w:val="1"/>
      <w:numFmt w:val="decimal"/>
      <w:lvlText w:val="%1."/>
      <w:lvlJc w:val="left"/>
      <w:pPr>
        <w:ind w:left="720" w:hanging="360"/>
      </w:pPr>
    </w:lvl>
    <w:lvl w:ilvl="1" w:tplc="7142641A">
      <w:numFmt w:val="decimal"/>
      <w:lvlText w:val=""/>
      <w:lvlJc w:val="left"/>
    </w:lvl>
    <w:lvl w:ilvl="2" w:tplc="C92C2742">
      <w:numFmt w:val="decimal"/>
      <w:lvlText w:val=""/>
      <w:lvlJc w:val="left"/>
    </w:lvl>
    <w:lvl w:ilvl="3" w:tplc="8FF40AAC">
      <w:numFmt w:val="decimal"/>
      <w:lvlText w:val=""/>
      <w:lvlJc w:val="left"/>
    </w:lvl>
    <w:lvl w:ilvl="4" w:tplc="C34486DA">
      <w:numFmt w:val="decimal"/>
      <w:lvlText w:val=""/>
      <w:lvlJc w:val="left"/>
    </w:lvl>
    <w:lvl w:ilvl="5" w:tplc="CC661C32">
      <w:numFmt w:val="decimal"/>
      <w:lvlText w:val=""/>
      <w:lvlJc w:val="left"/>
    </w:lvl>
    <w:lvl w:ilvl="6" w:tplc="1F9CE70E">
      <w:numFmt w:val="decimal"/>
      <w:lvlText w:val=""/>
      <w:lvlJc w:val="left"/>
    </w:lvl>
    <w:lvl w:ilvl="7" w:tplc="C5BA0900">
      <w:numFmt w:val="decimal"/>
      <w:lvlText w:val=""/>
      <w:lvlJc w:val="left"/>
    </w:lvl>
    <w:lvl w:ilvl="8" w:tplc="C9AAFF26">
      <w:numFmt w:val="decimal"/>
      <w:lvlText w:val=""/>
      <w:lvlJc w:val="left"/>
    </w:lvl>
  </w:abstractNum>
  <w:abstractNum w:abstractNumId="2" w15:restartNumberingAfterBreak="0">
    <w:nsid w:val="64810382"/>
    <w:multiLevelType w:val="hybridMultilevel"/>
    <w:tmpl w:val="61F67FD6"/>
    <w:lvl w:ilvl="0" w:tplc="A87E9DCA">
      <w:start w:val="1"/>
      <w:numFmt w:val="bullet"/>
      <w:lvlText w:val="•"/>
      <w:lvlJc w:val="left"/>
      <w:pPr>
        <w:ind w:left="720" w:hanging="360"/>
      </w:pPr>
    </w:lvl>
    <w:lvl w:ilvl="1" w:tplc="E0A253BC">
      <w:numFmt w:val="decimal"/>
      <w:lvlText w:val=""/>
      <w:lvlJc w:val="left"/>
    </w:lvl>
    <w:lvl w:ilvl="2" w:tplc="C8C27926">
      <w:numFmt w:val="decimal"/>
      <w:lvlText w:val=""/>
      <w:lvlJc w:val="left"/>
    </w:lvl>
    <w:lvl w:ilvl="3" w:tplc="3A646B9C">
      <w:numFmt w:val="decimal"/>
      <w:lvlText w:val=""/>
      <w:lvlJc w:val="left"/>
    </w:lvl>
    <w:lvl w:ilvl="4" w:tplc="AD1EF794">
      <w:numFmt w:val="decimal"/>
      <w:lvlText w:val=""/>
      <w:lvlJc w:val="left"/>
    </w:lvl>
    <w:lvl w:ilvl="5" w:tplc="8198209C">
      <w:numFmt w:val="decimal"/>
      <w:lvlText w:val=""/>
      <w:lvlJc w:val="left"/>
    </w:lvl>
    <w:lvl w:ilvl="6" w:tplc="53DC75E8">
      <w:numFmt w:val="decimal"/>
      <w:lvlText w:val=""/>
      <w:lvlJc w:val="left"/>
    </w:lvl>
    <w:lvl w:ilvl="7" w:tplc="BDEEF512">
      <w:numFmt w:val="decimal"/>
      <w:lvlText w:val=""/>
      <w:lvlJc w:val="left"/>
    </w:lvl>
    <w:lvl w:ilvl="8" w:tplc="730E5766">
      <w:numFmt w:val="decimal"/>
      <w:lvlText w:val=""/>
      <w:lvlJc w:val="left"/>
    </w:lvl>
  </w:abstractNum>
  <w:num w:numId="1" w16cid:durableId="1941717673">
    <w:abstractNumId w:val="0"/>
    <w:lvlOverride w:ilvl="0">
      <w:startOverride w:val="1"/>
    </w:lvlOverride>
  </w:num>
  <w:num w:numId="2" w16cid:durableId="7245969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2"/>
    <w:rsid w:val="001951EC"/>
    <w:rsid w:val="002E7BE7"/>
    <w:rsid w:val="003D007C"/>
    <w:rsid w:val="00413FFF"/>
    <w:rsid w:val="004236E7"/>
    <w:rsid w:val="00483E32"/>
    <w:rsid w:val="004F4410"/>
    <w:rsid w:val="00841B64"/>
    <w:rsid w:val="00B044D4"/>
    <w:rsid w:val="00C34370"/>
    <w:rsid w:val="00DA28C0"/>
    <w:rsid w:val="00ED2896"/>
    <w:rsid w:val="00FD3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2F62"/>
  <w15:docId w15:val="{17EE5CE1-0033-4F67-8E46-04E85258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32"/>
      <w:szCs w:val="32"/>
    </w:rPr>
  </w:style>
  <w:style w:type="paragraph" w:styleId="Heading2">
    <w:name w:val="heading 2"/>
    <w:uiPriority w:val="9"/>
    <w:unhideWhenUsed/>
    <w:qFormat/>
    <w:pPr>
      <w:spacing w:before="240" w:after="120"/>
      <w:outlineLvl w:val="1"/>
    </w:pPr>
    <w:rPr>
      <w:b/>
      <w:bCs/>
      <w:color w:val="000000"/>
      <w:sz w:val="28"/>
      <w:szCs w:val="28"/>
    </w:rPr>
  </w:style>
  <w:style w:type="paragraph" w:styleId="Heading3">
    <w:name w:val="heading 3"/>
    <w:uiPriority w:val="9"/>
    <w:semiHidden/>
    <w:unhideWhenUsed/>
    <w:qFormat/>
    <w:pPr>
      <w:spacing w:before="180" w:after="90"/>
      <w:outlineLvl w:val="2"/>
    </w:pPr>
    <w:rPr>
      <w:b/>
      <w:bCs/>
      <w:color w:val="00000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DA28C0"/>
    <w:pPr>
      <w:spacing w:after="200"/>
    </w:pPr>
    <w:rPr>
      <w:rFonts w:asciiTheme="minorHAnsi" w:eastAsiaTheme="minorHAnsi" w:hAnsiTheme="minorHAnsi" w:cstheme="minorBidi"/>
      <w:i/>
      <w:iCs/>
      <w:color w:val="44546A" w:themeColor="text2"/>
      <w:kern w:val="2"/>
      <w:sz w:val="18"/>
      <w:szCs w:val="18"/>
      <w:lang w:val="es-DO"/>
      <w14:ligatures w14:val="standardContextual"/>
    </w:rPr>
  </w:style>
  <w:style w:type="paragraph" w:styleId="Header">
    <w:name w:val="header"/>
    <w:basedOn w:val="Normal"/>
    <w:link w:val="HeaderChar"/>
    <w:uiPriority w:val="99"/>
    <w:unhideWhenUsed/>
    <w:rsid w:val="00413FFF"/>
    <w:pPr>
      <w:tabs>
        <w:tab w:val="center" w:pos="4680"/>
        <w:tab w:val="right" w:pos="9360"/>
      </w:tabs>
    </w:pPr>
  </w:style>
  <w:style w:type="character" w:customStyle="1" w:styleId="HeaderChar">
    <w:name w:val="Header Char"/>
    <w:basedOn w:val="DefaultParagraphFont"/>
    <w:link w:val="Header"/>
    <w:uiPriority w:val="99"/>
    <w:rsid w:val="00413FFF"/>
  </w:style>
  <w:style w:type="paragraph" w:styleId="Footer">
    <w:name w:val="footer"/>
    <w:basedOn w:val="Normal"/>
    <w:link w:val="FooterChar"/>
    <w:uiPriority w:val="99"/>
    <w:unhideWhenUsed/>
    <w:rsid w:val="00413FFF"/>
    <w:pPr>
      <w:tabs>
        <w:tab w:val="center" w:pos="4680"/>
        <w:tab w:val="right" w:pos="9360"/>
      </w:tabs>
    </w:pPr>
  </w:style>
  <w:style w:type="character" w:customStyle="1" w:styleId="FooterChar">
    <w:name w:val="Footer Char"/>
    <w:basedOn w:val="DefaultParagraphFont"/>
    <w:link w:val="Footer"/>
    <w:uiPriority w:val="99"/>
    <w:rsid w:val="0041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3CDC-E30B-4462-938A-C90B99A9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1046</Words>
  <Characters>6015</Characters>
  <Application>Microsoft Office Word</Application>
  <DocSecurity>0</DocSecurity>
  <Lines>125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Lynette Batista</cp:lastModifiedBy>
  <cp:revision>2</cp:revision>
  <dcterms:created xsi:type="dcterms:W3CDTF">2025-11-11T13:46:00Z</dcterms:created>
  <dcterms:modified xsi:type="dcterms:W3CDTF">2025-11-11T13:46:00Z</dcterms:modified>
</cp:coreProperties>
</file>