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599CF" w14:textId="174FAB47" w:rsidR="00411526" w:rsidRPr="006424F1" w:rsidRDefault="00826708" w:rsidP="00826708">
      <w:pPr>
        <w:spacing w:after="80"/>
      </w:pPr>
      <w:r>
        <w:rPr>
          <w:b/>
          <w:bCs/>
          <w:sz w:val="32"/>
          <w:szCs w:val="32"/>
        </w:rPr>
        <w:t>Análisis de Probabilidad de Recurrencia de Dumping</w:t>
      </w:r>
    </w:p>
    <w:p w14:paraId="4F1047BA" w14:textId="6792C1F8" w:rsidR="00411526" w:rsidRPr="006424F1" w:rsidRDefault="00000000" w:rsidP="00826708">
      <w:pPr>
        <w:spacing w:after="200"/>
      </w:pPr>
      <w:r w:rsidRPr="006424F1">
        <w:rPr>
          <w:i/>
          <w:iCs/>
        </w:rPr>
        <w:t>Varillas de Acero Originarias de la República Popular China</w:t>
      </w:r>
    </w:p>
    <w:p w14:paraId="3E9C7952" w14:textId="77777777" w:rsidR="00411526" w:rsidRPr="006424F1" w:rsidRDefault="00000000">
      <w:pPr>
        <w:pStyle w:val="Heading1"/>
        <w:rPr>
          <w:color w:val="auto"/>
          <w:lang w:val="es-DO"/>
        </w:rPr>
      </w:pPr>
      <w:r w:rsidRPr="006424F1">
        <w:rPr>
          <w:color w:val="auto"/>
          <w:lang w:val="es-DO"/>
        </w:rPr>
        <w:t>I. Marco Jurídico y Estándar de Análisis</w:t>
      </w:r>
    </w:p>
    <w:p w14:paraId="13E714F6" w14:textId="77777777" w:rsidR="00411526" w:rsidRPr="006424F1" w:rsidRDefault="00000000">
      <w:pPr>
        <w:spacing w:before="100" w:after="100" w:line="276" w:lineRule="auto"/>
        <w:jc w:val="both"/>
      </w:pPr>
      <w:r w:rsidRPr="006424F1">
        <w:t>En el contexto de una investigación de expiración de medidas antidumping (sunset review), la Rama de Producción Nacional (RPN) somete a consideración de la Comisión de Defensa Comercial el presente análisis sobre la probabilidad de recurrencia del dumping en caso de supresión de las medidas vigentes. Este análisis es prospectivo por naturaleza: no evalúa si el dumping está ocurriendo en el momento del examen, sino la probabilidad de que ocurra o se intensifique si se suprimen las medidas.</w:t>
      </w:r>
    </w:p>
    <w:p w14:paraId="7D1A7BA3" w14:textId="77777777" w:rsidR="00411526" w:rsidRPr="006424F1" w:rsidRDefault="00000000">
      <w:pPr>
        <w:spacing w:before="100" w:after="100" w:line="276" w:lineRule="auto"/>
        <w:jc w:val="both"/>
      </w:pPr>
      <w:r w:rsidRPr="006424F1">
        <w:t>De conformidad con el Artículo 11.3 del Acuerdo Antidumping de la OMC, el mantenimiento de la medida requiere demostrar que su expiración llevaría probablemente a la continuación o repetición del dumping y del daño. La RPN sostiene que dicho estándar se encuentra acreditado en el presente caso. El estándar de "probabilidad" no exige certeza absoluta, sino una evaluación razonada y basada en evidencia del comportamiento estructural del exportador y de las condiciones del mercado, evidencia que se desarrolla en las secciones siguientes.</w:t>
      </w:r>
    </w:p>
    <w:p w14:paraId="43420F96" w14:textId="558CEE57" w:rsidR="00411526" w:rsidRPr="006424F1" w:rsidRDefault="00000000" w:rsidP="006424F1">
      <w:pPr>
        <w:spacing w:before="100" w:after="100" w:line="276" w:lineRule="auto"/>
        <w:jc w:val="both"/>
      </w:pPr>
      <w:r w:rsidRPr="006424F1">
        <w:t>Para evaluar la probabilidad de recurrencia, la práctica comparada de autoridades investigadoras como el Departamento de Comercio de los Estados Unidos (DOC) y la Comisión Europea considera, entre otros elementos:</w:t>
      </w:r>
    </w:p>
    <w:p w14:paraId="16B38F1C" w14:textId="77777777" w:rsidR="006424F1" w:rsidRPr="006424F1" w:rsidRDefault="006424F1" w:rsidP="006424F1">
      <w:pPr>
        <w:spacing w:before="100" w:after="100" w:line="276" w:lineRule="auto"/>
        <w:jc w:val="both"/>
      </w:pPr>
    </w:p>
    <w:p w14:paraId="585CC229" w14:textId="77777777" w:rsidR="00411526" w:rsidRPr="006424F1" w:rsidRDefault="00000000">
      <w:pPr>
        <w:pStyle w:val="ListParagraph"/>
        <w:numPr>
          <w:ilvl w:val="0"/>
          <w:numId w:val="2"/>
        </w:numPr>
        <w:spacing w:before="80" w:after="80"/>
        <w:rPr>
          <w:lang w:val="es-DO"/>
        </w:rPr>
      </w:pPr>
      <w:r w:rsidRPr="006424F1">
        <w:rPr>
          <w:lang w:val="es-DO"/>
        </w:rPr>
        <w:t>La magnitud y persistencia de los márgenes de dumping históricos y recientes.</w:t>
      </w:r>
    </w:p>
    <w:p w14:paraId="79918279" w14:textId="77777777" w:rsidR="00411526" w:rsidRPr="006424F1" w:rsidRDefault="00000000">
      <w:pPr>
        <w:pStyle w:val="ListParagraph"/>
        <w:numPr>
          <w:ilvl w:val="0"/>
          <w:numId w:val="2"/>
        </w:numPr>
        <w:spacing w:before="80" w:after="80"/>
        <w:rPr>
          <w:lang w:val="es-DO"/>
        </w:rPr>
      </w:pPr>
      <w:r w:rsidRPr="006424F1">
        <w:rPr>
          <w:lang w:val="es-DO"/>
        </w:rPr>
        <w:t>El nivel de exceso de capacidad instalada del exportador y la industria siderúrgica del país de origen.</w:t>
      </w:r>
    </w:p>
    <w:p w14:paraId="5E474528" w14:textId="77777777" w:rsidR="00411526" w:rsidRPr="006424F1" w:rsidRDefault="00000000">
      <w:pPr>
        <w:pStyle w:val="ListParagraph"/>
        <w:numPr>
          <w:ilvl w:val="0"/>
          <w:numId w:val="2"/>
        </w:numPr>
        <w:spacing w:before="80" w:after="80"/>
        <w:rPr>
          <w:lang w:val="es-DO"/>
        </w:rPr>
      </w:pPr>
      <w:r w:rsidRPr="006424F1">
        <w:rPr>
          <w:lang w:val="es-DO"/>
        </w:rPr>
        <w:t>La dependencia estructural de los mercados de exportación para absorber el excedente productivo.</w:t>
      </w:r>
    </w:p>
    <w:p w14:paraId="6F34EA44" w14:textId="77777777" w:rsidR="00411526" w:rsidRPr="006424F1" w:rsidRDefault="00000000">
      <w:pPr>
        <w:pStyle w:val="ListParagraph"/>
        <w:numPr>
          <w:ilvl w:val="0"/>
          <w:numId w:val="2"/>
        </w:numPr>
        <w:spacing w:before="80" w:after="80"/>
        <w:rPr>
          <w:lang w:val="es-DO"/>
        </w:rPr>
      </w:pPr>
      <w:r w:rsidRPr="006424F1">
        <w:rPr>
          <w:lang w:val="es-DO"/>
        </w:rPr>
        <w:t>La existencia de distorsiones estructurales que desvinculan los precios de exportación de los costos de producción reales.</w:t>
      </w:r>
    </w:p>
    <w:p w14:paraId="5C0C31A1" w14:textId="77777777" w:rsidR="00411526" w:rsidRPr="006424F1" w:rsidRDefault="00000000">
      <w:pPr>
        <w:pStyle w:val="ListParagraph"/>
        <w:numPr>
          <w:ilvl w:val="0"/>
          <w:numId w:val="2"/>
        </w:numPr>
        <w:spacing w:before="80" w:after="80"/>
        <w:rPr>
          <w:lang w:val="es-DO"/>
        </w:rPr>
      </w:pPr>
      <w:r w:rsidRPr="006424F1">
        <w:rPr>
          <w:lang w:val="es-DO"/>
        </w:rPr>
        <w:t>El comportamiento exportador observado y el patrón de desvío de comercio ante la imposición de medidas en otros mercados.</w:t>
      </w:r>
    </w:p>
    <w:p w14:paraId="5AD8E24D" w14:textId="77777777" w:rsidR="00411526" w:rsidRPr="006424F1" w:rsidRDefault="00000000">
      <w:pPr>
        <w:pStyle w:val="ListParagraph"/>
        <w:numPr>
          <w:ilvl w:val="0"/>
          <w:numId w:val="2"/>
        </w:numPr>
        <w:spacing w:before="80" w:after="80"/>
        <w:rPr>
          <w:lang w:val="es-DO"/>
        </w:rPr>
      </w:pPr>
      <w:r w:rsidRPr="006424F1">
        <w:rPr>
          <w:lang w:val="es-DO"/>
        </w:rPr>
        <w:t>La conducta previa y la persistencia de medidas antidumping de múltiples jurisdicciones contra el exportador investigado.</w:t>
      </w:r>
    </w:p>
    <w:p w14:paraId="4D6E84A1" w14:textId="77777777" w:rsidR="00411526" w:rsidRPr="006424F1" w:rsidRDefault="00411526">
      <w:pPr>
        <w:spacing w:before="80" w:after="80"/>
      </w:pPr>
    </w:p>
    <w:p w14:paraId="23E2FA78" w14:textId="77777777" w:rsidR="00411526" w:rsidRPr="006424F1" w:rsidRDefault="00000000">
      <w:pPr>
        <w:spacing w:before="100" w:after="100" w:line="276" w:lineRule="auto"/>
        <w:jc w:val="both"/>
      </w:pPr>
      <w:r w:rsidRPr="006424F1">
        <w:t>Con base en estos criterios, la RPN presenta a continuación los elementos de prueba que acreditan la probabilidad de recurrencia del dumping en caso de supresión de las medidas vigentes sobre las importaciones de varillas de acero originarias de la República Popular China.</w:t>
      </w:r>
    </w:p>
    <w:p w14:paraId="4A30B31D" w14:textId="55D52288" w:rsidR="00411526" w:rsidRPr="006424F1" w:rsidRDefault="006424F1" w:rsidP="006424F1">
      <w:r w:rsidRPr="006424F1">
        <w:br w:type="page"/>
      </w:r>
      <w:r w:rsidRPr="006424F1">
        <w:rPr>
          <w:b/>
          <w:bCs/>
          <w:sz w:val="28"/>
          <w:szCs w:val="28"/>
        </w:rPr>
        <w:lastRenderedPageBreak/>
        <w:t>II. Magnitud y Persistencia de los Márgenes de Dumping</w:t>
      </w:r>
    </w:p>
    <w:p w14:paraId="49544417" w14:textId="77777777" w:rsidR="00411526" w:rsidRPr="006424F1" w:rsidRDefault="00000000">
      <w:pPr>
        <w:pStyle w:val="Heading2"/>
        <w:rPr>
          <w:color w:val="auto"/>
          <w:lang w:val="es-DO"/>
        </w:rPr>
      </w:pPr>
      <w:r w:rsidRPr="006424F1">
        <w:rPr>
          <w:color w:val="auto"/>
          <w:lang w:val="es-DO"/>
        </w:rPr>
        <w:t>A. Metodología de cálculo del margen de dumping</w:t>
      </w:r>
    </w:p>
    <w:p w14:paraId="40C4F70E" w14:textId="77777777" w:rsidR="00411526" w:rsidRPr="006424F1" w:rsidRDefault="00000000">
      <w:pPr>
        <w:spacing w:before="100" w:after="100" w:line="276" w:lineRule="auto"/>
        <w:jc w:val="both"/>
      </w:pPr>
      <w:r w:rsidRPr="006424F1">
        <w:t>Como se desarrolló en la sección correspondiente al marco de Economía de No Mercado, los precios domésticos de la República Popular China no constituyen una referencia válida para la determinación del valor normal en investigaciones antidumping, debido a la existencia de distorsiones estructurales derivadas de la intervención estatal en la asignación de recursos y la formación de precios. En consecuencia, conforme a la metodología aprobada en la investigación original y reconocida en la práctica de las principales jurisdicciones de defensa comercial, el valor normal fue construido utilizando Brasil como país sustituto de referencia.</w:t>
      </w:r>
    </w:p>
    <w:p w14:paraId="33662779" w14:textId="19F80C81" w:rsidR="00411526" w:rsidRDefault="00000000">
      <w:pPr>
        <w:spacing w:before="100" w:after="100" w:line="276" w:lineRule="auto"/>
        <w:jc w:val="both"/>
      </w:pPr>
      <w:r w:rsidRPr="006424F1">
        <w:t>Bajo esta metodología, el margen de dumping se determina como la diferencia porcentual entre el precio doméstico de varillas de acero en Brasil (valor normal) y el precio de exportación de varillas de acero desde China (precio de exportación FOB). La comparación fue realizada con base en información de mercado disponible para el período 2021</w:t>
      </w:r>
      <w:r w:rsidR="002E4E52" w:rsidRPr="002E4E52">
        <w:t>-</w:t>
      </w:r>
      <w:r w:rsidRPr="006424F1">
        <w:t>2025, utilizando datos de la plataforma especializada Fastmarkets.</w:t>
      </w:r>
    </w:p>
    <w:p w14:paraId="1091E43E" w14:textId="1E40C79E" w:rsidR="00E26450" w:rsidRPr="006424F1" w:rsidRDefault="00E26450">
      <w:pPr>
        <w:spacing w:before="100" w:after="100" w:line="276" w:lineRule="auto"/>
        <w:jc w:val="both"/>
      </w:pPr>
      <w:r>
        <w:t xml:space="preserve">Este análisis no busca recalcular el margen de dumping ya determinando por la Comisión de Defensa Comercial, sino más bien presentar evidencias y pruebas de su recurrencia. </w:t>
      </w:r>
    </w:p>
    <w:p w14:paraId="6AD6F280" w14:textId="73FF8F5D" w:rsidR="00411526" w:rsidRPr="006424F1" w:rsidRDefault="00000000">
      <w:pPr>
        <w:pStyle w:val="Heading2"/>
        <w:rPr>
          <w:color w:val="auto"/>
          <w:lang w:val="es-DO"/>
        </w:rPr>
      </w:pPr>
      <w:r w:rsidRPr="006424F1">
        <w:rPr>
          <w:color w:val="auto"/>
          <w:lang w:val="es-DO"/>
        </w:rPr>
        <w:t>B. Resultados de</w:t>
      </w:r>
      <w:r w:rsidR="00E26450">
        <w:rPr>
          <w:color w:val="auto"/>
          <w:lang w:val="es-DO"/>
        </w:rPr>
        <w:t xml:space="preserve"> recurrencia en el </w:t>
      </w:r>
      <w:r w:rsidRPr="006424F1">
        <w:rPr>
          <w:color w:val="auto"/>
          <w:lang w:val="es-DO"/>
        </w:rPr>
        <w:t xml:space="preserve">cálculo </w:t>
      </w:r>
      <w:r w:rsidR="00E26450">
        <w:rPr>
          <w:color w:val="auto"/>
          <w:lang w:val="es-DO"/>
        </w:rPr>
        <w:t xml:space="preserve">de </w:t>
      </w:r>
      <w:r w:rsidR="00E26450" w:rsidRPr="006424F1">
        <w:rPr>
          <w:color w:val="auto"/>
          <w:lang w:val="es-DO"/>
        </w:rPr>
        <w:t>márgenes</w:t>
      </w:r>
      <w:r w:rsidRPr="006424F1">
        <w:rPr>
          <w:color w:val="auto"/>
          <w:lang w:val="es-DO"/>
        </w:rPr>
        <w:t xml:space="preserve"> de dumping (2021–2025)</w:t>
      </w:r>
    </w:p>
    <w:p w14:paraId="5951FA3B" w14:textId="62DE6E5A" w:rsidR="00411526" w:rsidRPr="006424F1" w:rsidRDefault="00000000" w:rsidP="006424F1">
      <w:pPr>
        <w:spacing w:before="100" w:after="100" w:line="276" w:lineRule="auto"/>
        <w:jc w:val="both"/>
      </w:pPr>
      <w:r w:rsidRPr="006424F1">
        <w:t>Los resultados del cálculo evidencian la existencia de márgenes de dumping significativos, persistentes y con tendencia creciente durante el período de referencia analizado. La siguiente tabla resume la evolución de los precios y márgenes calculados:</w:t>
      </w:r>
    </w:p>
    <w:p w14:paraId="38F980A7" w14:textId="77777777" w:rsidR="00411526" w:rsidRPr="006424F1" w:rsidRDefault="00000000">
      <w:pPr>
        <w:spacing w:before="160" w:after="60"/>
        <w:jc w:val="center"/>
      </w:pPr>
      <w:r w:rsidRPr="006424F1">
        <w:rPr>
          <w:b/>
          <w:bCs/>
          <w:sz w:val="20"/>
          <w:szCs w:val="20"/>
        </w:rPr>
        <w:t>Tabla 1. Cálculo del margen de dumping para exportaciones de varillas de acero desde China (2021–2025)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2400"/>
        <w:gridCol w:w="2400"/>
        <w:gridCol w:w="1560"/>
        <w:gridCol w:w="1440"/>
      </w:tblGrid>
      <w:tr w:rsidR="006424F1" w:rsidRPr="006424F1" w14:paraId="21D3ECFA" w14:textId="77777777">
        <w:trPr>
          <w:tblHeader/>
        </w:trPr>
        <w:tc>
          <w:tcPr>
            <w:tcW w:w="156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56C94AA0" w14:textId="77777777" w:rsidR="00411526" w:rsidRPr="006424F1" w:rsidRDefault="00000000">
            <w:pPr>
              <w:jc w:val="center"/>
            </w:pPr>
            <w:r w:rsidRPr="006424F1">
              <w:rPr>
                <w:b/>
                <w:bCs/>
                <w:sz w:val="20"/>
                <w:szCs w:val="20"/>
              </w:rPr>
              <w:t>Año</w:t>
            </w:r>
          </w:p>
        </w:tc>
        <w:tc>
          <w:tcPr>
            <w:tcW w:w="24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0340D2AA" w14:textId="77777777" w:rsidR="00411526" w:rsidRPr="006424F1" w:rsidRDefault="00000000">
            <w:pPr>
              <w:jc w:val="center"/>
            </w:pPr>
            <w:r w:rsidRPr="006424F1">
              <w:rPr>
                <w:b/>
                <w:bCs/>
                <w:sz w:val="20"/>
                <w:szCs w:val="20"/>
              </w:rPr>
              <w:t>Precio exportación China (USD/t)</w:t>
            </w:r>
          </w:p>
        </w:tc>
        <w:tc>
          <w:tcPr>
            <w:tcW w:w="24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68DE84DE" w14:textId="77777777" w:rsidR="00411526" w:rsidRPr="002E4E52" w:rsidRDefault="00000000">
            <w:pPr>
              <w:jc w:val="center"/>
              <w:rPr>
                <w:lang w:val="pt-BR"/>
              </w:rPr>
            </w:pPr>
            <w:r w:rsidRPr="002E4E52">
              <w:rPr>
                <w:b/>
                <w:bCs/>
                <w:sz w:val="20"/>
                <w:szCs w:val="20"/>
                <w:lang w:val="pt-BR"/>
              </w:rPr>
              <w:t>Precio doméstico Brasil (USD/t)</w:t>
            </w:r>
          </w:p>
        </w:tc>
        <w:tc>
          <w:tcPr>
            <w:tcW w:w="156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3B9C32EF" w14:textId="77777777" w:rsidR="00411526" w:rsidRPr="006424F1" w:rsidRDefault="00000000">
            <w:pPr>
              <w:jc w:val="center"/>
            </w:pPr>
            <w:r w:rsidRPr="006424F1">
              <w:rPr>
                <w:b/>
                <w:bCs/>
                <w:sz w:val="20"/>
                <w:szCs w:val="20"/>
              </w:rPr>
              <w:t>Diferencia (USD/t)</w:t>
            </w:r>
          </w:p>
        </w:tc>
        <w:tc>
          <w:tcPr>
            <w:tcW w:w="14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725AD616" w14:textId="77777777" w:rsidR="00411526" w:rsidRPr="006424F1" w:rsidRDefault="00000000">
            <w:pPr>
              <w:jc w:val="center"/>
            </w:pPr>
            <w:r w:rsidRPr="006424F1">
              <w:rPr>
                <w:b/>
                <w:bCs/>
                <w:sz w:val="20"/>
                <w:szCs w:val="20"/>
              </w:rPr>
              <w:t>Margen dumping</w:t>
            </w:r>
          </w:p>
        </w:tc>
      </w:tr>
      <w:tr w:rsidR="006424F1" w:rsidRPr="006424F1" w14:paraId="2C942DCC" w14:textId="77777777">
        <w:tc>
          <w:tcPr>
            <w:tcW w:w="156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5A36E459" w14:textId="77777777" w:rsidR="00411526" w:rsidRPr="006424F1" w:rsidRDefault="00000000">
            <w:r w:rsidRPr="006424F1">
              <w:rPr>
                <w:sz w:val="18"/>
                <w:szCs w:val="18"/>
              </w:rPr>
              <w:t>2021</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06E306A6" w14:textId="77777777" w:rsidR="00411526" w:rsidRPr="006424F1" w:rsidRDefault="00000000">
            <w:pPr>
              <w:jc w:val="center"/>
            </w:pPr>
            <w:r w:rsidRPr="006424F1">
              <w:rPr>
                <w:sz w:val="18"/>
                <w:szCs w:val="18"/>
              </w:rPr>
              <w:t>813.5</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E82B963" w14:textId="77777777" w:rsidR="00411526" w:rsidRPr="006424F1" w:rsidRDefault="00000000">
            <w:pPr>
              <w:jc w:val="center"/>
            </w:pPr>
            <w:r w:rsidRPr="006424F1">
              <w:rPr>
                <w:sz w:val="18"/>
                <w:szCs w:val="18"/>
              </w:rPr>
              <w:t>949.8</w:t>
            </w:r>
          </w:p>
        </w:tc>
        <w:tc>
          <w:tcPr>
            <w:tcW w:w="156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080EF5D1" w14:textId="77777777" w:rsidR="00411526" w:rsidRPr="006424F1" w:rsidRDefault="00000000">
            <w:pPr>
              <w:jc w:val="center"/>
            </w:pPr>
            <w:r w:rsidRPr="006424F1">
              <w:rPr>
                <w:sz w:val="18"/>
                <w:szCs w:val="18"/>
              </w:rPr>
              <w:t>136.3</w:t>
            </w:r>
          </w:p>
        </w:tc>
        <w:tc>
          <w:tcPr>
            <w:tcW w:w="144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0F90727" w14:textId="77777777" w:rsidR="00411526" w:rsidRPr="006424F1" w:rsidRDefault="00000000">
            <w:pPr>
              <w:jc w:val="center"/>
            </w:pPr>
            <w:r w:rsidRPr="006424F1">
              <w:rPr>
                <w:sz w:val="18"/>
                <w:szCs w:val="18"/>
              </w:rPr>
              <w:t>18%</w:t>
            </w:r>
          </w:p>
        </w:tc>
      </w:tr>
      <w:tr w:rsidR="006424F1" w:rsidRPr="006424F1" w14:paraId="28743E16" w14:textId="77777777">
        <w:tc>
          <w:tcPr>
            <w:tcW w:w="15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BADC1A7" w14:textId="77777777" w:rsidR="00411526" w:rsidRPr="006424F1" w:rsidRDefault="00000000">
            <w:r w:rsidRPr="006424F1">
              <w:rPr>
                <w:sz w:val="18"/>
                <w:szCs w:val="18"/>
              </w:rPr>
              <w:t>2022</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3EAF5A3" w14:textId="77777777" w:rsidR="00411526" w:rsidRPr="006424F1" w:rsidRDefault="00000000">
            <w:pPr>
              <w:jc w:val="center"/>
            </w:pPr>
            <w:r w:rsidRPr="006424F1">
              <w:rPr>
                <w:sz w:val="18"/>
                <w:szCs w:val="18"/>
              </w:rPr>
              <w:t>711.5</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7DE637A" w14:textId="77777777" w:rsidR="00411526" w:rsidRPr="006424F1" w:rsidRDefault="00000000">
            <w:pPr>
              <w:jc w:val="center"/>
            </w:pPr>
            <w:r w:rsidRPr="006424F1">
              <w:rPr>
                <w:sz w:val="18"/>
                <w:szCs w:val="18"/>
              </w:rPr>
              <w:t>927.3</w:t>
            </w:r>
          </w:p>
        </w:tc>
        <w:tc>
          <w:tcPr>
            <w:tcW w:w="15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99B236D" w14:textId="77777777" w:rsidR="00411526" w:rsidRPr="006424F1" w:rsidRDefault="00000000">
            <w:pPr>
              <w:jc w:val="center"/>
            </w:pPr>
            <w:r w:rsidRPr="006424F1">
              <w:rPr>
                <w:sz w:val="18"/>
                <w:szCs w:val="18"/>
              </w:rPr>
              <w:t>215.8</w:t>
            </w:r>
          </w:p>
        </w:tc>
        <w:tc>
          <w:tcPr>
            <w:tcW w:w="14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FAAD9DA" w14:textId="77777777" w:rsidR="00411526" w:rsidRPr="006424F1" w:rsidRDefault="00000000">
            <w:pPr>
              <w:jc w:val="center"/>
            </w:pPr>
            <w:r w:rsidRPr="006424F1">
              <w:rPr>
                <w:sz w:val="18"/>
                <w:szCs w:val="18"/>
              </w:rPr>
              <w:t>32%</w:t>
            </w:r>
          </w:p>
        </w:tc>
      </w:tr>
      <w:tr w:rsidR="006424F1" w:rsidRPr="006424F1" w14:paraId="45C82996" w14:textId="77777777">
        <w:tc>
          <w:tcPr>
            <w:tcW w:w="156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0E7EAD2F" w14:textId="77777777" w:rsidR="00411526" w:rsidRPr="006424F1" w:rsidRDefault="00000000">
            <w:r w:rsidRPr="006424F1">
              <w:rPr>
                <w:sz w:val="18"/>
                <w:szCs w:val="18"/>
              </w:rPr>
              <w:t>2023</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2CC699B9" w14:textId="77777777" w:rsidR="00411526" w:rsidRPr="006424F1" w:rsidRDefault="00000000">
            <w:pPr>
              <w:jc w:val="center"/>
            </w:pPr>
            <w:r w:rsidRPr="006424F1">
              <w:rPr>
                <w:sz w:val="18"/>
                <w:szCs w:val="18"/>
              </w:rPr>
              <w:t>596.8</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5A042A25" w14:textId="77777777" w:rsidR="00411526" w:rsidRPr="006424F1" w:rsidRDefault="00000000">
            <w:pPr>
              <w:jc w:val="center"/>
            </w:pPr>
            <w:r w:rsidRPr="006424F1">
              <w:rPr>
                <w:sz w:val="18"/>
                <w:szCs w:val="18"/>
              </w:rPr>
              <w:t>825.1</w:t>
            </w:r>
          </w:p>
        </w:tc>
        <w:tc>
          <w:tcPr>
            <w:tcW w:w="156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6CD1A268" w14:textId="77777777" w:rsidR="00411526" w:rsidRPr="006424F1" w:rsidRDefault="00000000">
            <w:pPr>
              <w:jc w:val="center"/>
            </w:pPr>
            <w:r w:rsidRPr="006424F1">
              <w:rPr>
                <w:sz w:val="18"/>
                <w:szCs w:val="18"/>
              </w:rPr>
              <w:t>228.3</w:t>
            </w:r>
          </w:p>
        </w:tc>
        <w:tc>
          <w:tcPr>
            <w:tcW w:w="144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1506F3C" w14:textId="77777777" w:rsidR="00411526" w:rsidRPr="006424F1" w:rsidRDefault="00000000">
            <w:pPr>
              <w:jc w:val="center"/>
            </w:pPr>
            <w:r w:rsidRPr="006424F1">
              <w:rPr>
                <w:sz w:val="18"/>
                <w:szCs w:val="18"/>
              </w:rPr>
              <w:t>39%</w:t>
            </w:r>
          </w:p>
        </w:tc>
      </w:tr>
      <w:tr w:rsidR="006424F1" w:rsidRPr="006424F1" w14:paraId="6E902000" w14:textId="77777777">
        <w:tc>
          <w:tcPr>
            <w:tcW w:w="15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AF042B3" w14:textId="77777777" w:rsidR="00411526" w:rsidRPr="006424F1" w:rsidRDefault="00000000">
            <w:r w:rsidRPr="006424F1">
              <w:rPr>
                <w:sz w:val="18"/>
                <w:szCs w:val="18"/>
              </w:rPr>
              <w:t>2024</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E3B9362" w14:textId="77777777" w:rsidR="00411526" w:rsidRPr="006424F1" w:rsidRDefault="00000000">
            <w:pPr>
              <w:jc w:val="center"/>
            </w:pPr>
            <w:r w:rsidRPr="006424F1">
              <w:rPr>
                <w:sz w:val="18"/>
                <w:szCs w:val="18"/>
              </w:rPr>
              <w:t>528.4</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E9205F2" w14:textId="77777777" w:rsidR="00411526" w:rsidRPr="006424F1" w:rsidRDefault="00000000">
            <w:pPr>
              <w:jc w:val="center"/>
            </w:pPr>
            <w:r w:rsidRPr="006424F1">
              <w:rPr>
                <w:sz w:val="18"/>
                <w:szCs w:val="18"/>
              </w:rPr>
              <w:t>757.1</w:t>
            </w:r>
          </w:p>
        </w:tc>
        <w:tc>
          <w:tcPr>
            <w:tcW w:w="15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2FAEB9B" w14:textId="77777777" w:rsidR="00411526" w:rsidRPr="006424F1" w:rsidRDefault="00000000">
            <w:pPr>
              <w:jc w:val="center"/>
            </w:pPr>
            <w:r w:rsidRPr="006424F1">
              <w:rPr>
                <w:sz w:val="18"/>
                <w:szCs w:val="18"/>
              </w:rPr>
              <w:t>228.7</w:t>
            </w:r>
          </w:p>
        </w:tc>
        <w:tc>
          <w:tcPr>
            <w:tcW w:w="14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F2D7937" w14:textId="77777777" w:rsidR="00411526" w:rsidRPr="00E26450" w:rsidRDefault="00000000">
            <w:pPr>
              <w:jc w:val="center"/>
              <w:rPr>
                <w:b/>
                <w:bCs/>
              </w:rPr>
            </w:pPr>
            <w:r w:rsidRPr="00E26450">
              <w:rPr>
                <w:b/>
                <w:bCs/>
                <w:sz w:val="18"/>
                <w:szCs w:val="18"/>
              </w:rPr>
              <w:t>44%</w:t>
            </w:r>
          </w:p>
        </w:tc>
      </w:tr>
      <w:tr w:rsidR="006424F1" w:rsidRPr="006424F1" w14:paraId="01F792D1" w14:textId="77777777">
        <w:tc>
          <w:tcPr>
            <w:tcW w:w="156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2A2884DB" w14:textId="77777777" w:rsidR="00411526" w:rsidRPr="006424F1" w:rsidRDefault="00000000">
            <w:r w:rsidRPr="006424F1">
              <w:rPr>
                <w:sz w:val="18"/>
                <w:szCs w:val="18"/>
              </w:rPr>
              <w:t>2025</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6F7D8BEA" w14:textId="77777777" w:rsidR="00411526" w:rsidRPr="006424F1" w:rsidRDefault="00000000">
            <w:pPr>
              <w:jc w:val="center"/>
            </w:pPr>
            <w:r w:rsidRPr="006424F1">
              <w:rPr>
                <w:sz w:val="18"/>
                <w:szCs w:val="18"/>
              </w:rPr>
              <w:t>474.4</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3E6D7F5A" w14:textId="77777777" w:rsidR="00411526" w:rsidRPr="006424F1" w:rsidRDefault="00000000">
            <w:pPr>
              <w:jc w:val="center"/>
            </w:pPr>
            <w:r w:rsidRPr="006424F1">
              <w:rPr>
                <w:sz w:val="18"/>
                <w:szCs w:val="18"/>
              </w:rPr>
              <w:t>639.0</w:t>
            </w:r>
          </w:p>
        </w:tc>
        <w:tc>
          <w:tcPr>
            <w:tcW w:w="156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09BB768A" w14:textId="77777777" w:rsidR="00411526" w:rsidRPr="006424F1" w:rsidRDefault="00000000">
            <w:pPr>
              <w:jc w:val="center"/>
            </w:pPr>
            <w:r w:rsidRPr="006424F1">
              <w:rPr>
                <w:sz w:val="18"/>
                <w:szCs w:val="18"/>
              </w:rPr>
              <w:t>164.6</w:t>
            </w:r>
          </w:p>
        </w:tc>
        <w:tc>
          <w:tcPr>
            <w:tcW w:w="144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77BF539D" w14:textId="77777777" w:rsidR="00411526" w:rsidRPr="00E26450" w:rsidRDefault="00000000">
            <w:pPr>
              <w:jc w:val="center"/>
              <w:rPr>
                <w:b/>
                <w:bCs/>
              </w:rPr>
            </w:pPr>
            <w:r w:rsidRPr="00E26450">
              <w:rPr>
                <w:b/>
                <w:bCs/>
                <w:sz w:val="18"/>
                <w:szCs w:val="18"/>
              </w:rPr>
              <w:t>35%</w:t>
            </w:r>
          </w:p>
        </w:tc>
      </w:tr>
      <w:tr w:rsidR="006424F1" w:rsidRPr="006424F1" w14:paraId="018554D5" w14:textId="77777777">
        <w:tc>
          <w:tcPr>
            <w:tcW w:w="156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11C81B3E" w14:textId="77777777" w:rsidR="00411526" w:rsidRPr="006424F1" w:rsidRDefault="00000000">
            <w:pPr>
              <w:jc w:val="center"/>
            </w:pPr>
            <w:r w:rsidRPr="006424F1">
              <w:rPr>
                <w:b/>
                <w:bCs/>
                <w:sz w:val="20"/>
                <w:szCs w:val="20"/>
              </w:rPr>
              <w:t>Promedio</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4C9DFA9" w14:textId="77777777" w:rsidR="00411526" w:rsidRPr="006424F1" w:rsidRDefault="00000000">
            <w:pPr>
              <w:jc w:val="center"/>
            </w:pPr>
            <w:r w:rsidRPr="006424F1">
              <w:rPr>
                <w:b/>
                <w:bCs/>
                <w:sz w:val="20"/>
                <w:szCs w:val="20"/>
              </w:rPr>
              <w:t>624.9</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0F96217A" w14:textId="77777777" w:rsidR="00411526" w:rsidRPr="006424F1" w:rsidRDefault="00000000">
            <w:pPr>
              <w:jc w:val="center"/>
            </w:pPr>
            <w:r w:rsidRPr="006424F1">
              <w:rPr>
                <w:b/>
                <w:bCs/>
                <w:sz w:val="20"/>
                <w:szCs w:val="20"/>
              </w:rPr>
              <w:t>819.7</w:t>
            </w:r>
          </w:p>
        </w:tc>
        <w:tc>
          <w:tcPr>
            <w:tcW w:w="156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0D8EF8F3" w14:textId="77777777" w:rsidR="00411526" w:rsidRPr="006424F1" w:rsidRDefault="00000000">
            <w:pPr>
              <w:jc w:val="center"/>
            </w:pPr>
            <w:r w:rsidRPr="006424F1">
              <w:rPr>
                <w:b/>
                <w:bCs/>
                <w:sz w:val="20"/>
                <w:szCs w:val="20"/>
              </w:rPr>
              <w:t>194.7</w:t>
            </w:r>
          </w:p>
        </w:tc>
        <w:tc>
          <w:tcPr>
            <w:tcW w:w="144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0F13B86" w14:textId="6C9AA3D1" w:rsidR="00411526" w:rsidRPr="006424F1" w:rsidRDefault="00000000">
            <w:pPr>
              <w:jc w:val="center"/>
            </w:pPr>
            <w:r w:rsidRPr="006424F1">
              <w:rPr>
                <w:b/>
                <w:bCs/>
                <w:sz w:val="20"/>
                <w:szCs w:val="20"/>
              </w:rPr>
              <w:t>34%</w:t>
            </w:r>
          </w:p>
        </w:tc>
      </w:tr>
    </w:tbl>
    <w:p w14:paraId="731417FD" w14:textId="03A2C033" w:rsidR="00411526" w:rsidRPr="006424F1" w:rsidRDefault="00000000" w:rsidP="00E26450">
      <w:pPr>
        <w:spacing w:before="60" w:after="160"/>
      </w:pPr>
      <w:r w:rsidRPr="006424F1">
        <w:rPr>
          <w:i/>
          <w:iCs/>
          <w:sz w:val="18"/>
          <w:szCs w:val="18"/>
        </w:rPr>
        <w:t xml:space="preserve">Fuente: Fastmarkets. Elaboración </w:t>
      </w:r>
      <w:r w:rsidR="00E26450">
        <w:rPr>
          <w:i/>
          <w:iCs/>
          <w:sz w:val="18"/>
          <w:szCs w:val="18"/>
        </w:rPr>
        <w:t>de DASA</w:t>
      </w:r>
      <w:r w:rsidRPr="006424F1">
        <w:rPr>
          <w:i/>
          <w:iCs/>
          <w:sz w:val="18"/>
          <w:szCs w:val="18"/>
        </w:rPr>
        <w:t>.</w:t>
      </w:r>
    </w:p>
    <w:p w14:paraId="60E2AB4A" w14:textId="5C047BA4" w:rsidR="00411526" w:rsidRDefault="00000000" w:rsidP="002E4E52">
      <w:pPr>
        <w:spacing w:before="100" w:after="100" w:line="276" w:lineRule="auto"/>
        <w:jc w:val="both"/>
      </w:pPr>
      <w:r w:rsidRPr="006424F1">
        <w:t>Los resultados evidencian que el precio de exportación de China se ha mantenido consistentemente por debajo del valor normal de referencia (precio doméstico en Brasil) durante todo el período analizado, sin excepción. Los principales hallazgos son:</w:t>
      </w:r>
    </w:p>
    <w:p w14:paraId="5ACF342D" w14:textId="77777777" w:rsidR="002E4E52" w:rsidRPr="006424F1" w:rsidRDefault="002E4E52" w:rsidP="002E4E52">
      <w:pPr>
        <w:spacing w:before="100" w:after="100" w:line="276" w:lineRule="auto"/>
        <w:jc w:val="both"/>
      </w:pPr>
    </w:p>
    <w:p w14:paraId="72D2206E" w14:textId="465B9652" w:rsidR="00411526" w:rsidRPr="006424F1" w:rsidRDefault="00000000">
      <w:pPr>
        <w:pStyle w:val="ListParagraph"/>
        <w:numPr>
          <w:ilvl w:val="0"/>
          <w:numId w:val="2"/>
        </w:numPr>
        <w:spacing w:before="80" w:after="80"/>
        <w:rPr>
          <w:lang w:val="es-DO"/>
        </w:rPr>
      </w:pPr>
      <w:r w:rsidRPr="006424F1">
        <w:rPr>
          <w:lang w:val="es-DO"/>
        </w:rPr>
        <w:t xml:space="preserve">El margen de dumping promedio para el período 2021–2025 asciende a aproximadamente </w:t>
      </w:r>
      <w:r w:rsidRPr="00E26450">
        <w:rPr>
          <w:b/>
          <w:bCs/>
          <w:lang w:val="es-DO"/>
        </w:rPr>
        <w:t>34%</w:t>
      </w:r>
      <w:r w:rsidR="00E26450">
        <w:rPr>
          <w:lang w:val="es-DO"/>
        </w:rPr>
        <w:t>.</w:t>
      </w:r>
    </w:p>
    <w:p w14:paraId="0233010B" w14:textId="77777777" w:rsidR="00411526" w:rsidRPr="006424F1" w:rsidRDefault="00000000">
      <w:pPr>
        <w:pStyle w:val="ListParagraph"/>
        <w:numPr>
          <w:ilvl w:val="0"/>
          <w:numId w:val="2"/>
        </w:numPr>
        <w:spacing w:before="80" w:after="80"/>
        <w:rPr>
          <w:lang w:val="es-DO"/>
        </w:rPr>
      </w:pPr>
      <w:r w:rsidRPr="006424F1">
        <w:rPr>
          <w:lang w:val="es-DO"/>
        </w:rPr>
        <w:lastRenderedPageBreak/>
        <w:t>El margen registró una tendencia creciente entre 2021 y 2024, pasando de 18% a 44%, reflejando la aceleración de la caída de los precios de exportación chinos frente a la mayor rigidez del precio de referencia en Brasil.</w:t>
      </w:r>
    </w:p>
    <w:p w14:paraId="79BBB7D1" w14:textId="542ED599" w:rsidR="00411526" w:rsidRPr="006424F1" w:rsidRDefault="00000000">
      <w:pPr>
        <w:pStyle w:val="ListParagraph"/>
        <w:numPr>
          <w:ilvl w:val="0"/>
          <w:numId w:val="2"/>
        </w:numPr>
        <w:spacing w:before="80" w:after="80"/>
        <w:rPr>
          <w:lang w:val="es-DO"/>
        </w:rPr>
      </w:pPr>
      <w:r w:rsidRPr="006424F1">
        <w:rPr>
          <w:lang w:val="es-DO"/>
        </w:rPr>
        <w:t xml:space="preserve">Aunque en 2025 se observa una reducción del margen a 35%, </w:t>
      </w:r>
      <w:r w:rsidR="00E26450">
        <w:rPr>
          <w:lang w:val="es-DO"/>
        </w:rPr>
        <w:t xml:space="preserve">con relación al 2024, </w:t>
      </w:r>
      <w:r w:rsidRPr="006424F1">
        <w:rPr>
          <w:lang w:val="es-DO"/>
        </w:rPr>
        <w:t>este valor permanece en niveles elevados y muy por encima de cualquier variación atribuible a condiciones normales de mercado.</w:t>
      </w:r>
    </w:p>
    <w:p w14:paraId="3187CF4E" w14:textId="77777777" w:rsidR="00411526" w:rsidRPr="006424F1" w:rsidRDefault="00000000">
      <w:pPr>
        <w:pStyle w:val="ListParagraph"/>
        <w:numPr>
          <w:ilvl w:val="0"/>
          <w:numId w:val="2"/>
        </w:numPr>
        <w:spacing w:before="80" w:after="80"/>
        <w:rPr>
          <w:lang w:val="es-DO"/>
        </w:rPr>
      </w:pPr>
      <w:r w:rsidRPr="006424F1">
        <w:rPr>
          <w:lang w:val="es-DO"/>
        </w:rPr>
        <w:t>La trayectoria de los precios de exportación chinos muestra una reducción acumulada de 41.7% entre 2021 y 2025 (de USD 813.5/t a USD 474.4/t), lo que refleja la presión estructural derivada del exceso de capacidad y los mecanismos de apoyo estatal documentados.</w:t>
      </w:r>
    </w:p>
    <w:p w14:paraId="4228AFFD" w14:textId="77777777" w:rsidR="00411526" w:rsidRPr="006424F1" w:rsidRDefault="00411526">
      <w:pPr>
        <w:spacing w:before="80" w:after="80"/>
      </w:pPr>
    </w:p>
    <w:p w14:paraId="2DF44FC8" w14:textId="77777777" w:rsidR="00411526" w:rsidRPr="006424F1" w:rsidRDefault="00000000">
      <w:pPr>
        <w:spacing w:before="100" w:after="100" w:line="276" w:lineRule="auto"/>
        <w:jc w:val="both"/>
      </w:pPr>
      <w:r w:rsidRPr="006424F1">
        <w:t>La persistencia de márgenes de este nivel y magnitud, calculados con base en un país de referencia que produce el producto similar en condiciones de mercado, constituye evidencia directa de que los precios de exportación chinos no reflejan los costos de producción reales, sino que están sujetos a distorsiones estructurales que permiten la exportación sostenida a precios artificialmente reducidos.</w:t>
      </w:r>
    </w:p>
    <w:p w14:paraId="6D3FCA7E" w14:textId="0A3C56BA" w:rsidR="00411526" w:rsidRPr="006424F1" w:rsidRDefault="00000000" w:rsidP="006424F1">
      <w:pPr>
        <w:spacing w:before="100" w:after="100" w:line="276" w:lineRule="auto"/>
        <w:jc w:val="both"/>
      </w:pPr>
      <w:r w:rsidRPr="006424F1">
        <w:t>Esta evidencia es, por sí sola, un indicador de primer orden de la probabilidad de recurrencia del dumping: si las distorsiones estructurales que explican los márgenes documentados permanecen inalteradas (como se argumenta en las secciones subsiguientes), no existe razón técnica para suponer que, en ausencia de medidas, el comportamiento de precios observado se modificaría en sentido contrario.</w:t>
      </w:r>
    </w:p>
    <w:p w14:paraId="43482422" w14:textId="77777777" w:rsidR="00411526" w:rsidRPr="006424F1" w:rsidRDefault="00000000">
      <w:pPr>
        <w:pStyle w:val="Heading1"/>
        <w:rPr>
          <w:color w:val="auto"/>
          <w:lang w:val="es-DO"/>
        </w:rPr>
      </w:pPr>
      <w:r w:rsidRPr="006424F1">
        <w:rPr>
          <w:color w:val="auto"/>
          <w:lang w:val="es-DO"/>
        </w:rPr>
        <w:t>III. Exceso de Capacidad Estructural y Presión Exportadora</w:t>
      </w:r>
    </w:p>
    <w:p w14:paraId="419EF69B" w14:textId="77777777" w:rsidR="00411526" w:rsidRPr="006424F1" w:rsidRDefault="00000000">
      <w:pPr>
        <w:pStyle w:val="Heading2"/>
        <w:rPr>
          <w:color w:val="auto"/>
          <w:lang w:val="es-DO"/>
        </w:rPr>
      </w:pPr>
      <w:r w:rsidRPr="006424F1">
        <w:rPr>
          <w:color w:val="auto"/>
          <w:lang w:val="es-DO"/>
        </w:rPr>
        <w:t>A. Dominancia de China en la capacidad siderúrgica mundial</w:t>
      </w:r>
    </w:p>
    <w:p w14:paraId="0A677260" w14:textId="77777777" w:rsidR="00411526" w:rsidRPr="006424F1" w:rsidRDefault="00000000">
      <w:pPr>
        <w:spacing w:before="100" w:after="100" w:line="276" w:lineRule="auto"/>
        <w:jc w:val="both"/>
      </w:pPr>
      <w:r w:rsidRPr="006424F1">
        <w:t xml:space="preserve">El primer factor estructural que sustenta la probabilidad de recurrencia del dumping es el nivel extraordinario de exceso de capacidad de la industria siderúrgica china. Como se documenta con base en el OECD Steel Outlook 2025, la capacidad instalada de producción de acero de China asciende a aproximadamente 1,141.5 millones de toneladas métricas (mmt), representando cerca del </w:t>
      </w:r>
      <w:r w:rsidRPr="00E26450">
        <w:rPr>
          <w:b/>
          <w:bCs/>
        </w:rPr>
        <w:t>46.2%</w:t>
      </w:r>
      <w:r w:rsidRPr="006424F1">
        <w:t xml:space="preserve"> de la capacidad mundial total. Esta magnitud supera la capacidad combinada de Estados Unidos y la Unión Europea, los dos siguientes bloques productores más grandes.</w:t>
      </w:r>
    </w:p>
    <w:p w14:paraId="13807863" w14:textId="77777777" w:rsidR="00411526" w:rsidRPr="006424F1" w:rsidRDefault="00000000">
      <w:pPr>
        <w:spacing w:before="100" w:after="100" w:line="276" w:lineRule="auto"/>
        <w:jc w:val="both"/>
      </w:pPr>
      <w:r w:rsidRPr="006424F1">
        <w:t>La capacidad productiva china no solo es elevada en términos absolutos, sino que excede de manera significativa sus necesidades de consumo doméstico. A medida que la economía china transita desde un modelo de crecimiento intensivo en infraestructura hacia patrones de consumo más moderados, la demanda interna de acero ha desacelerado sin que la capacidad instalada se haya ajustado en la misma magnitud. Como consecuencia, el mercado internacional se ha convertido en el principal mecanismo de absorción del excedente productivo.</w:t>
      </w:r>
    </w:p>
    <w:p w14:paraId="39584FD4" w14:textId="77777777" w:rsidR="00411526" w:rsidRPr="006424F1" w:rsidRDefault="00000000">
      <w:pPr>
        <w:spacing w:before="100" w:after="100" w:line="276" w:lineRule="auto"/>
        <w:jc w:val="both"/>
      </w:pPr>
      <w:r w:rsidRPr="006424F1">
        <w:t>Según proyecciones de la OCDE, el exceso de capacidad global podría alcanzar 721 millones de toneladas para 2027, un volumen que supera la producción total de todos los países miembros de la OCDE. Una fracción significativa de este excedente está concentrada en China.</w:t>
      </w:r>
    </w:p>
    <w:p w14:paraId="0BFB52E8" w14:textId="77777777" w:rsidR="00411526" w:rsidRPr="006424F1" w:rsidRDefault="00411526">
      <w:pPr>
        <w:spacing w:before="80" w:after="80"/>
      </w:pPr>
    </w:p>
    <w:p w14:paraId="404D0A92" w14:textId="77777777" w:rsidR="006424F1" w:rsidRDefault="006424F1">
      <w:pPr>
        <w:rPr>
          <w:b/>
          <w:bCs/>
          <w:sz w:val="24"/>
          <w:szCs w:val="24"/>
        </w:rPr>
      </w:pPr>
      <w:r>
        <w:br w:type="page"/>
      </w:r>
    </w:p>
    <w:p w14:paraId="43A84E6C" w14:textId="47D7E3DA" w:rsidR="00411526" w:rsidRPr="006424F1" w:rsidRDefault="00000000">
      <w:pPr>
        <w:pStyle w:val="Heading2"/>
        <w:rPr>
          <w:color w:val="auto"/>
          <w:lang w:val="es-DO"/>
        </w:rPr>
      </w:pPr>
      <w:r w:rsidRPr="006424F1">
        <w:rPr>
          <w:color w:val="auto"/>
          <w:lang w:val="es-DO"/>
        </w:rPr>
        <w:lastRenderedPageBreak/>
        <w:t>B. Expansión sostenida de las exportaciones globales de acero chino</w:t>
      </w:r>
    </w:p>
    <w:p w14:paraId="2AD54B4B" w14:textId="77777777" w:rsidR="00411526" w:rsidRPr="006424F1" w:rsidRDefault="00000000">
      <w:pPr>
        <w:spacing w:before="100" w:after="100" w:line="276" w:lineRule="auto"/>
        <w:jc w:val="both"/>
      </w:pPr>
      <w:r w:rsidRPr="006424F1">
        <w:t>La dependencia estructural del mercado de exportación para absorber el excedente de producción chino se refleja con claridad en la evolución reciente del comercio internacional. Según datos del OECD Steel Outlook 2025, las exportaciones totales de acero de China crecieron de 53.8 mmt en 2020 a 118.2 mmt en 2024, más del doble en apenas cuatro años. En ese mismo período, la participación de China en las exportaciones mundiales de acero (excluyendo comercio intra-UE) aumentó de 18% a 37%.</w:t>
      </w:r>
    </w:p>
    <w:p w14:paraId="141D06A9" w14:textId="77777777" w:rsidR="00411526" w:rsidRPr="006424F1" w:rsidRDefault="00000000">
      <w:pPr>
        <w:spacing w:before="100" w:after="100" w:line="276" w:lineRule="auto"/>
        <w:jc w:val="both"/>
      </w:pPr>
      <w:r w:rsidRPr="006424F1">
        <w:t>Esta tendencia no ha sido acompañada de un aumento proporcional de las importaciones. Por el contrario, las importaciones chinas de acero se redujeron un 77.5% entre 2020 y 2024, generando un superávit comercial siderúrgico superior a 109 mmt y consolidando a China como el mayor exportador neto de acero a nivel mundial por un margen considerable.</w:t>
      </w:r>
    </w:p>
    <w:p w14:paraId="7F2BEE4A" w14:textId="669B5DDA" w:rsidR="00411526" w:rsidRPr="006424F1" w:rsidRDefault="00000000" w:rsidP="006424F1">
      <w:pPr>
        <w:spacing w:before="100" w:after="100" w:line="276" w:lineRule="auto"/>
        <w:jc w:val="both"/>
      </w:pPr>
      <w:r w:rsidRPr="006424F1">
        <w:t>El incremento de las exportaciones globales de acero chino no responde a una mayor competitividad tecnológica o productiva, sino a la necesidad estructural de la industria de colocar su excedente de producción en mercados externos para mantener niveles mínimos de utilización de capacidad. Este incentivo es independiente de las condiciones de rentabilidad y se mantiene mientras persista la brecha entre capacidad instalada y demanda doméstica.</w:t>
      </w:r>
    </w:p>
    <w:p w14:paraId="53619853" w14:textId="77777777" w:rsidR="00411526" w:rsidRPr="006424F1" w:rsidRDefault="00000000">
      <w:pPr>
        <w:pStyle w:val="Heading2"/>
        <w:rPr>
          <w:color w:val="auto"/>
          <w:lang w:val="es-DO"/>
        </w:rPr>
      </w:pPr>
      <w:r w:rsidRPr="006424F1">
        <w:rPr>
          <w:color w:val="auto"/>
          <w:lang w:val="es-DO"/>
        </w:rPr>
        <w:t>C. Subsidios estatales: desvinculación entre costos y precios de exportación</w:t>
      </w:r>
    </w:p>
    <w:p w14:paraId="621D8357" w14:textId="77777777" w:rsidR="00411526" w:rsidRPr="006424F1" w:rsidRDefault="00000000">
      <w:pPr>
        <w:spacing w:before="100" w:after="100" w:line="276" w:lineRule="auto"/>
        <w:jc w:val="both"/>
      </w:pPr>
      <w:r w:rsidRPr="006424F1">
        <w:t>La capacidad de China para exportar acero a precios sustancialmente inferiores a los observados en economías de mercado comparables no puede comprenderse sin considerar el papel de los mecanismos de apoyo estatal. De acuerdo con los datos de la base OECD MAGIC, las empresas manufactureras chinas presentan tasas de subsidio sobre ingresos aproximadamente diez veces superiores a las observadas en economías de mercado avanzadas: mientras que en los países de la OCDE estas tasas se sitúan entre 0.2% y 0.3%, en China alcanzan en promedio cerca del 2%, con episodios donde han llegado hasta el 7%.</w:t>
      </w:r>
    </w:p>
    <w:p w14:paraId="5B6D9556" w14:textId="77777777" w:rsidR="00411526" w:rsidRPr="006424F1" w:rsidRDefault="00000000">
      <w:pPr>
        <w:spacing w:before="100" w:after="100" w:line="276" w:lineRule="auto"/>
        <w:jc w:val="both"/>
      </w:pPr>
      <w:r w:rsidRPr="006424F1">
        <w:t>Los instrumentos de apoyo identificados incluyen financiamiento a tasas por debajo de mercado, reestructuración de deuda de empresas estatales, subsidios fiscales y energéticos, y acceso preferencial a crédito bancario. Estos mecanismos permiten que empresas con baja rentabilidad o incluso con pérdidas operativas continúen produciendo y exportando, inclusive cuando los precios internacionales no cubren los costos económicos reales de producción.</w:t>
      </w:r>
    </w:p>
    <w:p w14:paraId="1FC7C5B6" w14:textId="77777777" w:rsidR="00411526" w:rsidRPr="006424F1" w:rsidRDefault="00000000">
      <w:pPr>
        <w:spacing w:before="100" w:after="100" w:line="276" w:lineRule="auto"/>
        <w:jc w:val="both"/>
      </w:pPr>
      <w:r w:rsidRPr="006424F1">
        <w:t>Este fenómeno explica estructuralmente por qué los precios de exportación chinos han continuado reduciéndose incluso en un contexto de precios internacionales descendentes: las distorsiones en la estructura de costos permiten mantener operaciones en condiciones en que productores de mercado habrían reducido su producción o salido del mercado. En ausencia de medidas de defensa comercial, este comportamiento se trasladaría directamente al mercado dominicano.</w:t>
      </w:r>
    </w:p>
    <w:p w14:paraId="63D4F71C" w14:textId="7C18E6C7" w:rsidR="00411526" w:rsidRPr="006424F1" w:rsidRDefault="006424F1" w:rsidP="006424F1">
      <w:r>
        <w:br w:type="page"/>
      </w:r>
    </w:p>
    <w:p w14:paraId="52BE9CD4" w14:textId="77777777" w:rsidR="00411526" w:rsidRPr="006424F1" w:rsidRDefault="00000000">
      <w:pPr>
        <w:pStyle w:val="Heading1"/>
        <w:rPr>
          <w:color w:val="auto"/>
          <w:lang w:val="es-DO"/>
        </w:rPr>
      </w:pPr>
      <w:r w:rsidRPr="006424F1">
        <w:rPr>
          <w:color w:val="auto"/>
          <w:lang w:val="es-DO"/>
        </w:rPr>
        <w:lastRenderedPageBreak/>
        <w:t>IV. Persistencia Internacional de Medidas Antidumping contra China</w:t>
      </w:r>
    </w:p>
    <w:p w14:paraId="759361DB" w14:textId="77777777" w:rsidR="00411526" w:rsidRPr="006424F1" w:rsidRDefault="00000000">
      <w:pPr>
        <w:pStyle w:val="Heading2"/>
        <w:rPr>
          <w:color w:val="auto"/>
          <w:lang w:val="es-DO"/>
        </w:rPr>
      </w:pPr>
      <w:r w:rsidRPr="006424F1">
        <w:rPr>
          <w:color w:val="auto"/>
          <w:lang w:val="es-DO"/>
        </w:rPr>
        <w:t>A. Evidencia comparada: tasa de renovación de medidas</w:t>
      </w:r>
    </w:p>
    <w:p w14:paraId="321DFD87" w14:textId="62CE3F83" w:rsidR="00411526" w:rsidRPr="006424F1" w:rsidRDefault="00000000">
      <w:pPr>
        <w:spacing w:before="100" w:after="100" w:line="276" w:lineRule="auto"/>
        <w:jc w:val="both"/>
      </w:pPr>
      <w:r w:rsidRPr="006424F1">
        <w:t>Uno de los indicadores más robustos y objetivos de la probabilidad de recurrencia del dumping es el comportamiento histórico de las medidas antidumping impuestas contra China en el sector siderúrgico a nivel internacional. La evidencia disponible, compilada con base en datos de Global Trade Alert</w:t>
      </w:r>
      <w:r w:rsidR="006424F1">
        <w:t xml:space="preserve"> </w:t>
      </w:r>
      <w:r w:rsidR="006424F1" w:rsidRPr="006424F1">
        <w:t>(G</w:t>
      </w:r>
      <w:r w:rsidR="006424F1">
        <w:t>TA)</w:t>
      </w:r>
      <w:r w:rsidRPr="006424F1">
        <w:t>, demuestra que estas medidas presentan una tasa de renovación excepcionalmente elevada y persistente.</w:t>
      </w:r>
    </w:p>
    <w:p w14:paraId="12BB38AB" w14:textId="24019547" w:rsidR="00411526" w:rsidRPr="006424F1" w:rsidRDefault="00000000" w:rsidP="006424F1">
      <w:pPr>
        <w:spacing w:before="100" w:after="100" w:line="276" w:lineRule="auto"/>
        <w:jc w:val="both"/>
      </w:pPr>
      <w:r w:rsidRPr="006424F1">
        <w:t xml:space="preserve">Desde 2008, se han implementado un total de </w:t>
      </w:r>
      <w:r w:rsidRPr="00E26450">
        <w:rPr>
          <w:b/>
          <w:bCs/>
        </w:rPr>
        <w:t>235 medidas antidumping</w:t>
      </w:r>
      <w:r w:rsidRPr="006424F1">
        <w:t xml:space="preserve"> contra productos siderúrgicos originarios de China. De estas, </w:t>
      </w:r>
      <w:r w:rsidRPr="00E26450">
        <w:rPr>
          <w:b/>
          <w:bCs/>
        </w:rPr>
        <w:t>191 continúan activas</w:t>
      </w:r>
      <w:r w:rsidRPr="006424F1">
        <w:t xml:space="preserve"> al momento del presente análisis</w:t>
      </w:r>
      <w:r w:rsidR="00E26450">
        <w:t xml:space="preserve">. </w:t>
      </w:r>
      <w:r w:rsidRPr="006424F1">
        <w:t xml:space="preserve"> Esto implica que el </w:t>
      </w:r>
      <w:r w:rsidRPr="00E26450">
        <w:rPr>
          <w:b/>
          <w:bCs/>
        </w:rPr>
        <w:t>81.4%</w:t>
      </w:r>
      <w:r w:rsidRPr="006424F1">
        <w:t xml:space="preserve"> de las medidas adoptadas contra China en el sector del acero permanecen vigentes.</w:t>
      </w:r>
    </w:p>
    <w:p w14:paraId="3379A23B" w14:textId="77777777" w:rsidR="00411526" w:rsidRPr="006424F1" w:rsidRDefault="00000000">
      <w:pPr>
        <w:spacing w:before="160" w:after="60"/>
        <w:jc w:val="center"/>
      </w:pPr>
      <w:r w:rsidRPr="006424F1">
        <w:rPr>
          <w:b/>
          <w:bCs/>
          <w:sz w:val="20"/>
          <w:szCs w:val="20"/>
        </w:rPr>
        <w:t>Tabla 2. Medidas antidumping contra China en el sector de Hierro y Acero, por año de implementación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40"/>
        <w:gridCol w:w="2400"/>
        <w:gridCol w:w="2400"/>
        <w:gridCol w:w="1440"/>
        <w:gridCol w:w="1680"/>
      </w:tblGrid>
      <w:tr w:rsidR="006424F1" w:rsidRPr="006424F1" w14:paraId="077C46F5" w14:textId="77777777">
        <w:trPr>
          <w:tblHeader/>
        </w:trPr>
        <w:tc>
          <w:tcPr>
            <w:tcW w:w="14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5C518E6B" w14:textId="77777777" w:rsidR="00411526" w:rsidRPr="006424F1" w:rsidRDefault="00000000">
            <w:pPr>
              <w:jc w:val="center"/>
            </w:pPr>
            <w:r w:rsidRPr="006424F1">
              <w:rPr>
                <w:b/>
                <w:bCs/>
                <w:sz w:val="20"/>
                <w:szCs w:val="20"/>
              </w:rPr>
              <w:t>Año</w:t>
            </w:r>
          </w:p>
        </w:tc>
        <w:tc>
          <w:tcPr>
            <w:tcW w:w="24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3FD188AC" w14:textId="77777777" w:rsidR="00411526" w:rsidRPr="006424F1" w:rsidRDefault="00000000">
            <w:pPr>
              <w:jc w:val="center"/>
            </w:pPr>
            <w:r w:rsidRPr="006424F1">
              <w:rPr>
                <w:b/>
                <w:bCs/>
                <w:sz w:val="20"/>
                <w:szCs w:val="20"/>
              </w:rPr>
              <w:t>Medidas No Renovadas</w:t>
            </w:r>
          </w:p>
        </w:tc>
        <w:tc>
          <w:tcPr>
            <w:tcW w:w="24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6474F43E" w14:textId="77777777" w:rsidR="00411526" w:rsidRPr="006424F1" w:rsidRDefault="00000000">
            <w:pPr>
              <w:jc w:val="center"/>
            </w:pPr>
            <w:r w:rsidRPr="006424F1">
              <w:rPr>
                <w:b/>
                <w:bCs/>
                <w:sz w:val="20"/>
                <w:szCs w:val="20"/>
              </w:rPr>
              <w:t>Medidas Activas</w:t>
            </w:r>
          </w:p>
        </w:tc>
        <w:tc>
          <w:tcPr>
            <w:tcW w:w="14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75CACC7B" w14:textId="77777777" w:rsidR="00411526" w:rsidRPr="006424F1" w:rsidRDefault="00000000">
            <w:pPr>
              <w:jc w:val="center"/>
            </w:pPr>
            <w:r w:rsidRPr="006424F1">
              <w:rPr>
                <w:b/>
                <w:bCs/>
                <w:sz w:val="20"/>
                <w:szCs w:val="20"/>
              </w:rPr>
              <w:t>Total</w:t>
            </w:r>
          </w:p>
        </w:tc>
        <w:tc>
          <w:tcPr>
            <w:tcW w:w="168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00138259" w14:textId="77777777" w:rsidR="00411526" w:rsidRPr="006424F1" w:rsidRDefault="00000000">
            <w:pPr>
              <w:jc w:val="center"/>
            </w:pPr>
            <w:r w:rsidRPr="006424F1">
              <w:rPr>
                <w:b/>
                <w:bCs/>
                <w:sz w:val="20"/>
                <w:szCs w:val="20"/>
              </w:rPr>
              <w:t>% Activas</w:t>
            </w:r>
          </w:p>
        </w:tc>
      </w:tr>
      <w:tr w:rsidR="006424F1" w:rsidRPr="006424F1" w14:paraId="152E9CE6" w14:textId="77777777">
        <w:tc>
          <w:tcPr>
            <w:tcW w:w="144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5BAE871" w14:textId="77777777" w:rsidR="00411526" w:rsidRPr="006424F1" w:rsidRDefault="00000000">
            <w:r w:rsidRPr="006424F1">
              <w:rPr>
                <w:sz w:val="18"/>
                <w:szCs w:val="18"/>
              </w:rPr>
              <w:t>2008</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2E740A77" w14:textId="77777777" w:rsidR="00411526" w:rsidRPr="006424F1" w:rsidRDefault="00000000">
            <w:pPr>
              <w:jc w:val="center"/>
            </w:pPr>
            <w:r w:rsidRPr="006424F1">
              <w:rPr>
                <w:sz w:val="18"/>
                <w:szCs w:val="18"/>
              </w:rPr>
              <w:t>0</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34C24F92" w14:textId="77777777" w:rsidR="00411526" w:rsidRPr="006424F1" w:rsidRDefault="00000000">
            <w:pPr>
              <w:jc w:val="center"/>
            </w:pPr>
            <w:r w:rsidRPr="006424F1">
              <w:rPr>
                <w:sz w:val="18"/>
                <w:szCs w:val="18"/>
              </w:rPr>
              <w:t>3</w:t>
            </w:r>
          </w:p>
        </w:tc>
        <w:tc>
          <w:tcPr>
            <w:tcW w:w="144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1D7373CD" w14:textId="77777777" w:rsidR="00411526" w:rsidRPr="006424F1" w:rsidRDefault="00000000">
            <w:pPr>
              <w:jc w:val="center"/>
            </w:pPr>
            <w:r w:rsidRPr="006424F1">
              <w:rPr>
                <w:sz w:val="18"/>
                <w:szCs w:val="18"/>
              </w:rPr>
              <w:t>3</w:t>
            </w:r>
          </w:p>
        </w:tc>
        <w:tc>
          <w:tcPr>
            <w:tcW w:w="168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712E3831" w14:textId="77777777" w:rsidR="00411526" w:rsidRPr="006424F1" w:rsidRDefault="00000000">
            <w:pPr>
              <w:jc w:val="center"/>
            </w:pPr>
            <w:r w:rsidRPr="006424F1">
              <w:rPr>
                <w:sz w:val="18"/>
                <w:szCs w:val="18"/>
              </w:rPr>
              <w:t>100.0%</w:t>
            </w:r>
          </w:p>
        </w:tc>
      </w:tr>
      <w:tr w:rsidR="006424F1" w:rsidRPr="006424F1" w14:paraId="3D830AD9" w14:textId="77777777">
        <w:tc>
          <w:tcPr>
            <w:tcW w:w="14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845E904" w14:textId="77777777" w:rsidR="00411526" w:rsidRPr="006424F1" w:rsidRDefault="00000000">
            <w:r w:rsidRPr="006424F1">
              <w:rPr>
                <w:sz w:val="18"/>
                <w:szCs w:val="18"/>
              </w:rPr>
              <w:t>2009</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D09008A" w14:textId="77777777" w:rsidR="00411526" w:rsidRPr="006424F1" w:rsidRDefault="00000000">
            <w:pPr>
              <w:jc w:val="center"/>
            </w:pPr>
            <w:r w:rsidRPr="006424F1">
              <w:rPr>
                <w:sz w:val="18"/>
                <w:szCs w:val="18"/>
              </w:rPr>
              <w:t>2</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D668FEB" w14:textId="77777777" w:rsidR="00411526" w:rsidRPr="006424F1" w:rsidRDefault="00000000">
            <w:pPr>
              <w:jc w:val="center"/>
            </w:pPr>
            <w:r w:rsidRPr="006424F1">
              <w:rPr>
                <w:sz w:val="18"/>
                <w:szCs w:val="18"/>
              </w:rPr>
              <w:t>9</w:t>
            </w:r>
          </w:p>
        </w:tc>
        <w:tc>
          <w:tcPr>
            <w:tcW w:w="14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2ABDF7F" w14:textId="77777777" w:rsidR="00411526" w:rsidRPr="006424F1" w:rsidRDefault="00000000">
            <w:pPr>
              <w:jc w:val="center"/>
            </w:pPr>
            <w:r w:rsidRPr="006424F1">
              <w:rPr>
                <w:sz w:val="18"/>
                <w:szCs w:val="18"/>
              </w:rPr>
              <w:t>11</w:t>
            </w:r>
          </w:p>
        </w:tc>
        <w:tc>
          <w:tcPr>
            <w:tcW w:w="1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6A9DCAA" w14:textId="77777777" w:rsidR="00411526" w:rsidRPr="006424F1" w:rsidRDefault="00000000">
            <w:pPr>
              <w:jc w:val="center"/>
            </w:pPr>
            <w:r w:rsidRPr="006424F1">
              <w:rPr>
                <w:sz w:val="18"/>
                <w:szCs w:val="18"/>
              </w:rPr>
              <w:t>81.8%</w:t>
            </w:r>
          </w:p>
        </w:tc>
      </w:tr>
      <w:tr w:rsidR="006424F1" w:rsidRPr="006424F1" w14:paraId="4EBD2173" w14:textId="77777777">
        <w:tc>
          <w:tcPr>
            <w:tcW w:w="144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6743FD4C" w14:textId="77777777" w:rsidR="00411526" w:rsidRPr="006424F1" w:rsidRDefault="00000000">
            <w:r w:rsidRPr="006424F1">
              <w:rPr>
                <w:sz w:val="18"/>
                <w:szCs w:val="18"/>
              </w:rPr>
              <w:t>2010</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36593DFA" w14:textId="77777777" w:rsidR="00411526" w:rsidRPr="006424F1" w:rsidRDefault="00000000">
            <w:pPr>
              <w:jc w:val="center"/>
            </w:pPr>
            <w:r w:rsidRPr="006424F1">
              <w:rPr>
                <w:sz w:val="18"/>
                <w:szCs w:val="18"/>
              </w:rPr>
              <w:t>6</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18AB72D8" w14:textId="77777777" w:rsidR="00411526" w:rsidRPr="006424F1" w:rsidRDefault="00000000">
            <w:pPr>
              <w:jc w:val="center"/>
            </w:pPr>
            <w:r w:rsidRPr="006424F1">
              <w:rPr>
                <w:sz w:val="18"/>
                <w:szCs w:val="18"/>
              </w:rPr>
              <w:t>6</w:t>
            </w:r>
          </w:p>
        </w:tc>
        <w:tc>
          <w:tcPr>
            <w:tcW w:w="144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046185D7" w14:textId="77777777" w:rsidR="00411526" w:rsidRPr="006424F1" w:rsidRDefault="00000000">
            <w:pPr>
              <w:jc w:val="center"/>
            </w:pPr>
            <w:r w:rsidRPr="006424F1">
              <w:rPr>
                <w:sz w:val="18"/>
                <w:szCs w:val="18"/>
              </w:rPr>
              <w:t>12</w:t>
            </w:r>
          </w:p>
        </w:tc>
        <w:tc>
          <w:tcPr>
            <w:tcW w:w="168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2C583384" w14:textId="77777777" w:rsidR="00411526" w:rsidRPr="006424F1" w:rsidRDefault="00000000">
            <w:pPr>
              <w:jc w:val="center"/>
            </w:pPr>
            <w:r w:rsidRPr="006424F1">
              <w:rPr>
                <w:sz w:val="18"/>
                <w:szCs w:val="18"/>
              </w:rPr>
              <w:t>50.0%</w:t>
            </w:r>
          </w:p>
        </w:tc>
      </w:tr>
      <w:tr w:rsidR="006424F1" w:rsidRPr="006424F1" w14:paraId="418338B7" w14:textId="77777777">
        <w:tc>
          <w:tcPr>
            <w:tcW w:w="14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8B91217" w14:textId="77777777" w:rsidR="00411526" w:rsidRPr="006424F1" w:rsidRDefault="00000000">
            <w:r w:rsidRPr="006424F1">
              <w:rPr>
                <w:sz w:val="18"/>
                <w:szCs w:val="18"/>
              </w:rPr>
              <w:t>2011</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EF7E9F9" w14:textId="77777777" w:rsidR="00411526" w:rsidRPr="006424F1" w:rsidRDefault="00000000">
            <w:pPr>
              <w:jc w:val="center"/>
            </w:pPr>
            <w:r w:rsidRPr="006424F1">
              <w:rPr>
                <w:sz w:val="18"/>
                <w:szCs w:val="18"/>
              </w:rPr>
              <w:t>1</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7D7EBB3" w14:textId="77777777" w:rsidR="00411526" w:rsidRPr="006424F1" w:rsidRDefault="00000000">
            <w:pPr>
              <w:jc w:val="center"/>
            </w:pPr>
            <w:r w:rsidRPr="006424F1">
              <w:rPr>
                <w:sz w:val="18"/>
                <w:szCs w:val="18"/>
              </w:rPr>
              <w:t>7</w:t>
            </w:r>
          </w:p>
        </w:tc>
        <w:tc>
          <w:tcPr>
            <w:tcW w:w="14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179D76C" w14:textId="77777777" w:rsidR="00411526" w:rsidRPr="006424F1" w:rsidRDefault="00000000">
            <w:pPr>
              <w:jc w:val="center"/>
            </w:pPr>
            <w:r w:rsidRPr="006424F1">
              <w:rPr>
                <w:sz w:val="18"/>
                <w:szCs w:val="18"/>
              </w:rPr>
              <w:t>8</w:t>
            </w:r>
          </w:p>
        </w:tc>
        <w:tc>
          <w:tcPr>
            <w:tcW w:w="1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A49EFD9" w14:textId="77777777" w:rsidR="00411526" w:rsidRPr="006424F1" w:rsidRDefault="00000000">
            <w:pPr>
              <w:jc w:val="center"/>
            </w:pPr>
            <w:r w:rsidRPr="006424F1">
              <w:rPr>
                <w:sz w:val="18"/>
                <w:szCs w:val="18"/>
              </w:rPr>
              <w:t>87.5%</w:t>
            </w:r>
          </w:p>
        </w:tc>
      </w:tr>
      <w:tr w:rsidR="006424F1" w:rsidRPr="006424F1" w14:paraId="7F172D51" w14:textId="77777777">
        <w:tc>
          <w:tcPr>
            <w:tcW w:w="144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6223A476" w14:textId="77777777" w:rsidR="00411526" w:rsidRPr="006424F1" w:rsidRDefault="00000000">
            <w:r w:rsidRPr="006424F1">
              <w:rPr>
                <w:sz w:val="18"/>
                <w:szCs w:val="18"/>
              </w:rPr>
              <w:t>2012</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0C6936DC" w14:textId="77777777" w:rsidR="00411526" w:rsidRPr="006424F1" w:rsidRDefault="00000000">
            <w:pPr>
              <w:jc w:val="center"/>
            </w:pPr>
            <w:r w:rsidRPr="006424F1">
              <w:rPr>
                <w:sz w:val="18"/>
                <w:szCs w:val="18"/>
              </w:rPr>
              <w:t>3</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3B6A504B" w14:textId="77777777" w:rsidR="00411526" w:rsidRPr="006424F1" w:rsidRDefault="00000000">
            <w:pPr>
              <w:jc w:val="center"/>
            </w:pPr>
            <w:r w:rsidRPr="006424F1">
              <w:rPr>
                <w:sz w:val="18"/>
                <w:szCs w:val="18"/>
              </w:rPr>
              <w:t>11</w:t>
            </w:r>
          </w:p>
        </w:tc>
        <w:tc>
          <w:tcPr>
            <w:tcW w:w="144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789713D3" w14:textId="77777777" w:rsidR="00411526" w:rsidRPr="006424F1" w:rsidRDefault="00000000">
            <w:pPr>
              <w:jc w:val="center"/>
            </w:pPr>
            <w:r w:rsidRPr="006424F1">
              <w:rPr>
                <w:sz w:val="18"/>
                <w:szCs w:val="18"/>
              </w:rPr>
              <w:t>14</w:t>
            </w:r>
          </w:p>
        </w:tc>
        <w:tc>
          <w:tcPr>
            <w:tcW w:w="168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56E089E6" w14:textId="77777777" w:rsidR="00411526" w:rsidRPr="006424F1" w:rsidRDefault="00000000">
            <w:pPr>
              <w:jc w:val="center"/>
            </w:pPr>
            <w:r w:rsidRPr="006424F1">
              <w:rPr>
                <w:sz w:val="18"/>
                <w:szCs w:val="18"/>
              </w:rPr>
              <w:t>78.6%</w:t>
            </w:r>
          </w:p>
        </w:tc>
      </w:tr>
      <w:tr w:rsidR="006424F1" w:rsidRPr="006424F1" w14:paraId="148FD73F" w14:textId="77777777">
        <w:tc>
          <w:tcPr>
            <w:tcW w:w="14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7328ACA" w14:textId="77777777" w:rsidR="00411526" w:rsidRPr="006424F1" w:rsidRDefault="00000000">
            <w:r w:rsidRPr="006424F1">
              <w:rPr>
                <w:sz w:val="18"/>
                <w:szCs w:val="18"/>
              </w:rPr>
              <w:t>2013</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90345B8" w14:textId="77777777" w:rsidR="00411526" w:rsidRPr="006424F1" w:rsidRDefault="00000000">
            <w:pPr>
              <w:jc w:val="center"/>
            </w:pPr>
            <w:r w:rsidRPr="006424F1">
              <w:rPr>
                <w:sz w:val="18"/>
                <w:szCs w:val="18"/>
              </w:rPr>
              <w:t>6</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D96719E" w14:textId="77777777" w:rsidR="00411526" w:rsidRPr="006424F1" w:rsidRDefault="00000000">
            <w:pPr>
              <w:jc w:val="center"/>
            </w:pPr>
            <w:r w:rsidRPr="006424F1">
              <w:rPr>
                <w:sz w:val="18"/>
                <w:szCs w:val="18"/>
              </w:rPr>
              <w:t>23</w:t>
            </w:r>
          </w:p>
        </w:tc>
        <w:tc>
          <w:tcPr>
            <w:tcW w:w="14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F91A912" w14:textId="77777777" w:rsidR="00411526" w:rsidRPr="006424F1" w:rsidRDefault="00000000">
            <w:pPr>
              <w:jc w:val="center"/>
            </w:pPr>
            <w:r w:rsidRPr="006424F1">
              <w:rPr>
                <w:sz w:val="18"/>
                <w:szCs w:val="18"/>
              </w:rPr>
              <w:t>29</w:t>
            </w:r>
          </w:p>
        </w:tc>
        <w:tc>
          <w:tcPr>
            <w:tcW w:w="1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20FD5F4" w14:textId="77777777" w:rsidR="00411526" w:rsidRPr="006424F1" w:rsidRDefault="00000000">
            <w:pPr>
              <w:jc w:val="center"/>
            </w:pPr>
            <w:r w:rsidRPr="006424F1">
              <w:rPr>
                <w:sz w:val="18"/>
                <w:szCs w:val="18"/>
              </w:rPr>
              <w:t>79.3%</w:t>
            </w:r>
          </w:p>
        </w:tc>
      </w:tr>
      <w:tr w:rsidR="006424F1" w:rsidRPr="006424F1" w14:paraId="2EB1B9CE" w14:textId="77777777">
        <w:tc>
          <w:tcPr>
            <w:tcW w:w="144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6D414B0D" w14:textId="77777777" w:rsidR="00411526" w:rsidRPr="006424F1" w:rsidRDefault="00000000">
            <w:r w:rsidRPr="006424F1">
              <w:rPr>
                <w:sz w:val="18"/>
                <w:szCs w:val="18"/>
              </w:rPr>
              <w:t>2014</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7CE91047" w14:textId="77777777" w:rsidR="00411526" w:rsidRPr="006424F1" w:rsidRDefault="00000000">
            <w:pPr>
              <w:jc w:val="center"/>
            </w:pPr>
            <w:r w:rsidRPr="006424F1">
              <w:rPr>
                <w:sz w:val="18"/>
                <w:szCs w:val="18"/>
              </w:rPr>
              <w:t>4</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14227CFD" w14:textId="77777777" w:rsidR="00411526" w:rsidRPr="006424F1" w:rsidRDefault="00000000">
            <w:pPr>
              <w:jc w:val="center"/>
            </w:pPr>
            <w:r w:rsidRPr="006424F1">
              <w:rPr>
                <w:sz w:val="18"/>
                <w:szCs w:val="18"/>
              </w:rPr>
              <w:t>11</w:t>
            </w:r>
          </w:p>
        </w:tc>
        <w:tc>
          <w:tcPr>
            <w:tcW w:w="144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0A21BFDE" w14:textId="77777777" w:rsidR="00411526" w:rsidRPr="006424F1" w:rsidRDefault="00000000">
            <w:pPr>
              <w:jc w:val="center"/>
            </w:pPr>
            <w:r w:rsidRPr="006424F1">
              <w:rPr>
                <w:sz w:val="18"/>
                <w:szCs w:val="18"/>
              </w:rPr>
              <w:t>15</w:t>
            </w:r>
          </w:p>
        </w:tc>
        <w:tc>
          <w:tcPr>
            <w:tcW w:w="168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BCA65D7" w14:textId="77777777" w:rsidR="00411526" w:rsidRPr="006424F1" w:rsidRDefault="00000000">
            <w:pPr>
              <w:jc w:val="center"/>
            </w:pPr>
            <w:r w:rsidRPr="006424F1">
              <w:rPr>
                <w:sz w:val="18"/>
                <w:szCs w:val="18"/>
              </w:rPr>
              <w:t>73.3%</w:t>
            </w:r>
          </w:p>
        </w:tc>
      </w:tr>
      <w:tr w:rsidR="006424F1" w:rsidRPr="006424F1" w14:paraId="24B66F3D" w14:textId="77777777">
        <w:tc>
          <w:tcPr>
            <w:tcW w:w="14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331DF5C" w14:textId="77777777" w:rsidR="00411526" w:rsidRPr="006424F1" w:rsidRDefault="00000000">
            <w:r w:rsidRPr="006424F1">
              <w:rPr>
                <w:sz w:val="18"/>
                <w:szCs w:val="18"/>
              </w:rPr>
              <w:t>2015</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B52D038" w14:textId="77777777" w:rsidR="00411526" w:rsidRPr="006424F1" w:rsidRDefault="00000000">
            <w:pPr>
              <w:jc w:val="center"/>
            </w:pPr>
            <w:r w:rsidRPr="006424F1">
              <w:rPr>
                <w:sz w:val="18"/>
                <w:szCs w:val="18"/>
              </w:rPr>
              <w:t>3</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30AE1AB" w14:textId="77777777" w:rsidR="00411526" w:rsidRPr="006424F1" w:rsidRDefault="00000000">
            <w:pPr>
              <w:jc w:val="center"/>
            </w:pPr>
            <w:r w:rsidRPr="006424F1">
              <w:rPr>
                <w:sz w:val="18"/>
                <w:szCs w:val="18"/>
              </w:rPr>
              <w:t>15</w:t>
            </w:r>
          </w:p>
        </w:tc>
        <w:tc>
          <w:tcPr>
            <w:tcW w:w="14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3801120" w14:textId="77777777" w:rsidR="00411526" w:rsidRPr="006424F1" w:rsidRDefault="00000000">
            <w:pPr>
              <w:jc w:val="center"/>
            </w:pPr>
            <w:r w:rsidRPr="006424F1">
              <w:rPr>
                <w:sz w:val="18"/>
                <w:szCs w:val="18"/>
              </w:rPr>
              <w:t>18</w:t>
            </w:r>
          </w:p>
        </w:tc>
        <w:tc>
          <w:tcPr>
            <w:tcW w:w="1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31DAE5A" w14:textId="77777777" w:rsidR="00411526" w:rsidRPr="006424F1" w:rsidRDefault="00000000">
            <w:pPr>
              <w:jc w:val="center"/>
            </w:pPr>
            <w:r w:rsidRPr="006424F1">
              <w:rPr>
                <w:sz w:val="18"/>
                <w:szCs w:val="18"/>
              </w:rPr>
              <w:t>83.3%</w:t>
            </w:r>
          </w:p>
        </w:tc>
      </w:tr>
      <w:tr w:rsidR="006424F1" w:rsidRPr="006424F1" w14:paraId="3933DB84" w14:textId="77777777">
        <w:tc>
          <w:tcPr>
            <w:tcW w:w="144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05D64804" w14:textId="77777777" w:rsidR="00411526" w:rsidRPr="006424F1" w:rsidRDefault="00000000">
            <w:r w:rsidRPr="006424F1">
              <w:rPr>
                <w:sz w:val="18"/>
                <w:szCs w:val="18"/>
              </w:rPr>
              <w:t>2016</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08956533" w14:textId="77777777" w:rsidR="00411526" w:rsidRPr="006424F1" w:rsidRDefault="00000000">
            <w:pPr>
              <w:jc w:val="center"/>
            </w:pPr>
            <w:r w:rsidRPr="006424F1">
              <w:rPr>
                <w:sz w:val="18"/>
                <w:szCs w:val="18"/>
              </w:rPr>
              <w:t>7</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6657FB4A" w14:textId="77777777" w:rsidR="00411526" w:rsidRPr="006424F1" w:rsidRDefault="00000000">
            <w:pPr>
              <w:jc w:val="center"/>
            </w:pPr>
            <w:r w:rsidRPr="006424F1">
              <w:rPr>
                <w:sz w:val="18"/>
                <w:szCs w:val="18"/>
              </w:rPr>
              <w:t>22</w:t>
            </w:r>
          </w:p>
        </w:tc>
        <w:tc>
          <w:tcPr>
            <w:tcW w:w="144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585034B3" w14:textId="77777777" w:rsidR="00411526" w:rsidRPr="006424F1" w:rsidRDefault="00000000">
            <w:pPr>
              <w:jc w:val="center"/>
            </w:pPr>
            <w:r w:rsidRPr="006424F1">
              <w:rPr>
                <w:sz w:val="18"/>
                <w:szCs w:val="18"/>
              </w:rPr>
              <w:t>29</w:t>
            </w:r>
          </w:p>
        </w:tc>
        <w:tc>
          <w:tcPr>
            <w:tcW w:w="168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1802A9AC" w14:textId="77777777" w:rsidR="00411526" w:rsidRPr="006424F1" w:rsidRDefault="00000000">
            <w:pPr>
              <w:jc w:val="center"/>
            </w:pPr>
            <w:r w:rsidRPr="006424F1">
              <w:rPr>
                <w:sz w:val="18"/>
                <w:szCs w:val="18"/>
              </w:rPr>
              <w:t>75.9%</w:t>
            </w:r>
          </w:p>
        </w:tc>
      </w:tr>
      <w:tr w:rsidR="006424F1" w:rsidRPr="006424F1" w14:paraId="271F272A" w14:textId="77777777">
        <w:tc>
          <w:tcPr>
            <w:tcW w:w="14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5791AFE" w14:textId="77777777" w:rsidR="00411526" w:rsidRPr="006424F1" w:rsidRDefault="00000000">
            <w:r w:rsidRPr="006424F1">
              <w:rPr>
                <w:sz w:val="18"/>
                <w:szCs w:val="18"/>
              </w:rPr>
              <w:t>2017</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20D330D" w14:textId="77777777" w:rsidR="00411526" w:rsidRPr="006424F1" w:rsidRDefault="00000000">
            <w:pPr>
              <w:jc w:val="center"/>
            </w:pPr>
            <w:r w:rsidRPr="006424F1">
              <w:rPr>
                <w:sz w:val="18"/>
                <w:szCs w:val="18"/>
              </w:rPr>
              <w:t>5</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F6C5D14" w14:textId="77777777" w:rsidR="00411526" w:rsidRPr="006424F1" w:rsidRDefault="00000000">
            <w:pPr>
              <w:jc w:val="center"/>
            </w:pPr>
            <w:r w:rsidRPr="006424F1">
              <w:rPr>
                <w:sz w:val="18"/>
                <w:szCs w:val="18"/>
              </w:rPr>
              <w:t>12</w:t>
            </w:r>
          </w:p>
        </w:tc>
        <w:tc>
          <w:tcPr>
            <w:tcW w:w="14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B3B9C8F" w14:textId="77777777" w:rsidR="00411526" w:rsidRPr="006424F1" w:rsidRDefault="00000000">
            <w:pPr>
              <w:jc w:val="center"/>
            </w:pPr>
            <w:r w:rsidRPr="006424F1">
              <w:rPr>
                <w:sz w:val="18"/>
                <w:szCs w:val="18"/>
              </w:rPr>
              <w:t>17</w:t>
            </w:r>
          </w:p>
        </w:tc>
        <w:tc>
          <w:tcPr>
            <w:tcW w:w="1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8F2010C" w14:textId="77777777" w:rsidR="00411526" w:rsidRPr="006424F1" w:rsidRDefault="00000000">
            <w:pPr>
              <w:jc w:val="center"/>
            </w:pPr>
            <w:r w:rsidRPr="006424F1">
              <w:rPr>
                <w:sz w:val="18"/>
                <w:szCs w:val="18"/>
              </w:rPr>
              <w:t>70.6%</w:t>
            </w:r>
          </w:p>
        </w:tc>
      </w:tr>
      <w:tr w:rsidR="006424F1" w:rsidRPr="006424F1" w14:paraId="48276291" w14:textId="77777777">
        <w:tc>
          <w:tcPr>
            <w:tcW w:w="144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712E4F1F" w14:textId="77777777" w:rsidR="00411526" w:rsidRPr="006424F1" w:rsidRDefault="00000000">
            <w:r w:rsidRPr="006424F1">
              <w:rPr>
                <w:sz w:val="18"/>
                <w:szCs w:val="18"/>
              </w:rPr>
              <w:t>2018</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189E4270" w14:textId="77777777" w:rsidR="00411526" w:rsidRPr="006424F1" w:rsidRDefault="00000000">
            <w:pPr>
              <w:jc w:val="center"/>
            </w:pPr>
            <w:r w:rsidRPr="006424F1">
              <w:rPr>
                <w:sz w:val="18"/>
                <w:szCs w:val="18"/>
              </w:rPr>
              <w:t>6</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0A678501" w14:textId="77777777" w:rsidR="00411526" w:rsidRPr="006424F1" w:rsidRDefault="00000000">
            <w:pPr>
              <w:jc w:val="center"/>
            </w:pPr>
            <w:r w:rsidRPr="006424F1">
              <w:rPr>
                <w:sz w:val="18"/>
                <w:szCs w:val="18"/>
              </w:rPr>
              <w:t>10</w:t>
            </w:r>
          </w:p>
        </w:tc>
        <w:tc>
          <w:tcPr>
            <w:tcW w:w="144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0662153" w14:textId="77777777" w:rsidR="00411526" w:rsidRPr="006424F1" w:rsidRDefault="00000000">
            <w:pPr>
              <w:jc w:val="center"/>
            </w:pPr>
            <w:r w:rsidRPr="006424F1">
              <w:rPr>
                <w:sz w:val="18"/>
                <w:szCs w:val="18"/>
              </w:rPr>
              <w:t>16</w:t>
            </w:r>
          </w:p>
        </w:tc>
        <w:tc>
          <w:tcPr>
            <w:tcW w:w="168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29193C34" w14:textId="77777777" w:rsidR="00411526" w:rsidRPr="006424F1" w:rsidRDefault="00000000">
            <w:pPr>
              <w:jc w:val="center"/>
            </w:pPr>
            <w:r w:rsidRPr="006424F1">
              <w:rPr>
                <w:sz w:val="18"/>
                <w:szCs w:val="18"/>
              </w:rPr>
              <w:t>62.5%</w:t>
            </w:r>
          </w:p>
        </w:tc>
      </w:tr>
      <w:tr w:rsidR="006424F1" w:rsidRPr="006424F1" w14:paraId="6860875A" w14:textId="77777777">
        <w:tc>
          <w:tcPr>
            <w:tcW w:w="14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9FD400D" w14:textId="77777777" w:rsidR="00411526" w:rsidRPr="006424F1" w:rsidRDefault="00000000">
            <w:r w:rsidRPr="006424F1">
              <w:rPr>
                <w:sz w:val="18"/>
                <w:szCs w:val="18"/>
              </w:rPr>
              <w:t>2019</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38EF15C" w14:textId="77777777" w:rsidR="00411526" w:rsidRPr="006424F1" w:rsidRDefault="00000000">
            <w:pPr>
              <w:jc w:val="center"/>
            </w:pPr>
            <w:r w:rsidRPr="006424F1">
              <w:rPr>
                <w:sz w:val="18"/>
                <w:szCs w:val="18"/>
              </w:rPr>
              <w:t>1</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DCE50EE" w14:textId="77777777" w:rsidR="00411526" w:rsidRPr="006424F1" w:rsidRDefault="00000000">
            <w:pPr>
              <w:jc w:val="center"/>
            </w:pPr>
            <w:r w:rsidRPr="006424F1">
              <w:rPr>
                <w:sz w:val="18"/>
                <w:szCs w:val="18"/>
              </w:rPr>
              <w:t>6</w:t>
            </w:r>
          </w:p>
        </w:tc>
        <w:tc>
          <w:tcPr>
            <w:tcW w:w="14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F0393B2" w14:textId="77777777" w:rsidR="00411526" w:rsidRPr="006424F1" w:rsidRDefault="00000000">
            <w:pPr>
              <w:jc w:val="center"/>
            </w:pPr>
            <w:r w:rsidRPr="006424F1">
              <w:rPr>
                <w:sz w:val="18"/>
                <w:szCs w:val="18"/>
              </w:rPr>
              <w:t>7</w:t>
            </w:r>
          </w:p>
        </w:tc>
        <w:tc>
          <w:tcPr>
            <w:tcW w:w="1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74620AE" w14:textId="77777777" w:rsidR="00411526" w:rsidRPr="006424F1" w:rsidRDefault="00000000">
            <w:pPr>
              <w:jc w:val="center"/>
            </w:pPr>
            <w:r w:rsidRPr="006424F1">
              <w:rPr>
                <w:sz w:val="18"/>
                <w:szCs w:val="18"/>
              </w:rPr>
              <w:t>88.9%</w:t>
            </w:r>
          </w:p>
        </w:tc>
      </w:tr>
      <w:tr w:rsidR="006424F1" w:rsidRPr="006424F1" w14:paraId="697352C6" w14:textId="77777777">
        <w:tc>
          <w:tcPr>
            <w:tcW w:w="144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5A358739" w14:textId="77777777" w:rsidR="00411526" w:rsidRPr="006424F1" w:rsidRDefault="00000000">
            <w:r w:rsidRPr="006424F1">
              <w:rPr>
                <w:sz w:val="18"/>
                <w:szCs w:val="18"/>
              </w:rPr>
              <w:t>2020</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52917564" w14:textId="77777777" w:rsidR="00411526" w:rsidRPr="006424F1" w:rsidRDefault="00000000">
            <w:pPr>
              <w:jc w:val="center"/>
            </w:pPr>
            <w:r w:rsidRPr="006424F1">
              <w:rPr>
                <w:sz w:val="18"/>
                <w:szCs w:val="18"/>
              </w:rPr>
              <w:t>0</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31515572" w14:textId="77777777" w:rsidR="00411526" w:rsidRPr="006424F1" w:rsidRDefault="00000000">
            <w:pPr>
              <w:jc w:val="center"/>
            </w:pPr>
            <w:r w:rsidRPr="006424F1">
              <w:rPr>
                <w:sz w:val="18"/>
                <w:szCs w:val="18"/>
              </w:rPr>
              <w:t>7</w:t>
            </w:r>
          </w:p>
        </w:tc>
        <w:tc>
          <w:tcPr>
            <w:tcW w:w="144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1847C145" w14:textId="77777777" w:rsidR="00411526" w:rsidRPr="006424F1" w:rsidRDefault="00000000">
            <w:pPr>
              <w:jc w:val="center"/>
            </w:pPr>
            <w:r w:rsidRPr="006424F1">
              <w:rPr>
                <w:sz w:val="18"/>
                <w:szCs w:val="18"/>
              </w:rPr>
              <w:t>7</w:t>
            </w:r>
          </w:p>
        </w:tc>
        <w:tc>
          <w:tcPr>
            <w:tcW w:w="168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13CE3927" w14:textId="77777777" w:rsidR="00411526" w:rsidRPr="006424F1" w:rsidRDefault="00000000">
            <w:pPr>
              <w:jc w:val="center"/>
            </w:pPr>
            <w:r w:rsidRPr="006424F1">
              <w:rPr>
                <w:sz w:val="18"/>
                <w:szCs w:val="18"/>
              </w:rPr>
              <w:t>100.0%</w:t>
            </w:r>
          </w:p>
        </w:tc>
      </w:tr>
      <w:tr w:rsidR="006424F1" w:rsidRPr="006424F1" w14:paraId="07F10DBE" w14:textId="77777777">
        <w:tc>
          <w:tcPr>
            <w:tcW w:w="14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83B6C52" w14:textId="77777777" w:rsidR="00411526" w:rsidRPr="006424F1" w:rsidRDefault="00000000">
            <w:r w:rsidRPr="006424F1">
              <w:rPr>
                <w:sz w:val="18"/>
                <w:szCs w:val="18"/>
              </w:rPr>
              <w:t>2021</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AB738F6" w14:textId="77777777" w:rsidR="00411526" w:rsidRPr="006424F1" w:rsidRDefault="00000000">
            <w:pPr>
              <w:jc w:val="center"/>
            </w:pPr>
            <w:r w:rsidRPr="006424F1">
              <w:rPr>
                <w:sz w:val="18"/>
                <w:szCs w:val="18"/>
              </w:rPr>
              <w:t>0</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21137E5" w14:textId="77777777" w:rsidR="00411526" w:rsidRPr="006424F1" w:rsidRDefault="00000000">
            <w:pPr>
              <w:jc w:val="center"/>
            </w:pPr>
            <w:r w:rsidRPr="006424F1">
              <w:rPr>
                <w:sz w:val="18"/>
                <w:szCs w:val="18"/>
              </w:rPr>
              <w:t>13</w:t>
            </w:r>
          </w:p>
        </w:tc>
        <w:tc>
          <w:tcPr>
            <w:tcW w:w="14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99A0FB4" w14:textId="77777777" w:rsidR="00411526" w:rsidRPr="006424F1" w:rsidRDefault="00000000">
            <w:pPr>
              <w:jc w:val="center"/>
            </w:pPr>
            <w:r w:rsidRPr="006424F1">
              <w:rPr>
                <w:sz w:val="18"/>
                <w:szCs w:val="18"/>
              </w:rPr>
              <w:t>13</w:t>
            </w:r>
          </w:p>
        </w:tc>
        <w:tc>
          <w:tcPr>
            <w:tcW w:w="1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659391D" w14:textId="77777777" w:rsidR="00411526" w:rsidRPr="006424F1" w:rsidRDefault="00000000">
            <w:pPr>
              <w:jc w:val="center"/>
            </w:pPr>
            <w:r w:rsidRPr="006424F1">
              <w:rPr>
                <w:sz w:val="18"/>
                <w:szCs w:val="18"/>
              </w:rPr>
              <w:t>100.0%</w:t>
            </w:r>
          </w:p>
        </w:tc>
      </w:tr>
      <w:tr w:rsidR="006424F1" w:rsidRPr="006424F1" w14:paraId="0CBACF94" w14:textId="77777777">
        <w:tc>
          <w:tcPr>
            <w:tcW w:w="144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5A8DD55" w14:textId="77777777" w:rsidR="00411526" w:rsidRPr="006424F1" w:rsidRDefault="00000000">
            <w:r w:rsidRPr="006424F1">
              <w:rPr>
                <w:sz w:val="18"/>
                <w:szCs w:val="18"/>
              </w:rPr>
              <w:t>2022</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7A3FDF44" w14:textId="77777777" w:rsidR="00411526" w:rsidRPr="006424F1" w:rsidRDefault="00000000">
            <w:pPr>
              <w:jc w:val="center"/>
            </w:pPr>
            <w:r w:rsidRPr="006424F1">
              <w:rPr>
                <w:sz w:val="18"/>
                <w:szCs w:val="18"/>
              </w:rPr>
              <w:t>0</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7F65284A" w14:textId="77777777" w:rsidR="00411526" w:rsidRPr="006424F1" w:rsidRDefault="00000000">
            <w:pPr>
              <w:jc w:val="center"/>
            </w:pPr>
            <w:r w:rsidRPr="006424F1">
              <w:rPr>
                <w:sz w:val="18"/>
                <w:szCs w:val="18"/>
              </w:rPr>
              <w:t>5</w:t>
            </w:r>
          </w:p>
        </w:tc>
        <w:tc>
          <w:tcPr>
            <w:tcW w:w="144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66C790FF" w14:textId="77777777" w:rsidR="00411526" w:rsidRPr="006424F1" w:rsidRDefault="00000000">
            <w:pPr>
              <w:jc w:val="center"/>
            </w:pPr>
            <w:r w:rsidRPr="006424F1">
              <w:rPr>
                <w:sz w:val="18"/>
                <w:szCs w:val="18"/>
              </w:rPr>
              <w:t>5</w:t>
            </w:r>
          </w:p>
        </w:tc>
        <w:tc>
          <w:tcPr>
            <w:tcW w:w="168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1112790E" w14:textId="77777777" w:rsidR="00411526" w:rsidRPr="006424F1" w:rsidRDefault="00000000">
            <w:pPr>
              <w:jc w:val="center"/>
            </w:pPr>
            <w:r w:rsidRPr="006424F1">
              <w:rPr>
                <w:sz w:val="18"/>
                <w:szCs w:val="18"/>
              </w:rPr>
              <w:t>100.0%</w:t>
            </w:r>
          </w:p>
        </w:tc>
      </w:tr>
      <w:tr w:rsidR="006424F1" w:rsidRPr="006424F1" w14:paraId="4D93B63B" w14:textId="77777777">
        <w:tc>
          <w:tcPr>
            <w:tcW w:w="14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5BA0ACC" w14:textId="77777777" w:rsidR="00411526" w:rsidRPr="006424F1" w:rsidRDefault="00000000">
            <w:r w:rsidRPr="006424F1">
              <w:rPr>
                <w:sz w:val="18"/>
                <w:szCs w:val="18"/>
              </w:rPr>
              <w:t>2023</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D3D307D" w14:textId="77777777" w:rsidR="00411526" w:rsidRPr="006424F1" w:rsidRDefault="00000000">
            <w:pPr>
              <w:jc w:val="center"/>
            </w:pPr>
            <w:r w:rsidRPr="006424F1">
              <w:rPr>
                <w:sz w:val="18"/>
                <w:szCs w:val="18"/>
              </w:rPr>
              <w:t>0</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F7A1955" w14:textId="77777777" w:rsidR="00411526" w:rsidRPr="006424F1" w:rsidRDefault="00000000">
            <w:pPr>
              <w:jc w:val="center"/>
            </w:pPr>
            <w:r w:rsidRPr="006424F1">
              <w:rPr>
                <w:sz w:val="18"/>
                <w:szCs w:val="18"/>
              </w:rPr>
              <w:t>8</w:t>
            </w:r>
          </w:p>
        </w:tc>
        <w:tc>
          <w:tcPr>
            <w:tcW w:w="14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A2A9756" w14:textId="77777777" w:rsidR="00411526" w:rsidRPr="006424F1" w:rsidRDefault="00000000">
            <w:pPr>
              <w:jc w:val="center"/>
            </w:pPr>
            <w:r w:rsidRPr="006424F1">
              <w:rPr>
                <w:sz w:val="18"/>
                <w:szCs w:val="18"/>
              </w:rPr>
              <w:t>8</w:t>
            </w:r>
          </w:p>
        </w:tc>
        <w:tc>
          <w:tcPr>
            <w:tcW w:w="1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EFCA6B1" w14:textId="77777777" w:rsidR="00411526" w:rsidRPr="006424F1" w:rsidRDefault="00000000">
            <w:pPr>
              <w:jc w:val="center"/>
            </w:pPr>
            <w:r w:rsidRPr="006424F1">
              <w:rPr>
                <w:sz w:val="18"/>
                <w:szCs w:val="18"/>
              </w:rPr>
              <w:t>100.0%</w:t>
            </w:r>
          </w:p>
        </w:tc>
      </w:tr>
      <w:tr w:rsidR="006424F1" w:rsidRPr="006424F1" w14:paraId="52315A71" w14:textId="77777777">
        <w:tc>
          <w:tcPr>
            <w:tcW w:w="144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36C2DEC9" w14:textId="77777777" w:rsidR="00411526" w:rsidRPr="006424F1" w:rsidRDefault="00000000">
            <w:r w:rsidRPr="006424F1">
              <w:rPr>
                <w:sz w:val="18"/>
                <w:szCs w:val="18"/>
              </w:rPr>
              <w:t>2024</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6CE98754" w14:textId="77777777" w:rsidR="00411526" w:rsidRPr="006424F1" w:rsidRDefault="00000000">
            <w:pPr>
              <w:jc w:val="center"/>
            </w:pPr>
            <w:r w:rsidRPr="006424F1">
              <w:rPr>
                <w:sz w:val="18"/>
                <w:szCs w:val="18"/>
              </w:rPr>
              <w:t>0</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55F99833" w14:textId="77777777" w:rsidR="00411526" w:rsidRPr="006424F1" w:rsidRDefault="00000000">
            <w:pPr>
              <w:jc w:val="center"/>
            </w:pPr>
            <w:r w:rsidRPr="006424F1">
              <w:rPr>
                <w:sz w:val="18"/>
                <w:szCs w:val="18"/>
              </w:rPr>
              <w:t>4</w:t>
            </w:r>
          </w:p>
        </w:tc>
        <w:tc>
          <w:tcPr>
            <w:tcW w:w="144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6350D1F0" w14:textId="77777777" w:rsidR="00411526" w:rsidRPr="006424F1" w:rsidRDefault="00000000">
            <w:pPr>
              <w:jc w:val="center"/>
            </w:pPr>
            <w:r w:rsidRPr="006424F1">
              <w:rPr>
                <w:sz w:val="18"/>
                <w:szCs w:val="18"/>
              </w:rPr>
              <w:t>4</w:t>
            </w:r>
          </w:p>
        </w:tc>
        <w:tc>
          <w:tcPr>
            <w:tcW w:w="168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2E92D63B" w14:textId="77777777" w:rsidR="00411526" w:rsidRPr="006424F1" w:rsidRDefault="00000000">
            <w:pPr>
              <w:jc w:val="center"/>
            </w:pPr>
            <w:r w:rsidRPr="006424F1">
              <w:rPr>
                <w:sz w:val="18"/>
                <w:szCs w:val="18"/>
              </w:rPr>
              <w:t>100.0%</w:t>
            </w:r>
          </w:p>
        </w:tc>
      </w:tr>
      <w:tr w:rsidR="006424F1" w:rsidRPr="006424F1" w14:paraId="4DA2A719" w14:textId="77777777">
        <w:tc>
          <w:tcPr>
            <w:tcW w:w="14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A67860E" w14:textId="77777777" w:rsidR="00411526" w:rsidRPr="006424F1" w:rsidRDefault="00000000">
            <w:r w:rsidRPr="006424F1">
              <w:rPr>
                <w:sz w:val="18"/>
                <w:szCs w:val="18"/>
              </w:rPr>
              <w:t>2025</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08E9B3C" w14:textId="77777777" w:rsidR="00411526" w:rsidRPr="006424F1" w:rsidRDefault="00000000">
            <w:pPr>
              <w:jc w:val="center"/>
            </w:pPr>
            <w:r w:rsidRPr="006424F1">
              <w:rPr>
                <w:sz w:val="18"/>
                <w:szCs w:val="18"/>
              </w:rPr>
              <w:t>0</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9E5FF98" w14:textId="77777777" w:rsidR="00411526" w:rsidRPr="006424F1" w:rsidRDefault="00000000">
            <w:pPr>
              <w:jc w:val="center"/>
            </w:pPr>
            <w:r w:rsidRPr="006424F1">
              <w:rPr>
                <w:sz w:val="18"/>
                <w:szCs w:val="18"/>
              </w:rPr>
              <w:t>17</w:t>
            </w:r>
          </w:p>
        </w:tc>
        <w:tc>
          <w:tcPr>
            <w:tcW w:w="14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78B7045" w14:textId="77777777" w:rsidR="00411526" w:rsidRPr="006424F1" w:rsidRDefault="00000000">
            <w:pPr>
              <w:jc w:val="center"/>
            </w:pPr>
            <w:r w:rsidRPr="006424F1">
              <w:rPr>
                <w:sz w:val="18"/>
                <w:szCs w:val="18"/>
              </w:rPr>
              <w:t>17</w:t>
            </w:r>
          </w:p>
        </w:tc>
        <w:tc>
          <w:tcPr>
            <w:tcW w:w="1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B5EC470" w14:textId="77777777" w:rsidR="00411526" w:rsidRPr="006424F1" w:rsidRDefault="00000000">
            <w:pPr>
              <w:jc w:val="center"/>
            </w:pPr>
            <w:r w:rsidRPr="006424F1">
              <w:rPr>
                <w:sz w:val="18"/>
                <w:szCs w:val="18"/>
              </w:rPr>
              <w:t>100.0%</w:t>
            </w:r>
          </w:p>
        </w:tc>
      </w:tr>
      <w:tr w:rsidR="006424F1" w:rsidRPr="006424F1" w14:paraId="40DB89A8" w14:textId="77777777">
        <w:tc>
          <w:tcPr>
            <w:tcW w:w="14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3F13C93" w14:textId="77777777" w:rsidR="00411526" w:rsidRPr="006424F1" w:rsidRDefault="00000000">
            <w:r w:rsidRPr="006424F1">
              <w:rPr>
                <w:sz w:val="18"/>
                <w:szCs w:val="18"/>
              </w:rPr>
              <w:t>2026</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8ADD315" w14:textId="77777777" w:rsidR="00411526" w:rsidRPr="006424F1" w:rsidRDefault="00000000">
            <w:pPr>
              <w:jc w:val="center"/>
            </w:pPr>
            <w:r w:rsidRPr="006424F1">
              <w:rPr>
                <w:sz w:val="18"/>
                <w:szCs w:val="18"/>
              </w:rPr>
              <w:t>0</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F8793E4" w14:textId="77777777" w:rsidR="00411526" w:rsidRPr="006424F1" w:rsidRDefault="00000000">
            <w:pPr>
              <w:jc w:val="center"/>
            </w:pPr>
            <w:r w:rsidRPr="006424F1">
              <w:rPr>
                <w:sz w:val="18"/>
                <w:szCs w:val="18"/>
              </w:rPr>
              <w:t>2</w:t>
            </w:r>
          </w:p>
        </w:tc>
        <w:tc>
          <w:tcPr>
            <w:tcW w:w="14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F413B56" w14:textId="77777777" w:rsidR="00411526" w:rsidRPr="006424F1" w:rsidRDefault="00000000">
            <w:pPr>
              <w:jc w:val="center"/>
            </w:pPr>
            <w:r w:rsidRPr="006424F1">
              <w:rPr>
                <w:sz w:val="18"/>
                <w:szCs w:val="18"/>
              </w:rPr>
              <w:t>2</w:t>
            </w:r>
          </w:p>
        </w:tc>
        <w:tc>
          <w:tcPr>
            <w:tcW w:w="1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48E4435" w14:textId="77777777" w:rsidR="00411526" w:rsidRPr="006424F1" w:rsidRDefault="00000000">
            <w:pPr>
              <w:jc w:val="center"/>
            </w:pPr>
            <w:r w:rsidRPr="006424F1">
              <w:rPr>
                <w:sz w:val="18"/>
                <w:szCs w:val="18"/>
              </w:rPr>
              <w:t>100.0%</w:t>
            </w:r>
          </w:p>
        </w:tc>
      </w:tr>
      <w:tr w:rsidR="006424F1" w:rsidRPr="006424F1" w14:paraId="4A6BC75E" w14:textId="77777777">
        <w:tc>
          <w:tcPr>
            <w:tcW w:w="144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13CDB28" w14:textId="77777777" w:rsidR="00411526" w:rsidRPr="006424F1" w:rsidRDefault="00000000">
            <w:pPr>
              <w:jc w:val="center"/>
            </w:pPr>
            <w:r w:rsidRPr="006424F1">
              <w:rPr>
                <w:b/>
                <w:bCs/>
                <w:sz w:val="20"/>
                <w:szCs w:val="20"/>
              </w:rPr>
              <w:t>Total</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56B0614D" w14:textId="77777777" w:rsidR="00411526" w:rsidRPr="006424F1" w:rsidRDefault="00000000">
            <w:pPr>
              <w:jc w:val="center"/>
            </w:pPr>
            <w:r w:rsidRPr="006424F1">
              <w:rPr>
                <w:b/>
                <w:bCs/>
                <w:sz w:val="20"/>
                <w:szCs w:val="20"/>
              </w:rPr>
              <w:t>44</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791A3A9" w14:textId="77777777" w:rsidR="00411526" w:rsidRPr="006424F1" w:rsidRDefault="00000000">
            <w:pPr>
              <w:jc w:val="center"/>
            </w:pPr>
            <w:r w:rsidRPr="006424F1">
              <w:rPr>
                <w:b/>
                <w:bCs/>
                <w:sz w:val="20"/>
                <w:szCs w:val="20"/>
              </w:rPr>
              <w:t>191</w:t>
            </w:r>
          </w:p>
        </w:tc>
        <w:tc>
          <w:tcPr>
            <w:tcW w:w="144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39405852" w14:textId="77777777" w:rsidR="00411526" w:rsidRPr="006424F1" w:rsidRDefault="00000000">
            <w:pPr>
              <w:jc w:val="center"/>
            </w:pPr>
            <w:r w:rsidRPr="006424F1">
              <w:rPr>
                <w:b/>
                <w:bCs/>
                <w:sz w:val="20"/>
                <w:szCs w:val="20"/>
              </w:rPr>
              <w:t>235</w:t>
            </w:r>
          </w:p>
        </w:tc>
        <w:tc>
          <w:tcPr>
            <w:tcW w:w="168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74891807" w14:textId="77777777" w:rsidR="00411526" w:rsidRPr="006424F1" w:rsidRDefault="00000000">
            <w:pPr>
              <w:jc w:val="center"/>
            </w:pPr>
            <w:r w:rsidRPr="006424F1">
              <w:rPr>
                <w:b/>
                <w:bCs/>
                <w:sz w:val="20"/>
                <w:szCs w:val="20"/>
              </w:rPr>
              <w:t>81.4%</w:t>
            </w:r>
          </w:p>
        </w:tc>
      </w:tr>
    </w:tbl>
    <w:p w14:paraId="23CC40AF" w14:textId="78176E89" w:rsidR="00411526" w:rsidRPr="006424F1" w:rsidRDefault="00000000" w:rsidP="00E26450">
      <w:pPr>
        <w:spacing w:before="60" w:after="160"/>
      </w:pPr>
      <w:r w:rsidRPr="006424F1">
        <w:rPr>
          <w:i/>
          <w:iCs/>
          <w:sz w:val="18"/>
          <w:szCs w:val="18"/>
        </w:rPr>
        <w:t>Fuente: Global Trade Alert, datos a marzo de 2026. Elabora</w:t>
      </w:r>
      <w:r w:rsidR="00E26450">
        <w:rPr>
          <w:i/>
          <w:iCs/>
          <w:sz w:val="18"/>
          <w:szCs w:val="18"/>
        </w:rPr>
        <w:t>do por DASA</w:t>
      </w:r>
      <w:r w:rsidRPr="006424F1">
        <w:rPr>
          <w:i/>
          <w:iCs/>
          <w:sz w:val="18"/>
          <w:szCs w:val="18"/>
        </w:rPr>
        <w:t>.</w:t>
      </w:r>
    </w:p>
    <w:p w14:paraId="69661635" w14:textId="23FFD838" w:rsidR="00411526" w:rsidRPr="006424F1" w:rsidRDefault="00000000" w:rsidP="006424F1">
      <w:pPr>
        <w:spacing w:before="100" w:after="100" w:line="276" w:lineRule="auto"/>
        <w:jc w:val="both"/>
      </w:pPr>
      <w:r w:rsidRPr="006424F1">
        <w:lastRenderedPageBreak/>
        <w:t>Este patrón tiene implicaciones analíticas directas: cada vez que una autoridad investigadora en una jurisdicción distinta realizó un análisis de sunset review, la conclusión mayoritaria fue que la supresión de la medida conduciría probablemente a la continuación o recurrencia del dumping. La convergencia de conclusiones entre autoridades independientes de distintos países refuerza la solidez de la evidencia y no puede ser atribuida a factores idiosincráticos de un mercado particular.</w:t>
      </w:r>
    </w:p>
    <w:p w14:paraId="13AF122A" w14:textId="29169810" w:rsidR="00411526" w:rsidRPr="006424F1" w:rsidRDefault="00000000" w:rsidP="006424F1">
      <w:pPr>
        <w:spacing w:before="100" w:after="100" w:line="276" w:lineRule="auto"/>
        <w:jc w:val="both"/>
      </w:pPr>
      <w:r w:rsidRPr="006424F1">
        <w:t>En términos temporales, la presencia de China en estas medidas ha sido persistente. En la mayoría de los años analizados, las medidas dirigidas contra China representan al menos el 50% de todas las medidas implementadas en el sector; en varios períodos recientes esta proporción alcanza niveles considerablemente mayores (68% en 2025, 100% en 2026).</w:t>
      </w:r>
    </w:p>
    <w:p w14:paraId="3E58A402" w14:textId="77777777" w:rsidR="00411526" w:rsidRPr="006424F1" w:rsidRDefault="00000000">
      <w:pPr>
        <w:pStyle w:val="Heading2"/>
        <w:rPr>
          <w:color w:val="auto"/>
          <w:lang w:val="es-DO"/>
        </w:rPr>
      </w:pPr>
      <w:r w:rsidRPr="006424F1">
        <w:rPr>
          <w:color w:val="auto"/>
          <w:lang w:val="es-DO"/>
        </w:rPr>
        <w:t>B. Medidas específicas sobre varillas de acero</w:t>
      </w:r>
    </w:p>
    <w:p w14:paraId="6998B6E4" w14:textId="77777777" w:rsidR="00411526" w:rsidRPr="006424F1" w:rsidRDefault="00000000">
      <w:pPr>
        <w:spacing w:before="100" w:after="100" w:line="276" w:lineRule="auto"/>
        <w:jc w:val="both"/>
      </w:pPr>
      <w:r w:rsidRPr="006424F1">
        <w:t>El patrón descrito se confirma con particular claridad al analizar las medidas específicamente relacionadas con el producto objeto de la presente revisión. Según datos de Global Trade Alert, existen 390 intervenciones de protección que afectan a China e incluyen específicamente varillas de acero (HS 721420). De estas, 248 continúan vigentes, lo que refleja que la preocupación de las autoridades investigadoras respecto a las condiciones de competencia en este segmento de producto concreto persiste en el tiempo y en múltiples mercados.</w:t>
      </w:r>
    </w:p>
    <w:p w14:paraId="27D1CE80" w14:textId="007305E1" w:rsidR="00411526" w:rsidRPr="006424F1" w:rsidRDefault="00000000" w:rsidP="006424F1">
      <w:pPr>
        <w:spacing w:before="100" w:after="100" w:line="276" w:lineRule="auto"/>
        <w:jc w:val="both"/>
      </w:pPr>
      <w:r w:rsidRPr="006424F1">
        <w:t xml:space="preserve">A </w:t>
      </w:r>
      <w:r w:rsidR="006424F1" w:rsidRPr="006424F1">
        <w:t>continuación,</w:t>
      </w:r>
      <w:r w:rsidRPr="006424F1">
        <w:t xml:space="preserve"> se presentan siete ejemplos de medidas antidumping específicas sobre varillas de acero originarias de China que han sido renovadas o impuestas por distintas jurisdicciones, incluyendo la propia República Dominicana:</w:t>
      </w:r>
    </w:p>
    <w:p w14:paraId="36EBBD12" w14:textId="77777777" w:rsidR="00411526" w:rsidRPr="006424F1" w:rsidRDefault="00000000">
      <w:pPr>
        <w:spacing w:before="160" w:after="60"/>
        <w:jc w:val="center"/>
      </w:pPr>
      <w:r w:rsidRPr="006424F1">
        <w:rPr>
          <w:b/>
          <w:bCs/>
          <w:sz w:val="20"/>
          <w:szCs w:val="20"/>
        </w:rPr>
        <w:t>Tabla 3. Medidas antidumping sobre varillas de acero (HS 721420) originarias de China. Jurisdicciones seleccionadas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4200"/>
        <w:gridCol w:w="2400"/>
        <w:gridCol w:w="1160"/>
      </w:tblGrid>
      <w:tr w:rsidR="006424F1" w:rsidRPr="006424F1" w14:paraId="11C6A517" w14:textId="77777777">
        <w:trPr>
          <w:tblHeader/>
        </w:trPr>
        <w:tc>
          <w:tcPr>
            <w:tcW w:w="16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0CC13AB4" w14:textId="77777777" w:rsidR="00411526" w:rsidRPr="006424F1" w:rsidRDefault="00000000">
            <w:r w:rsidRPr="006424F1">
              <w:rPr>
                <w:b/>
                <w:bCs/>
                <w:sz w:val="20"/>
                <w:szCs w:val="20"/>
              </w:rPr>
              <w:t>País</w:t>
            </w:r>
          </w:p>
        </w:tc>
        <w:tc>
          <w:tcPr>
            <w:tcW w:w="42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6BF5B2BA" w14:textId="77777777" w:rsidR="00411526" w:rsidRPr="006424F1" w:rsidRDefault="00000000">
            <w:r w:rsidRPr="006424F1">
              <w:rPr>
                <w:b/>
                <w:bCs/>
                <w:sz w:val="20"/>
                <w:szCs w:val="20"/>
              </w:rPr>
              <w:t>Descripción de la medida</w:t>
            </w:r>
          </w:p>
        </w:tc>
        <w:tc>
          <w:tcPr>
            <w:tcW w:w="24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4BD67145" w14:textId="77777777" w:rsidR="00411526" w:rsidRPr="006424F1" w:rsidRDefault="00000000">
            <w:r w:rsidRPr="006424F1">
              <w:rPr>
                <w:b/>
                <w:bCs/>
                <w:sz w:val="20"/>
                <w:szCs w:val="20"/>
              </w:rPr>
              <w:t>Partidas incluidas</w:t>
            </w:r>
          </w:p>
        </w:tc>
        <w:tc>
          <w:tcPr>
            <w:tcW w:w="116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7CC44CE3" w14:textId="77777777" w:rsidR="00411526" w:rsidRPr="006424F1" w:rsidRDefault="00000000">
            <w:pPr>
              <w:jc w:val="center"/>
            </w:pPr>
            <w:r w:rsidRPr="006424F1">
              <w:rPr>
                <w:b/>
                <w:bCs/>
                <w:sz w:val="20"/>
                <w:szCs w:val="20"/>
              </w:rPr>
              <w:t>Fecha</w:t>
            </w:r>
          </w:p>
        </w:tc>
      </w:tr>
      <w:tr w:rsidR="006424F1" w:rsidRPr="006424F1" w14:paraId="0C496189" w14:textId="77777777">
        <w:tc>
          <w:tcPr>
            <w:tcW w:w="16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0CB82A51" w14:textId="77777777" w:rsidR="00411526" w:rsidRPr="006424F1" w:rsidRDefault="00000000">
            <w:r w:rsidRPr="006424F1">
              <w:rPr>
                <w:sz w:val="18"/>
                <w:szCs w:val="18"/>
              </w:rPr>
              <w:t>Canadá</w:t>
            </w:r>
          </w:p>
        </w:tc>
        <w:tc>
          <w:tcPr>
            <w:tcW w:w="42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103C196E" w14:textId="77777777" w:rsidR="00411526" w:rsidRPr="006424F1" w:rsidRDefault="00000000">
            <w:r w:rsidRPr="006424F1">
              <w:rPr>
                <w:sz w:val="18"/>
                <w:szCs w:val="18"/>
              </w:rPr>
              <w:t>Prórroga del derecho antidumping definitivo sobre importaciones de barras de refuerzo corrugadas</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6CA846AF" w14:textId="77777777" w:rsidR="00411526" w:rsidRPr="006424F1" w:rsidRDefault="00000000">
            <w:r w:rsidRPr="006424F1">
              <w:rPr>
                <w:sz w:val="18"/>
                <w:szCs w:val="18"/>
              </w:rPr>
              <w:t>721310, 721420, 721590, 722790, 722830</w:t>
            </w:r>
          </w:p>
        </w:tc>
        <w:tc>
          <w:tcPr>
            <w:tcW w:w="116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0EAC8A7C" w14:textId="77777777" w:rsidR="00411526" w:rsidRPr="006424F1" w:rsidRDefault="00000000">
            <w:pPr>
              <w:jc w:val="center"/>
            </w:pPr>
            <w:r w:rsidRPr="006424F1">
              <w:rPr>
                <w:sz w:val="18"/>
                <w:szCs w:val="18"/>
              </w:rPr>
              <w:t>2014</w:t>
            </w:r>
          </w:p>
        </w:tc>
      </w:tr>
      <w:tr w:rsidR="006424F1" w:rsidRPr="006424F1" w14:paraId="12F9082E" w14:textId="77777777">
        <w:tc>
          <w:tcPr>
            <w:tcW w:w="16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62F77DE" w14:textId="77777777" w:rsidR="00411526" w:rsidRPr="006424F1" w:rsidRDefault="00000000">
            <w:r w:rsidRPr="006424F1">
              <w:rPr>
                <w:sz w:val="18"/>
                <w:szCs w:val="18"/>
              </w:rPr>
              <w:t>Estados Unidos</w:t>
            </w:r>
          </w:p>
        </w:tc>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6167B35" w14:textId="77777777" w:rsidR="00411526" w:rsidRPr="006424F1" w:rsidRDefault="00000000">
            <w:r w:rsidRPr="006424F1">
              <w:rPr>
                <w:sz w:val="18"/>
                <w:szCs w:val="18"/>
              </w:rPr>
              <w:t>Prórroga del derecho antidumping sobre barras de acero para refuerzo de hormigón procedentes de China, entre otros</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78167F5" w14:textId="77777777" w:rsidR="00411526" w:rsidRPr="006424F1" w:rsidRDefault="00000000">
            <w:r w:rsidRPr="006424F1">
              <w:rPr>
                <w:sz w:val="18"/>
                <w:szCs w:val="18"/>
              </w:rPr>
              <w:t>721420, 722211, 722230, 722820, 722830, 722860</w:t>
            </w:r>
          </w:p>
        </w:tc>
        <w:tc>
          <w:tcPr>
            <w:tcW w:w="11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A7E1BB0" w14:textId="77777777" w:rsidR="00411526" w:rsidRPr="006424F1" w:rsidRDefault="00000000">
            <w:pPr>
              <w:jc w:val="center"/>
            </w:pPr>
            <w:r w:rsidRPr="006424F1">
              <w:rPr>
                <w:sz w:val="18"/>
                <w:szCs w:val="18"/>
              </w:rPr>
              <w:t>2012</w:t>
            </w:r>
          </w:p>
        </w:tc>
      </w:tr>
      <w:tr w:rsidR="006424F1" w:rsidRPr="006424F1" w14:paraId="79B18BDF" w14:textId="77777777">
        <w:tc>
          <w:tcPr>
            <w:tcW w:w="16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76BB8CFF" w14:textId="77777777" w:rsidR="00411526" w:rsidRPr="006424F1" w:rsidRDefault="00000000">
            <w:r w:rsidRPr="006424F1">
              <w:rPr>
                <w:sz w:val="18"/>
                <w:szCs w:val="18"/>
              </w:rPr>
              <w:t>Reino Unido</w:t>
            </w:r>
          </w:p>
        </w:tc>
        <w:tc>
          <w:tcPr>
            <w:tcW w:w="42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141D0CFF" w14:textId="77777777" w:rsidR="00411526" w:rsidRPr="006424F1" w:rsidRDefault="00000000">
            <w:r w:rsidRPr="006424F1">
              <w:rPr>
                <w:sz w:val="18"/>
                <w:szCs w:val="18"/>
              </w:rPr>
              <w:t>Derecho antidumping definitivo sobre barras de acero de alto rendimiento para refuerzo de hormigón</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39885DF1" w14:textId="77777777" w:rsidR="00411526" w:rsidRPr="006424F1" w:rsidRDefault="00000000">
            <w:r w:rsidRPr="006424F1">
              <w:rPr>
                <w:sz w:val="18"/>
                <w:szCs w:val="18"/>
              </w:rPr>
              <w:t>721420, 722830</w:t>
            </w:r>
          </w:p>
        </w:tc>
        <w:tc>
          <w:tcPr>
            <w:tcW w:w="116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3F88AF15" w14:textId="77777777" w:rsidR="00411526" w:rsidRPr="006424F1" w:rsidRDefault="00000000">
            <w:pPr>
              <w:jc w:val="center"/>
            </w:pPr>
            <w:r w:rsidRPr="006424F1">
              <w:rPr>
                <w:sz w:val="18"/>
                <w:szCs w:val="18"/>
              </w:rPr>
              <w:t>2021</w:t>
            </w:r>
          </w:p>
        </w:tc>
      </w:tr>
      <w:tr w:rsidR="006424F1" w:rsidRPr="006424F1" w14:paraId="17524EBD" w14:textId="77777777">
        <w:tc>
          <w:tcPr>
            <w:tcW w:w="16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B4FE2A6" w14:textId="77777777" w:rsidR="00411526" w:rsidRPr="006424F1" w:rsidRDefault="00000000">
            <w:r w:rsidRPr="006424F1">
              <w:rPr>
                <w:sz w:val="18"/>
                <w:szCs w:val="18"/>
              </w:rPr>
              <w:t>Egipto</w:t>
            </w:r>
          </w:p>
        </w:tc>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2B6BEDD" w14:textId="77777777" w:rsidR="00411526" w:rsidRPr="006424F1" w:rsidRDefault="00000000">
            <w:r w:rsidRPr="006424F1">
              <w:rPr>
                <w:sz w:val="18"/>
                <w:szCs w:val="18"/>
              </w:rPr>
              <w:t>Prórroga del derecho antidumping sobre barras y alambrón de acero corrugado</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7C505D8" w14:textId="77777777" w:rsidR="00411526" w:rsidRPr="006424F1" w:rsidRDefault="00000000">
            <w:r w:rsidRPr="006424F1">
              <w:rPr>
                <w:sz w:val="18"/>
                <w:szCs w:val="18"/>
              </w:rPr>
              <w:t>721310, 721320, 721410, 721420, 721430, 721491, 721499</w:t>
            </w:r>
          </w:p>
        </w:tc>
        <w:tc>
          <w:tcPr>
            <w:tcW w:w="11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C7DF5FA" w14:textId="77777777" w:rsidR="00411526" w:rsidRPr="006424F1" w:rsidRDefault="00000000">
            <w:pPr>
              <w:jc w:val="center"/>
            </w:pPr>
            <w:r w:rsidRPr="006424F1">
              <w:rPr>
                <w:sz w:val="18"/>
                <w:szCs w:val="18"/>
              </w:rPr>
              <w:t>2016</w:t>
            </w:r>
          </w:p>
        </w:tc>
      </w:tr>
      <w:tr w:rsidR="006424F1" w:rsidRPr="006424F1" w14:paraId="4AD3791C" w14:textId="77777777">
        <w:tc>
          <w:tcPr>
            <w:tcW w:w="16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BA3771C" w14:textId="77777777" w:rsidR="00411526" w:rsidRPr="006424F1" w:rsidRDefault="00000000">
            <w:r w:rsidRPr="006424F1">
              <w:rPr>
                <w:sz w:val="18"/>
                <w:szCs w:val="18"/>
              </w:rPr>
              <w:t>Pakistán</w:t>
            </w:r>
          </w:p>
        </w:tc>
        <w:tc>
          <w:tcPr>
            <w:tcW w:w="42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591D4DD4" w14:textId="77777777" w:rsidR="00411526" w:rsidRPr="006424F1" w:rsidRDefault="00000000">
            <w:r w:rsidRPr="006424F1">
              <w:rPr>
                <w:sz w:val="18"/>
                <w:szCs w:val="18"/>
              </w:rPr>
              <w:t>Derecho antidumping definitivo sobre barras de acero corrugado deformadas para refuerzo de hormigón</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543FA3FE" w14:textId="77777777" w:rsidR="00411526" w:rsidRPr="006424F1" w:rsidRDefault="00000000">
            <w:r w:rsidRPr="006424F1">
              <w:rPr>
                <w:sz w:val="18"/>
                <w:szCs w:val="18"/>
              </w:rPr>
              <w:t>721420, 721430, 721499, 721510, 721550, 721590</w:t>
            </w:r>
          </w:p>
        </w:tc>
        <w:tc>
          <w:tcPr>
            <w:tcW w:w="116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28832948" w14:textId="77777777" w:rsidR="00411526" w:rsidRPr="006424F1" w:rsidRDefault="00000000">
            <w:pPr>
              <w:jc w:val="center"/>
            </w:pPr>
            <w:r w:rsidRPr="006424F1">
              <w:rPr>
                <w:sz w:val="18"/>
                <w:szCs w:val="18"/>
              </w:rPr>
              <w:t>2016</w:t>
            </w:r>
          </w:p>
        </w:tc>
      </w:tr>
      <w:tr w:rsidR="006424F1" w:rsidRPr="006424F1" w14:paraId="636FA4E9" w14:textId="77777777">
        <w:tc>
          <w:tcPr>
            <w:tcW w:w="16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DDA0BBA" w14:textId="77777777" w:rsidR="00411526" w:rsidRPr="006424F1" w:rsidRDefault="00000000">
            <w:r w:rsidRPr="006424F1">
              <w:rPr>
                <w:sz w:val="18"/>
                <w:szCs w:val="18"/>
              </w:rPr>
              <w:t>Rep. Dominicana</w:t>
            </w:r>
          </w:p>
        </w:tc>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100AF45" w14:textId="77777777" w:rsidR="00411526" w:rsidRPr="006424F1" w:rsidRDefault="00000000">
            <w:r w:rsidRPr="006424F1">
              <w:rPr>
                <w:sz w:val="18"/>
                <w:szCs w:val="18"/>
              </w:rPr>
              <w:t>Prórroga del derecho antidumping definitivo sobre determinadas barras o varillas de acero</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250B598" w14:textId="77777777" w:rsidR="00411526" w:rsidRPr="006424F1" w:rsidRDefault="00000000">
            <w:r w:rsidRPr="006424F1">
              <w:rPr>
                <w:sz w:val="18"/>
                <w:szCs w:val="18"/>
              </w:rPr>
              <w:t>721310, 721320, 721410, 721420, 721430, 721491, 721499</w:t>
            </w:r>
          </w:p>
        </w:tc>
        <w:tc>
          <w:tcPr>
            <w:tcW w:w="11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D5365A7" w14:textId="77777777" w:rsidR="00411526" w:rsidRPr="006424F1" w:rsidRDefault="00000000">
            <w:pPr>
              <w:jc w:val="center"/>
            </w:pPr>
            <w:r w:rsidRPr="006424F1">
              <w:rPr>
                <w:sz w:val="18"/>
                <w:szCs w:val="18"/>
              </w:rPr>
              <w:t>2015</w:t>
            </w:r>
          </w:p>
        </w:tc>
      </w:tr>
      <w:tr w:rsidR="006424F1" w:rsidRPr="006424F1" w14:paraId="0255B300" w14:textId="77777777">
        <w:tc>
          <w:tcPr>
            <w:tcW w:w="16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D167867" w14:textId="77777777" w:rsidR="00411526" w:rsidRPr="006424F1" w:rsidRDefault="00000000">
            <w:r w:rsidRPr="006424F1">
              <w:rPr>
                <w:sz w:val="18"/>
                <w:szCs w:val="18"/>
              </w:rPr>
              <w:t>Australia</w:t>
            </w:r>
          </w:p>
        </w:tc>
        <w:tc>
          <w:tcPr>
            <w:tcW w:w="42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7215E7A0" w14:textId="77777777" w:rsidR="00411526" w:rsidRPr="006424F1" w:rsidRDefault="00000000">
            <w:r w:rsidRPr="006424F1">
              <w:rPr>
                <w:sz w:val="18"/>
                <w:szCs w:val="18"/>
              </w:rPr>
              <w:t>Prórroga del derecho antidumping definitivo sobre ciertos tipos de barras de refuerzo de acero</w:t>
            </w:r>
          </w:p>
        </w:tc>
        <w:tc>
          <w:tcPr>
            <w:tcW w:w="24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D63C7A8" w14:textId="77777777" w:rsidR="00411526" w:rsidRPr="006424F1" w:rsidRDefault="00000000">
            <w:r w:rsidRPr="006424F1">
              <w:rPr>
                <w:sz w:val="18"/>
                <w:szCs w:val="18"/>
              </w:rPr>
              <w:t>721310, 721420, 722790, 722830, 722860</w:t>
            </w:r>
          </w:p>
        </w:tc>
        <w:tc>
          <w:tcPr>
            <w:tcW w:w="116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07EF4C7B" w14:textId="77777777" w:rsidR="00411526" w:rsidRPr="006424F1" w:rsidRDefault="00000000">
            <w:pPr>
              <w:jc w:val="center"/>
            </w:pPr>
            <w:r w:rsidRPr="006424F1">
              <w:rPr>
                <w:sz w:val="18"/>
                <w:szCs w:val="18"/>
              </w:rPr>
              <w:t>2015</w:t>
            </w:r>
          </w:p>
        </w:tc>
      </w:tr>
    </w:tbl>
    <w:p w14:paraId="2CC0AFD6" w14:textId="59328C0A" w:rsidR="00411526" w:rsidRPr="006424F1" w:rsidRDefault="00000000" w:rsidP="0004124B">
      <w:pPr>
        <w:spacing w:before="60" w:after="160"/>
      </w:pPr>
      <w:r w:rsidRPr="006424F1">
        <w:rPr>
          <w:i/>
          <w:iCs/>
          <w:sz w:val="18"/>
          <w:szCs w:val="18"/>
        </w:rPr>
        <w:lastRenderedPageBreak/>
        <w:t xml:space="preserve">Fuente: Global Trade Alert / OMC. </w:t>
      </w:r>
      <w:proofErr w:type="gramStart"/>
      <w:r w:rsidRPr="006424F1">
        <w:rPr>
          <w:i/>
          <w:iCs/>
          <w:sz w:val="18"/>
          <w:szCs w:val="18"/>
        </w:rPr>
        <w:t xml:space="preserve">Elaboración </w:t>
      </w:r>
      <w:r w:rsidR="0004124B">
        <w:rPr>
          <w:i/>
          <w:iCs/>
          <w:sz w:val="18"/>
          <w:szCs w:val="18"/>
        </w:rPr>
        <w:t xml:space="preserve"> de</w:t>
      </w:r>
      <w:proofErr w:type="gramEnd"/>
      <w:r w:rsidR="0004124B">
        <w:rPr>
          <w:i/>
          <w:iCs/>
          <w:sz w:val="18"/>
          <w:szCs w:val="18"/>
        </w:rPr>
        <w:t xml:space="preserve"> DASA</w:t>
      </w:r>
      <w:r w:rsidRPr="006424F1">
        <w:rPr>
          <w:i/>
          <w:iCs/>
          <w:sz w:val="18"/>
          <w:szCs w:val="18"/>
        </w:rPr>
        <w:t>.</w:t>
      </w:r>
    </w:p>
    <w:p w14:paraId="1ACA6332" w14:textId="68095567" w:rsidR="00411526" w:rsidRPr="006424F1" w:rsidRDefault="00000000" w:rsidP="006424F1">
      <w:pPr>
        <w:spacing w:before="100" w:after="100" w:line="276" w:lineRule="auto"/>
        <w:jc w:val="both"/>
      </w:pPr>
      <w:r w:rsidRPr="006424F1">
        <w:t>La presencia de la República Dominicana en este listado es relevante: la prórroga del derecho antidumping definitivo evidencia que la propia Comisión de Defensa Comercial concluyó, con base en el análisis de las condiciones imperantes en ese momento, que la supresión de la medida habría resultado en la recurrencia del dumping. Los factores estructurales que fundamentaron esa conclusión (exceso de capacidad, subsidios estatales y orientación exportadora de la industria china) no solo persisten, sino que se han intensificado en el período transcurrido.</w:t>
      </w:r>
    </w:p>
    <w:p w14:paraId="614C2BA3" w14:textId="77777777" w:rsidR="00411526" w:rsidRPr="006424F1" w:rsidRDefault="00000000">
      <w:pPr>
        <w:pStyle w:val="Heading1"/>
        <w:rPr>
          <w:color w:val="auto"/>
          <w:lang w:val="es-DO"/>
        </w:rPr>
      </w:pPr>
      <w:r w:rsidRPr="006424F1">
        <w:rPr>
          <w:color w:val="auto"/>
          <w:lang w:val="es-DO"/>
        </w:rPr>
        <w:t>V. Desvío de Comercio y Expansión hacia el Continente Americano</w:t>
      </w:r>
    </w:p>
    <w:p w14:paraId="4232E814" w14:textId="77777777" w:rsidR="00411526" w:rsidRPr="006424F1" w:rsidRDefault="00000000">
      <w:pPr>
        <w:pStyle w:val="Heading2"/>
        <w:rPr>
          <w:color w:val="auto"/>
          <w:lang w:val="es-DO"/>
        </w:rPr>
      </w:pPr>
      <w:r w:rsidRPr="006424F1">
        <w:rPr>
          <w:color w:val="auto"/>
          <w:lang w:val="es-DO"/>
        </w:rPr>
        <w:t>A. El mecanismo de desvío de comercio en contextos de proliferación de medidas</w:t>
      </w:r>
    </w:p>
    <w:p w14:paraId="35FE1544" w14:textId="1A39988A" w:rsidR="00411526" w:rsidRPr="006424F1" w:rsidRDefault="00000000">
      <w:pPr>
        <w:spacing w:before="100" w:after="100" w:line="276" w:lineRule="auto"/>
        <w:jc w:val="both"/>
      </w:pPr>
      <w:r w:rsidRPr="006424F1">
        <w:t xml:space="preserve">Cuando una jurisdicción impone medidas antidumping, los exportadores afectados tienen incentivos para redirigir sus envíos hacia mercados que carecen de tales restricciones. Este fenómeno, conocido como desvío de comercio, es un riesgo </w:t>
      </w:r>
      <w:r w:rsidR="006424F1">
        <w:t xml:space="preserve">que </w:t>
      </w:r>
      <w:r w:rsidRPr="006424F1">
        <w:t>representa una de las razones por las cuales la evaluación de probabilidad de recurrencia en una jurisdicción específica debe considerar el comportamiento exportador observado en otras regiones.</w:t>
      </w:r>
    </w:p>
    <w:p w14:paraId="7228792A" w14:textId="2E9DAD8A" w:rsidR="00411526" w:rsidRPr="006424F1" w:rsidRDefault="00000000" w:rsidP="006424F1">
      <w:pPr>
        <w:spacing w:before="100" w:after="100" w:line="276" w:lineRule="auto"/>
        <w:jc w:val="both"/>
      </w:pPr>
      <w:r w:rsidRPr="006424F1">
        <w:t>En el caso de China, la proliferación de medidas antidumping sobre productos siderúrgicos en los principales mercados de destino, incluyendo la Unión Europea, Estados Unidos, Canadá, Australia y numerosos países asiáticos, ha generado incentivos para la búsqueda de mercados alternativos menos protegidos. El continente americano, y en particular la región del Caribe y América Central, constituye un mercado con menores barreras que los destinos tradicionales, lo que lo convierte en un receptor potencial de flujos redirigidos.</w:t>
      </w:r>
    </w:p>
    <w:p w14:paraId="15BD2650" w14:textId="77777777" w:rsidR="00411526" w:rsidRPr="006424F1" w:rsidRDefault="00000000">
      <w:pPr>
        <w:pStyle w:val="Heading2"/>
        <w:rPr>
          <w:color w:val="auto"/>
          <w:lang w:val="es-DO"/>
        </w:rPr>
      </w:pPr>
      <w:r w:rsidRPr="006424F1">
        <w:rPr>
          <w:color w:val="auto"/>
          <w:lang w:val="es-DO"/>
        </w:rPr>
        <w:t>B. Evidencia de expansión exportadora china hacia América</w:t>
      </w:r>
    </w:p>
    <w:p w14:paraId="14738DD4" w14:textId="382271A9" w:rsidR="006424F1" w:rsidRDefault="00000000">
      <w:pPr>
        <w:spacing w:before="100" w:after="100" w:line="276" w:lineRule="auto"/>
        <w:jc w:val="both"/>
      </w:pPr>
      <w:r w:rsidRPr="006424F1">
        <w:t>La evolución de las exportaciones chinas de varillas de acero (HS 721420) confirma esta hipótesis con evidencia estadística. Según datos de Trademap, entre 2018 y 2025, China pasó del puesto 21 al puesto 2 en el ranking mundial de exportadores de esta partida arancelaria, superando a todos los competidores con excepción de Turquía. En términos de volumen, las exportaciones chinas crecieron de 246,864 toneladas en 2018 a 3,667,202 toneladas en 2025, un incremento de más de catorce veces en siete años.</w:t>
      </w:r>
    </w:p>
    <w:p w14:paraId="24012AEC" w14:textId="4AEDC1C5" w:rsidR="00411526" w:rsidRPr="006424F1" w:rsidRDefault="00000000" w:rsidP="006424F1">
      <w:r w:rsidRPr="006424F1">
        <w:t>Más relevante para el análisis del mercado dominicano es la evolución de las exportaciones chinas hacia el continente americano. La siguiente tabla presenta esta información:</w:t>
      </w:r>
    </w:p>
    <w:p w14:paraId="1CED08AA" w14:textId="4C722C76" w:rsidR="00411526" w:rsidRPr="006424F1" w:rsidRDefault="006424F1" w:rsidP="006424F1">
      <w:r>
        <w:br w:type="page"/>
      </w:r>
    </w:p>
    <w:p w14:paraId="18F3C2A4" w14:textId="77777777" w:rsidR="00411526" w:rsidRPr="006424F1" w:rsidRDefault="00000000">
      <w:pPr>
        <w:spacing w:before="160" w:after="60"/>
        <w:jc w:val="center"/>
      </w:pPr>
      <w:r w:rsidRPr="006424F1">
        <w:rPr>
          <w:b/>
          <w:bCs/>
          <w:sz w:val="20"/>
          <w:szCs w:val="20"/>
        </w:rPr>
        <w:lastRenderedPageBreak/>
        <w:t>Tabla 4. Exportaciones chinas de varillas de acero HS 721420. Mundo, América y participación relativa (2018-2025)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2200"/>
        <w:gridCol w:w="2000"/>
        <w:gridCol w:w="2000"/>
        <w:gridCol w:w="1960"/>
      </w:tblGrid>
      <w:tr w:rsidR="006424F1" w:rsidRPr="006424F1" w14:paraId="65FA1CB0" w14:textId="77777777">
        <w:trPr>
          <w:tblHeader/>
        </w:trPr>
        <w:tc>
          <w:tcPr>
            <w:tcW w:w="12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5A7EC3AD" w14:textId="77777777" w:rsidR="00411526" w:rsidRPr="006424F1" w:rsidRDefault="00000000">
            <w:pPr>
              <w:jc w:val="center"/>
            </w:pPr>
            <w:r w:rsidRPr="006424F1">
              <w:rPr>
                <w:b/>
                <w:bCs/>
                <w:sz w:val="20"/>
                <w:szCs w:val="20"/>
              </w:rPr>
              <w:t>Año</w:t>
            </w:r>
          </w:p>
        </w:tc>
        <w:tc>
          <w:tcPr>
            <w:tcW w:w="22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4C25A33B" w14:textId="77777777" w:rsidR="00411526" w:rsidRPr="006424F1" w:rsidRDefault="00000000">
            <w:pPr>
              <w:jc w:val="center"/>
            </w:pPr>
            <w:r w:rsidRPr="006424F1">
              <w:rPr>
                <w:b/>
                <w:bCs/>
                <w:sz w:val="20"/>
                <w:szCs w:val="20"/>
              </w:rPr>
              <w:t>Exportaciones China - Mundo (t)</w:t>
            </w:r>
          </w:p>
        </w:tc>
        <w:tc>
          <w:tcPr>
            <w:tcW w:w="20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5AF3F10A" w14:textId="77777777" w:rsidR="00411526" w:rsidRPr="006424F1" w:rsidRDefault="00000000">
            <w:pPr>
              <w:jc w:val="center"/>
            </w:pPr>
            <w:r w:rsidRPr="006424F1">
              <w:rPr>
                <w:b/>
                <w:bCs/>
                <w:sz w:val="20"/>
                <w:szCs w:val="20"/>
              </w:rPr>
              <w:t>Ranking China</w:t>
            </w:r>
          </w:p>
        </w:tc>
        <w:tc>
          <w:tcPr>
            <w:tcW w:w="20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5B72E7F8" w14:textId="77777777" w:rsidR="00411526" w:rsidRPr="006424F1" w:rsidRDefault="00000000">
            <w:pPr>
              <w:jc w:val="center"/>
            </w:pPr>
            <w:r w:rsidRPr="006424F1">
              <w:rPr>
                <w:b/>
                <w:bCs/>
                <w:sz w:val="20"/>
                <w:szCs w:val="20"/>
              </w:rPr>
              <w:t>Exportaciones China - América (miles USD)</w:t>
            </w:r>
          </w:p>
        </w:tc>
        <w:tc>
          <w:tcPr>
            <w:tcW w:w="196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6239FF0A" w14:textId="77777777" w:rsidR="00411526" w:rsidRPr="006424F1" w:rsidRDefault="00000000">
            <w:pPr>
              <w:jc w:val="center"/>
            </w:pPr>
            <w:r w:rsidRPr="006424F1">
              <w:rPr>
                <w:b/>
                <w:bCs/>
                <w:sz w:val="20"/>
                <w:szCs w:val="20"/>
              </w:rPr>
              <w:t>% América / Mundo</w:t>
            </w:r>
          </w:p>
        </w:tc>
      </w:tr>
      <w:tr w:rsidR="006424F1" w:rsidRPr="006424F1" w14:paraId="6EA67621" w14:textId="77777777">
        <w:tc>
          <w:tcPr>
            <w:tcW w:w="12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72B8805" w14:textId="77777777" w:rsidR="00411526" w:rsidRPr="006424F1" w:rsidRDefault="00000000">
            <w:r w:rsidRPr="006424F1">
              <w:rPr>
                <w:sz w:val="18"/>
                <w:szCs w:val="18"/>
              </w:rPr>
              <w:t>2018</w:t>
            </w:r>
          </w:p>
        </w:tc>
        <w:tc>
          <w:tcPr>
            <w:tcW w:w="22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6C0DF9DC" w14:textId="77777777" w:rsidR="00411526" w:rsidRPr="006424F1" w:rsidRDefault="00000000">
            <w:pPr>
              <w:jc w:val="center"/>
            </w:pPr>
            <w:r w:rsidRPr="006424F1">
              <w:rPr>
                <w:sz w:val="18"/>
                <w:szCs w:val="18"/>
              </w:rPr>
              <w:t>246,864</w:t>
            </w:r>
          </w:p>
        </w:tc>
        <w:tc>
          <w:tcPr>
            <w:tcW w:w="20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6F376927" w14:textId="77777777" w:rsidR="00411526" w:rsidRPr="006424F1" w:rsidRDefault="00000000">
            <w:pPr>
              <w:jc w:val="center"/>
            </w:pPr>
            <w:r w:rsidRPr="006424F1">
              <w:rPr>
                <w:sz w:val="18"/>
                <w:szCs w:val="18"/>
              </w:rPr>
              <w:t>21°</w:t>
            </w:r>
          </w:p>
        </w:tc>
        <w:tc>
          <w:tcPr>
            <w:tcW w:w="20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3BC9DD4D" w14:textId="77777777" w:rsidR="00411526" w:rsidRPr="006424F1" w:rsidRDefault="00000000">
            <w:pPr>
              <w:jc w:val="center"/>
            </w:pPr>
            <w:r w:rsidRPr="006424F1">
              <w:rPr>
                <w:sz w:val="18"/>
                <w:szCs w:val="18"/>
              </w:rPr>
              <w:t>5,689</w:t>
            </w:r>
          </w:p>
        </w:tc>
        <w:tc>
          <w:tcPr>
            <w:tcW w:w="196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A3BAE9C" w14:textId="77777777" w:rsidR="00411526" w:rsidRPr="006424F1" w:rsidRDefault="00000000">
            <w:pPr>
              <w:jc w:val="center"/>
            </w:pPr>
            <w:r w:rsidRPr="006424F1">
              <w:rPr>
                <w:sz w:val="18"/>
                <w:szCs w:val="18"/>
              </w:rPr>
              <w:t>2.3%</w:t>
            </w:r>
          </w:p>
        </w:tc>
      </w:tr>
      <w:tr w:rsidR="006424F1" w:rsidRPr="006424F1" w14:paraId="61B3946C" w14:textId="77777777">
        <w:tc>
          <w:tcPr>
            <w:tcW w:w="1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30EB991" w14:textId="77777777" w:rsidR="00411526" w:rsidRPr="006424F1" w:rsidRDefault="00000000">
            <w:r w:rsidRPr="006424F1">
              <w:rPr>
                <w:sz w:val="18"/>
                <w:szCs w:val="18"/>
              </w:rPr>
              <w:t>2019</w:t>
            </w:r>
          </w:p>
        </w:tc>
        <w:tc>
          <w:tcPr>
            <w:tcW w:w="2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6F1A09A" w14:textId="77777777" w:rsidR="00411526" w:rsidRPr="006424F1" w:rsidRDefault="00000000">
            <w:pPr>
              <w:jc w:val="center"/>
            </w:pPr>
            <w:r w:rsidRPr="006424F1">
              <w:rPr>
                <w:sz w:val="18"/>
                <w:szCs w:val="18"/>
              </w:rPr>
              <w:t>376,731</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EAB253D" w14:textId="77777777" w:rsidR="00411526" w:rsidRPr="006424F1" w:rsidRDefault="00000000">
            <w:pPr>
              <w:jc w:val="center"/>
            </w:pPr>
            <w:r w:rsidRPr="006424F1">
              <w:rPr>
                <w:sz w:val="18"/>
                <w:szCs w:val="18"/>
              </w:rPr>
              <w:t>13°</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6C07837" w14:textId="77777777" w:rsidR="00411526" w:rsidRPr="006424F1" w:rsidRDefault="00000000">
            <w:pPr>
              <w:jc w:val="center"/>
            </w:pPr>
            <w:r w:rsidRPr="006424F1">
              <w:rPr>
                <w:sz w:val="18"/>
                <w:szCs w:val="18"/>
              </w:rPr>
              <w:t>8,175</w:t>
            </w:r>
          </w:p>
        </w:tc>
        <w:tc>
          <w:tcPr>
            <w:tcW w:w="19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0D0B4C5" w14:textId="77777777" w:rsidR="00411526" w:rsidRPr="006424F1" w:rsidRDefault="00000000">
            <w:pPr>
              <w:jc w:val="center"/>
            </w:pPr>
            <w:r w:rsidRPr="006424F1">
              <w:rPr>
                <w:sz w:val="18"/>
                <w:szCs w:val="18"/>
              </w:rPr>
              <w:t>2.2%</w:t>
            </w:r>
          </w:p>
        </w:tc>
      </w:tr>
      <w:tr w:rsidR="006424F1" w:rsidRPr="006424F1" w14:paraId="090887CC" w14:textId="77777777">
        <w:tc>
          <w:tcPr>
            <w:tcW w:w="12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151EF8B" w14:textId="77777777" w:rsidR="00411526" w:rsidRPr="006424F1" w:rsidRDefault="00000000">
            <w:r w:rsidRPr="006424F1">
              <w:rPr>
                <w:sz w:val="18"/>
                <w:szCs w:val="18"/>
              </w:rPr>
              <w:t>2020</w:t>
            </w:r>
          </w:p>
        </w:tc>
        <w:tc>
          <w:tcPr>
            <w:tcW w:w="22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7F5F738B" w14:textId="77777777" w:rsidR="00411526" w:rsidRPr="006424F1" w:rsidRDefault="00000000">
            <w:pPr>
              <w:jc w:val="center"/>
            </w:pPr>
            <w:r w:rsidRPr="006424F1">
              <w:rPr>
                <w:sz w:val="18"/>
                <w:szCs w:val="18"/>
              </w:rPr>
              <w:t>352,118</w:t>
            </w:r>
          </w:p>
        </w:tc>
        <w:tc>
          <w:tcPr>
            <w:tcW w:w="20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0BE0A9B7" w14:textId="77777777" w:rsidR="00411526" w:rsidRPr="006424F1" w:rsidRDefault="00000000">
            <w:pPr>
              <w:jc w:val="center"/>
            </w:pPr>
            <w:r w:rsidRPr="006424F1">
              <w:rPr>
                <w:sz w:val="18"/>
                <w:szCs w:val="18"/>
              </w:rPr>
              <w:t>14°</w:t>
            </w:r>
          </w:p>
        </w:tc>
        <w:tc>
          <w:tcPr>
            <w:tcW w:w="20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4DB7BAA" w14:textId="77777777" w:rsidR="00411526" w:rsidRPr="006424F1" w:rsidRDefault="00000000">
            <w:pPr>
              <w:jc w:val="center"/>
            </w:pPr>
            <w:r w:rsidRPr="006424F1">
              <w:rPr>
                <w:sz w:val="18"/>
                <w:szCs w:val="18"/>
              </w:rPr>
              <w:t>3,902</w:t>
            </w:r>
          </w:p>
        </w:tc>
        <w:tc>
          <w:tcPr>
            <w:tcW w:w="196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33240CB7" w14:textId="77777777" w:rsidR="00411526" w:rsidRPr="006424F1" w:rsidRDefault="00000000">
            <w:pPr>
              <w:jc w:val="center"/>
            </w:pPr>
            <w:r w:rsidRPr="006424F1">
              <w:rPr>
                <w:sz w:val="18"/>
                <w:szCs w:val="18"/>
              </w:rPr>
              <w:t>1.1%</w:t>
            </w:r>
          </w:p>
        </w:tc>
      </w:tr>
      <w:tr w:rsidR="006424F1" w:rsidRPr="006424F1" w14:paraId="0B75CB94" w14:textId="77777777">
        <w:tc>
          <w:tcPr>
            <w:tcW w:w="1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74E633E" w14:textId="77777777" w:rsidR="00411526" w:rsidRPr="006424F1" w:rsidRDefault="00000000">
            <w:r w:rsidRPr="006424F1">
              <w:rPr>
                <w:sz w:val="18"/>
                <w:szCs w:val="18"/>
              </w:rPr>
              <w:t>2021</w:t>
            </w:r>
          </w:p>
        </w:tc>
        <w:tc>
          <w:tcPr>
            <w:tcW w:w="2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5421BF7" w14:textId="77777777" w:rsidR="00411526" w:rsidRPr="006424F1" w:rsidRDefault="00000000">
            <w:pPr>
              <w:jc w:val="center"/>
            </w:pPr>
            <w:r w:rsidRPr="006424F1">
              <w:rPr>
                <w:sz w:val="18"/>
                <w:szCs w:val="18"/>
              </w:rPr>
              <w:t>394,747</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4378F6C" w14:textId="77777777" w:rsidR="00411526" w:rsidRPr="006424F1" w:rsidRDefault="00000000">
            <w:pPr>
              <w:jc w:val="center"/>
            </w:pPr>
            <w:r w:rsidRPr="006424F1">
              <w:rPr>
                <w:sz w:val="18"/>
                <w:szCs w:val="18"/>
              </w:rPr>
              <w:t>15°</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2860104" w14:textId="77777777" w:rsidR="00411526" w:rsidRPr="006424F1" w:rsidRDefault="00000000">
            <w:pPr>
              <w:jc w:val="center"/>
            </w:pPr>
            <w:r w:rsidRPr="006424F1">
              <w:rPr>
                <w:sz w:val="18"/>
                <w:szCs w:val="18"/>
              </w:rPr>
              <w:t>5,256</w:t>
            </w:r>
          </w:p>
        </w:tc>
        <w:tc>
          <w:tcPr>
            <w:tcW w:w="19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9E1EE0B" w14:textId="77777777" w:rsidR="00411526" w:rsidRPr="006424F1" w:rsidRDefault="00000000">
            <w:pPr>
              <w:jc w:val="center"/>
            </w:pPr>
            <w:r w:rsidRPr="006424F1">
              <w:rPr>
                <w:sz w:val="18"/>
                <w:szCs w:val="18"/>
              </w:rPr>
              <w:t>1.3%</w:t>
            </w:r>
          </w:p>
        </w:tc>
      </w:tr>
      <w:tr w:rsidR="006424F1" w:rsidRPr="006424F1" w14:paraId="388C9308" w14:textId="77777777">
        <w:tc>
          <w:tcPr>
            <w:tcW w:w="12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10FAD5B" w14:textId="77777777" w:rsidR="00411526" w:rsidRPr="006424F1" w:rsidRDefault="00000000">
            <w:r w:rsidRPr="006424F1">
              <w:rPr>
                <w:sz w:val="18"/>
                <w:szCs w:val="18"/>
              </w:rPr>
              <w:t>2022</w:t>
            </w:r>
          </w:p>
        </w:tc>
        <w:tc>
          <w:tcPr>
            <w:tcW w:w="22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117A4591" w14:textId="77777777" w:rsidR="00411526" w:rsidRPr="006424F1" w:rsidRDefault="00000000">
            <w:pPr>
              <w:jc w:val="center"/>
            </w:pPr>
            <w:r w:rsidRPr="006424F1">
              <w:rPr>
                <w:sz w:val="18"/>
                <w:szCs w:val="18"/>
              </w:rPr>
              <w:t>632,085</w:t>
            </w:r>
          </w:p>
        </w:tc>
        <w:tc>
          <w:tcPr>
            <w:tcW w:w="20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1ACB866C" w14:textId="77777777" w:rsidR="00411526" w:rsidRPr="006424F1" w:rsidRDefault="00000000">
            <w:pPr>
              <w:jc w:val="center"/>
            </w:pPr>
            <w:r w:rsidRPr="006424F1">
              <w:rPr>
                <w:sz w:val="18"/>
                <w:szCs w:val="18"/>
              </w:rPr>
              <w:t>10°</w:t>
            </w:r>
          </w:p>
        </w:tc>
        <w:tc>
          <w:tcPr>
            <w:tcW w:w="20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0CF0A04C" w14:textId="77777777" w:rsidR="00411526" w:rsidRPr="006424F1" w:rsidRDefault="00000000">
            <w:pPr>
              <w:jc w:val="center"/>
            </w:pPr>
            <w:r w:rsidRPr="006424F1">
              <w:rPr>
                <w:sz w:val="18"/>
                <w:szCs w:val="18"/>
              </w:rPr>
              <w:t>19,586</w:t>
            </w:r>
          </w:p>
        </w:tc>
        <w:tc>
          <w:tcPr>
            <w:tcW w:w="196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06424CE5" w14:textId="77777777" w:rsidR="00411526" w:rsidRPr="006424F1" w:rsidRDefault="00000000">
            <w:pPr>
              <w:jc w:val="center"/>
            </w:pPr>
            <w:r w:rsidRPr="006424F1">
              <w:rPr>
                <w:sz w:val="18"/>
                <w:szCs w:val="18"/>
              </w:rPr>
              <w:t>3.1%</w:t>
            </w:r>
          </w:p>
        </w:tc>
      </w:tr>
      <w:tr w:rsidR="006424F1" w:rsidRPr="006424F1" w14:paraId="30300CD6" w14:textId="77777777">
        <w:tc>
          <w:tcPr>
            <w:tcW w:w="1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3F16956" w14:textId="77777777" w:rsidR="00411526" w:rsidRPr="006424F1" w:rsidRDefault="00000000">
            <w:r w:rsidRPr="006424F1">
              <w:rPr>
                <w:sz w:val="18"/>
                <w:szCs w:val="18"/>
              </w:rPr>
              <w:t>2023</w:t>
            </w:r>
          </w:p>
        </w:tc>
        <w:tc>
          <w:tcPr>
            <w:tcW w:w="2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F62AA09" w14:textId="77777777" w:rsidR="00411526" w:rsidRPr="006424F1" w:rsidRDefault="00000000">
            <w:pPr>
              <w:jc w:val="center"/>
            </w:pPr>
            <w:r w:rsidRPr="006424F1">
              <w:rPr>
                <w:sz w:val="18"/>
                <w:szCs w:val="18"/>
              </w:rPr>
              <w:t>1,618,866</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721F209" w14:textId="77777777" w:rsidR="00411526" w:rsidRPr="006424F1" w:rsidRDefault="00000000">
            <w:pPr>
              <w:jc w:val="center"/>
            </w:pPr>
            <w:r w:rsidRPr="006424F1">
              <w:rPr>
                <w:sz w:val="18"/>
                <w:szCs w:val="18"/>
              </w:rPr>
              <w:t>3°</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C4F2A26" w14:textId="77777777" w:rsidR="00411526" w:rsidRPr="006424F1" w:rsidRDefault="00000000">
            <w:pPr>
              <w:jc w:val="center"/>
            </w:pPr>
            <w:r w:rsidRPr="006424F1">
              <w:rPr>
                <w:sz w:val="18"/>
                <w:szCs w:val="18"/>
              </w:rPr>
              <w:t>71,356</w:t>
            </w:r>
          </w:p>
        </w:tc>
        <w:tc>
          <w:tcPr>
            <w:tcW w:w="19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410B658" w14:textId="77777777" w:rsidR="00411526" w:rsidRPr="006424F1" w:rsidRDefault="00000000">
            <w:pPr>
              <w:jc w:val="center"/>
            </w:pPr>
            <w:r w:rsidRPr="006424F1">
              <w:rPr>
                <w:sz w:val="18"/>
                <w:szCs w:val="18"/>
              </w:rPr>
              <w:t>4.4%</w:t>
            </w:r>
          </w:p>
        </w:tc>
      </w:tr>
      <w:tr w:rsidR="006424F1" w:rsidRPr="006424F1" w14:paraId="0E3BE3DC" w14:textId="77777777">
        <w:tc>
          <w:tcPr>
            <w:tcW w:w="12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3E69306E" w14:textId="77777777" w:rsidR="00411526" w:rsidRPr="006424F1" w:rsidRDefault="00000000">
            <w:r w:rsidRPr="006424F1">
              <w:rPr>
                <w:sz w:val="18"/>
                <w:szCs w:val="18"/>
              </w:rPr>
              <w:t>2024</w:t>
            </w:r>
          </w:p>
        </w:tc>
        <w:tc>
          <w:tcPr>
            <w:tcW w:w="22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6473B8C3" w14:textId="77777777" w:rsidR="00411526" w:rsidRPr="006424F1" w:rsidRDefault="00000000">
            <w:pPr>
              <w:jc w:val="center"/>
            </w:pPr>
            <w:r w:rsidRPr="006424F1">
              <w:rPr>
                <w:sz w:val="18"/>
                <w:szCs w:val="18"/>
              </w:rPr>
              <w:t>2,557,386</w:t>
            </w:r>
          </w:p>
        </w:tc>
        <w:tc>
          <w:tcPr>
            <w:tcW w:w="20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683F1A6" w14:textId="77777777" w:rsidR="00411526" w:rsidRPr="006424F1" w:rsidRDefault="00000000">
            <w:pPr>
              <w:jc w:val="center"/>
            </w:pPr>
            <w:r w:rsidRPr="006424F1">
              <w:rPr>
                <w:sz w:val="18"/>
                <w:szCs w:val="18"/>
              </w:rPr>
              <w:t>2°</w:t>
            </w:r>
          </w:p>
        </w:tc>
        <w:tc>
          <w:tcPr>
            <w:tcW w:w="20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4EDA3ADB" w14:textId="77777777" w:rsidR="00411526" w:rsidRPr="006424F1" w:rsidRDefault="00000000">
            <w:pPr>
              <w:jc w:val="center"/>
            </w:pPr>
            <w:r w:rsidRPr="006424F1">
              <w:rPr>
                <w:sz w:val="18"/>
                <w:szCs w:val="18"/>
              </w:rPr>
              <w:t>164,944</w:t>
            </w:r>
          </w:p>
        </w:tc>
        <w:tc>
          <w:tcPr>
            <w:tcW w:w="196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vAlign w:val="center"/>
          </w:tcPr>
          <w:p w14:paraId="2510BD53" w14:textId="77777777" w:rsidR="00411526" w:rsidRPr="006424F1" w:rsidRDefault="00000000">
            <w:pPr>
              <w:jc w:val="center"/>
            </w:pPr>
            <w:r w:rsidRPr="006424F1">
              <w:rPr>
                <w:sz w:val="18"/>
                <w:szCs w:val="18"/>
              </w:rPr>
              <w:t>6.4%</w:t>
            </w:r>
          </w:p>
        </w:tc>
      </w:tr>
      <w:tr w:rsidR="006424F1" w:rsidRPr="006424F1" w14:paraId="5024A022" w14:textId="77777777">
        <w:tc>
          <w:tcPr>
            <w:tcW w:w="1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AA12612" w14:textId="77777777" w:rsidR="00411526" w:rsidRPr="006424F1" w:rsidRDefault="00000000">
            <w:r w:rsidRPr="006424F1">
              <w:rPr>
                <w:sz w:val="18"/>
                <w:szCs w:val="18"/>
              </w:rPr>
              <w:t>2025</w:t>
            </w:r>
          </w:p>
        </w:tc>
        <w:tc>
          <w:tcPr>
            <w:tcW w:w="2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33E4E65" w14:textId="77777777" w:rsidR="00411526" w:rsidRPr="006424F1" w:rsidRDefault="00000000">
            <w:pPr>
              <w:jc w:val="center"/>
            </w:pPr>
            <w:r w:rsidRPr="006424F1">
              <w:rPr>
                <w:sz w:val="18"/>
                <w:szCs w:val="18"/>
              </w:rPr>
              <w:t>3,667,202</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852219B" w14:textId="77777777" w:rsidR="00411526" w:rsidRPr="006424F1" w:rsidRDefault="00000000">
            <w:pPr>
              <w:jc w:val="center"/>
            </w:pPr>
            <w:r w:rsidRPr="006424F1">
              <w:rPr>
                <w:sz w:val="18"/>
                <w:szCs w:val="18"/>
              </w:rPr>
              <w:t>2°</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1DFF188" w14:textId="77777777" w:rsidR="00411526" w:rsidRPr="006424F1" w:rsidRDefault="00000000">
            <w:pPr>
              <w:jc w:val="center"/>
            </w:pPr>
            <w:r w:rsidRPr="006424F1">
              <w:rPr>
                <w:sz w:val="18"/>
                <w:szCs w:val="18"/>
              </w:rPr>
              <w:t>259,312</w:t>
            </w:r>
          </w:p>
        </w:tc>
        <w:tc>
          <w:tcPr>
            <w:tcW w:w="19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741BE0C" w14:textId="77777777" w:rsidR="00411526" w:rsidRPr="006424F1" w:rsidRDefault="00000000">
            <w:pPr>
              <w:jc w:val="center"/>
            </w:pPr>
            <w:r w:rsidRPr="006424F1">
              <w:rPr>
                <w:sz w:val="18"/>
                <w:szCs w:val="18"/>
              </w:rPr>
              <w:t>7.1%</w:t>
            </w:r>
          </w:p>
        </w:tc>
      </w:tr>
    </w:tbl>
    <w:p w14:paraId="28202706" w14:textId="3ADB9AD5" w:rsidR="00411526" w:rsidRPr="006424F1" w:rsidRDefault="00000000" w:rsidP="0004124B">
      <w:pPr>
        <w:spacing w:before="60" w:after="160"/>
      </w:pPr>
      <w:r w:rsidRPr="006424F1">
        <w:rPr>
          <w:i/>
          <w:iCs/>
          <w:sz w:val="18"/>
          <w:szCs w:val="18"/>
        </w:rPr>
        <w:t>Fuente: Trademap. Elabora</w:t>
      </w:r>
      <w:r w:rsidR="0004124B">
        <w:rPr>
          <w:i/>
          <w:iCs/>
          <w:sz w:val="18"/>
          <w:szCs w:val="18"/>
        </w:rPr>
        <w:t>do por DASA</w:t>
      </w:r>
      <w:r w:rsidRPr="006424F1">
        <w:rPr>
          <w:i/>
          <w:iCs/>
          <w:sz w:val="18"/>
          <w:szCs w:val="18"/>
        </w:rPr>
        <w:t>.</w:t>
      </w:r>
    </w:p>
    <w:p w14:paraId="7485CF84" w14:textId="77777777" w:rsidR="00411526" w:rsidRPr="006424F1" w:rsidRDefault="00000000">
      <w:pPr>
        <w:spacing w:before="100" w:after="100" w:line="276" w:lineRule="auto"/>
        <w:jc w:val="both"/>
      </w:pPr>
      <w:r w:rsidRPr="006424F1">
        <w:t>Los datos revelan un cambio estructural en el patrón exportador de China a partir de 2022. Mientras que entre 2014 y 2021 la participación del continente americano en las exportaciones chinas de varillas se mantuvo estable en torno al 1–2%, a partir de 2022 se inicia una aceleración sostenida que lleva esta participación al 7.1% en 2025. En términos de valor absoluto, las exportaciones chinas hacia América se multiplicaron en aproximadamente cincuenta veces entre 2014 (USD 2.5 millones) y 2025 (USD 259.3 millones).</w:t>
      </w:r>
    </w:p>
    <w:p w14:paraId="0C45F701" w14:textId="77777777" w:rsidR="00411526" w:rsidRPr="006424F1" w:rsidRDefault="00000000">
      <w:pPr>
        <w:spacing w:before="100" w:after="100" w:line="276" w:lineRule="auto"/>
        <w:jc w:val="both"/>
      </w:pPr>
      <w:r w:rsidRPr="006424F1">
        <w:t>Este comportamiento es cronológicamente consistente con el período en que se intensificaron las restricciones comerciales contra el acero chino en los mercados tradicionales de exportación. La correlación entre la imposición de barreras en mercados de alto volumen y el incremento de la orientación exportadora hacia América sugiere que el mecanismo de desvío de comercio está operando activamente.</w:t>
      </w:r>
    </w:p>
    <w:p w14:paraId="51069A3F" w14:textId="53208860" w:rsidR="00411526" w:rsidRPr="006424F1" w:rsidRDefault="00000000" w:rsidP="006424F1">
      <w:pPr>
        <w:spacing w:before="100" w:after="100" w:line="276" w:lineRule="auto"/>
        <w:jc w:val="both"/>
      </w:pPr>
      <w:r w:rsidRPr="006424F1">
        <w:t>Para el mercado dominicano, esta tendencia tiene implicaciones directas: la República Dominicana se encuentra en una región geográfica que ha experimentado un crecimiento acelerado en su participación como destino de exportaciones siderúrgicas chinas. En ausencia de medidas de defensa comercial, la probabilidad de que los flujos exportadores chinos se orienten hacia este mercado es significativamente mayor que en el período analizado en la investigación original.</w:t>
      </w:r>
    </w:p>
    <w:p w14:paraId="05584A5E" w14:textId="77777777" w:rsidR="00411526" w:rsidRPr="006424F1" w:rsidRDefault="00000000">
      <w:pPr>
        <w:pStyle w:val="Heading1"/>
        <w:rPr>
          <w:color w:val="auto"/>
          <w:lang w:val="es-DO"/>
        </w:rPr>
      </w:pPr>
      <w:r w:rsidRPr="006424F1">
        <w:rPr>
          <w:color w:val="auto"/>
          <w:lang w:val="es-DO"/>
        </w:rPr>
        <w:t>VI. Síntesis y Conclusión: Evaluación de la Probabilidad de Recurrencia</w:t>
      </w:r>
    </w:p>
    <w:p w14:paraId="2729A5B5" w14:textId="77777777" w:rsidR="00411526" w:rsidRPr="006424F1" w:rsidRDefault="00000000">
      <w:pPr>
        <w:spacing w:before="100" w:after="100" w:line="276" w:lineRule="auto"/>
        <w:jc w:val="both"/>
      </w:pPr>
      <w:r w:rsidRPr="006424F1">
        <w:t>El análisis desarrollado en las secciones precedentes permite formular una conclusión sustentada sobre la probabilidad de recurrencia del dumping en caso de que se supriman las medidas antidumping vigentes sobre las importaciones de varillas de acero originarias de la República Popular China.</w:t>
      </w:r>
    </w:p>
    <w:p w14:paraId="03C6D505" w14:textId="77777777" w:rsidR="00411526" w:rsidRPr="006424F1" w:rsidRDefault="00411526">
      <w:pPr>
        <w:spacing w:before="80" w:after="80"/>
      </w:pPr>
    </w:p>
    <w:p w14:paraId="1865D5B6" w14:textId="221CBF17" w:rsidR="00411526" w:rsidRPr="006424F1" w:rsidRDefault="00000000" w:rsidP="006424F1">
      <w:pPr>
        <w:spacing w:before="100" w:after="100" w:line="276" w:lineRule="auto"/>
        <w:jc w:val="both"/>
      </w:pPr>
      <w:r w:rsidRPr="006424F1">
        <w:lastRenderedPageBreak/>
        <w:t>Los factores estructurales que sustentan esta conclusión pueden sintetizarse en cinco dimensiones interrelacionadas:</w:t>
      </w:r>
    </w:p>
    <w:p w14:paraId="15C45640" w14:textId="77777777" w:rsidR="00411526" w:rsidRPr="006424F1" w:rsidRDefault="00000000">
      <w:pPr>
        <w:spacing w:before="200" w:after="100"/>
      </w:pPr>
      <w:r w:rsidRPr="006424F1">
        <w:rPr>
          <w:b/>
          <w:bCs/>
          <w:u w:val="single"/>
        </w:rPr>
        <w:t>1. Márgenes de dumping significativos, persistentes y sin tendencia de corrección</w:t>
      </w:r>
    </w:p>
    <w:p w14:paraId="7755E88E" w14:textId="15CFB07B" w:rsidR="00411526" w:rsidRPr="006424F1" w:rsidRDefault="00000000" w:rsidP="006424F1">
      <w:pPr>
        <w:spacing w:before="100" w:after="100" w:line="276" w:lineRule="auto"/>
        <w:jc w:val="both"/>
      </w:pPr>
      <w:r w:rsidRPr="006424F1">
        <w:t>El análisis de precios para el período 2021–2025 arroja un margen de dumping promedio de aproximadamente 34%, con valores que oscilaron entre 18% y 44%. La trayectoria de los precios de exportación muestra una reducción acumulada de 41.7%, reflejando la capacidad de la industria china de continuar reduciendo precios en mercados de exportación sin comprometer su viabilidad operativa, gracias a los mecanismos de apoyo estatal documentados.</w:t>
      </w:r>
    </w:p>
    <w:p w14:paraId="35C794CF" w14:textId="77777777" w:rsidR="00411526" w:rsidRPr="006424F1" w:rsidRDefault="00000000">
      <w:pPr>
        <w:spacing w:before="200" w:after="100"/>
      </w:pPr>
      <w:r w:rsidRPr="006424F1">
        <w:rPr>
          <w:b/>
          <w:bCs/>
          <w:u w:val="single"/>
        </w:rPr>
        <w:t>2. Exceso de capacidad estructural con presión sostenida hacia los mercados externos</w:t>
      </w:r>
    </w:p>
    <w:p w14:paraId="7AD60AE3" w14:textId="5C479512" w:rsidR="00411526" w:rsidRPr="006424F1" w:rsidRDefault="00000000" w:rsidP="006424F1">
      <w:pPr>
        <w:spacing w:before="100" w:after="100" w:line="276" w:lineRule="auto"/>
        <w:jc w:val="both"/>
      </w:pPr>
      <w:r w:rsidRPr="006424F1">
        <w:t>Con una capacidad instalada de 1,141.5 mmt (equivalente al 46.2% de la capacidad mundial) y una demanda doméstica en desaceleración estructural, la industria siderúrgica china mantiene incentivos permanentes para exportar a precios reducidos. El exceso de capacidad global proyectado para 2027 (721 mmt según la OCDE) refuerza esta presión. Este factor es independiente de las condiciones del mercado dominicano y opera directamente sobre el nivel de precios de exportación observado.</w:t>
      </w:r>
    </w:p>
    <w:p w14:paraId="006CABEB" w14:textId="77777777" w:rsidR="00411526" w:rsidRPr="006424F1" w:rsidRDefault="00000000">
      <w:pPr>
        <w:spacing w:before="200" w:after="100"/>
      </w:pPr>
      <w:r w:rsidRPr="006424F1">
        <w:rPr>
          <w:b/>
          <w:bCs/>
          <w:u w:val="single"/>
        </w:rPr>
        <w:t>3. Distorsiones estructurales que perpetúan la desvinculación entre costos y precios</w:t>
      </w:r>
    </w:p>
    <w:p w14:paraId="3A087C5B" w14:textId="412EB28C" w:rsidR="00411526" w:rsidRPr="006424F1" w:rsidRDefault="00000000" w:rsidP="006424F1">
      <w:pPr>
        <w:spacing w:before="100" w:after="100" w:line="276" w:lineRule="auto"/>
        <w:jc w:val="both"/>
      </w:pPr>
      <w:r w:rsidRPr="006424F1">
        <w:t>Los subsidios documentados, con tasas aproximadamente diez veces superiores a las de economías de mercado avanzadas, permiten que empresas siderúrgicas chinas mantengan producción y exportaciones incluso con precios que no cubren sus costos económicos reales. Esta estructura de incentivos no ha variado sustancialmente y fue reconocida en 2024 por la Comisión Europea en su actualización del informe sobre distorsiones inducidas por el Estado en China. Mientras esta condición se mantenga, el dumping no constituye una decisión discrecional de los exportadores, sino el resultado de un entorno estructural que lo favorece.</w:t>
      </w:r>
    </w:p>
    <w:p w14:paraId="7297787C" w14:textId="77777777" w:rsidR="00411526" w:rsidRPr="006424F1" w:rsidRDefault="00000000">
      <w:pPr>
        <w:spacing w:before="200" w:after="100"/>
      </w:pPr>
      <w:r w:rsidRPr="006424F1">
        <w:rPr>
          <w:b/>
          <w:bCs/>
          <w:u w:val="single"/>
        </w:rPr>
        <w:t>4. Patrón internacional consistente de renovación de medidas</w:t>
      </w:r>
    </w:p>
    <w:p w14:paraId="7A3E417A" w14:textId="5C45D5A5" w:rsidR="00411526" w:rsidRPr="006424F1" w:rsidRDefault="00000000" w:rsidP="006424F1">
      <w:pPr>
        <w:spacing w:before="100" w:after="100" w:line="276" w:lineRule="auto"/>
        <w:jc w:val="both"/>
      </w:pPr>
      <w:r w:rsidRPr="006424F1">
        <w:t xml:space="preserve">El 81.4% de las medidas antidumping adoptadas contra China en el sector del acero desde 2008 continúan vigentes. En el segmento específico de varillas (HS 721420), 248 de las 390 intervenciones de protección permanecen activas. Esta convergencia de conclusiones entre autoridades independientes de múltiples jurisdicciones, incluida la propia República Dominicana en su </w:t>
      </w:r>
      <w:r w:rsidR="0004124B">
        <w:t xml:space="preserve">pasada </w:t>
      </w:r>
      <w:r w:rsidRPr="006424F1">
        <w:t>revisión, constituye evidencia objetiva de que el riesgo de recurrencia ha sido reiteradamente validado por organismos técnicos especializados.</w:t>
      </w:r>
    </w:p>
    <w:p w14:paraId="4162DB8F" w14:textId="77777777" w:rsidR="00411526" w:rsidRPr="006424F1" w:rsidRDefault="00000000">
      <w:pPr>
        <w:spacing w:before="200" w:after="100"/>
      </w:pPr>
      <w:r w:rsidRPr="006424F1">
        <w:rPr>
          <w:b/>
          <w:bCs/>
          <w:u w:val="single"/>
        </w:rPr>
        <w:t>5. Expansión exportadora activa hacia el continente americano</w:t>
      </w:r>
    </w:p>
    <w:p w14:paraId="088DC8B5" w14:textId="77777777" w:rsidR="00411526" w:rsidRPr="006424F1" w:rsidRDefault="00000000">
      <w:pPr>
        <w:spacing w:before="100" w:after="100" w:line="276" w:lineRule="auto"/>
        <w:jc w:val="both"/>
      </w:pPr>
      <w:r w:rsidRPr="006424F1">
        <w:t>La reorientación de los flujos exportadores chinos de varillas de acero hacia América, con un crecimiento del valor exportado de más de cincuenta veces entre 2014 y 2025 y un incremento de la participación regional del 1.3% al 7.1%, constituye evidencia de que el desvío de comercio desde mercados con mayores restricciones comerciales está ocurriendo activamente. La posición geográfica de la República Dominicana dentro de esta región la expone directamente a este fenómeno.</w:t>
      </w:r>
    </w:p>
    <w:p w14:paraId="42596D5E" w14:textId="77777777" w:rsidR="00411526" w:rsidRPr="006424F1" w:rsidRDefault="00411526">
      <w:pPr>
        <w:spacing w:before="80" w:after="80"/>
      </w:pPr>
    </w:p>
    <w:sectPr w:rsidR="00411526" w:rsidRPr="006424F1">
      <w:pgSz w:w="12240" w:h="15840"/>
      <w:pgMar w:top="1440" w:right="126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F3588"/>
    <w:multiLevelType w:val="hybridMultilevel"/>
    <w:tmpl w:val="DB4EFC06"/>
    <w:lvl w:ilvl="0" w:tplc="1BBE8B1A">
      <w:start w:val="1"/>
      <w:numFmt w:val="lowerRoman"/>
      <w:lvlText w:val="%1."/>
      <w:lvlJc w:val="left"/>
      <w:pPr>
        <w:ind w:left="720" w:hanging="360"/>
      </w:pPr>
    </w:lvl>
    <w:lvl w:ilvl="1" w:tplc="DAB4EAE8">
      <w:numFmt w:val="decimal"/>
      <w:lvlText w:val=""/>
      <w:lvlJc w:val="left"/>
    </w:lvl>
    <w:lvl w:ilvl="2" w:tplc="8466D4B6">
      <w:numFmt w:val="decimal"/>
      <w:lvlText w:val=""/>
      <w:lvlJc w:val="left"/>
    </w:lvl>
    <w:lvl w:ilvl="3" w:tplc="FA320230">
      <w:numFmt w:val="decimal"/>
      <w:lvlText w:val=""/>
      <w:lvlJc w:val="left"/>
    </w:lvl>
    <w:lvl w:ilvl="4" w:tplc="59F2FD8A">
      <w:numFmt w:val="decimal"/>
      <w:lvlText w:val=""/>
      <w:lvlJc w:val="left"/>
    </w:lvl>
    <w:lvl w:ilvl="5" w:tplc="371A6ADC">
      <w:numFmt w:val="decimal"/>
      <w:lvlText w:val=""/>
      <w:lvlJc w:val="left"/>
    </w:lvl>
    <w:lvl w:ilvl="6" w:tplc="1506EF16">
      <w:numFmt w:val="decimal"/>
      <w:lvlText w:val=""/>
      <w:lvlJc w:val="left"/>
    </w:lvl>
    <w:lvl w:ilvl="7" w:tplc="D780EF88">
      <w:numFmt w:val="decimal"/>
      <w:lvlText w:val=""/>
      <w:lvlJc w:val="left"/>
    </w:lvl>
    <w:lvl w:ilvl="8" w:tplc="D66A3E3C">
      <w:numFmt w:val="decimal"/>
      <w:lvlText w:val=""/>
      <w:lvlJc w:val="left"/>
    </w:lvl>
  </w:abstractNum>
  <w:abstractNum w:abstractNumId="1" w15:restartNumberingAfterBreak="0">
    <w:nsid w:val="688A5226"/>
    <w:multiLevelType w:val="hybridMultilevel"/>
    <w:tmpl w:val="6106AA3E"/>
    <w:lvl w:ilvl="0" w:tplc="9F02B2C6">
      <w:start w:val="1"/>
      <w:numFmt w:val="bullet"/>
      <w:lvlText w:val="•"/>
      <w:lvlJc w:val="left"/>
      <w:pPr>
        <w:ind w:left="720" w:hanging="360"/>
      </w:pPr>
    </w:lvl>
    <w:lvl w:ilvl="1" w:tplc="C6E607BE">
      <w:numFmt w:val="decimal"/>
      <w:lvlText w:val=""/>
      <w:lvlJc w:val="left"/>
    </w:lvl>
    <w:lvl w:ilvl="2" w:tplc="3E7A1732">
      <w:numFmt w:val="decimal"/>
      <w:lvlText w:val=""/>
      <w:lvlJc w:val="left"/>
    </w:lvl>
    <w:lvl w:ilvl="3" w:tplc="4D7C25B0">
      <w:numFmt w:val="decimal"/>
      <w:lvlText w:val=""/>
      <w:lvlJc w:val="left"/>
    </w:lvl>
    <w:lvl w:ilvl="4" w:tplc="2146CB14">
      <w:numFmt w:val="decimal"/>
      <w:lvlText w:val=""/>
      <w:lvlJc w:val="left"/>
    </w:lvl>
    <w:lvl w:ilvl="5" w:tplc="70E6AAB4">
      <w:numFmt w:val="decimal"/>
      <w:lvlText w:val=""/>
      <w:lvlJc w:val="left"/>
    </w:lvl>
    <w:lvl w:ilvl="6" w:tplc="2C201CA6">
      <w:numFmt w:val="decimal"/>
      <w:lvlText w:val=""/>
      <w:lvlJc w:val="left"/>
    </w:lvl>
    <w:lvl w:ilvl="7" w:tplc="5B22B8E6">
      <w:numFmt w:val="decimal"/>
      <w:lvlText w:val=""/>
      <w:lvlJc w:val="left"/>
    </w:lvl>
    <w:lvl w:ilvl="8" w:tplc="FB104378">
      <w:numFmt w:val="decimal"/>
      <w:lvlText w:val=""/>
      <w:lvlJc w:val="left"/>
    </w:lvl>
  </w:abstractNum>
  <w:abstractNum w:abstractNumId="2" w15:restartNumberingAfterBreak="0">
    <w:nsid w:val="7C115EA2"/>
    <w:multiLevelType w:val="hybridMultilevel"/>
    <w:tmpl w:val="867E33D2"/>
    <w:lvl w:ilvl="0" w:tplc="8760DA8C">
      <w:start w:val="1"/>
      <w:numFmt w:val="bullet"/>
      <w:lvlText w:val="●"/>
      <w:lvlJc w:val="left"/>
      <w:pPr>
        <w:ind w:left="720" w:hanging="360"/>
      </w:pPr>
    </w:lvl>
    <w:lvl w:ilvl="1" w:tplc="EC4EF496">
      <w:start w:val="1"/>
      <w:numFmt w:val="bullet"/>
      <w:lvlText w:val="○"/>
      <w:lvlJc w:val="left"/>
      <w:pPr>
        <w:ind w:left="1440" w:hanging="360"/>
      </w:pPr>
    </w:lvl>
    <w:lvl w:ilvl="2" w:tplc="C900A6C8">
      <w:start w:val="1"/>
      <w:numFmt w:val="bullet"/>
      <w:lvlText w:val="■"/>
      <w:lvlJc w:val="left"/>
      <w:pPr>
        <w:ind w:left="2160" w:hanging="360"/>
      </w:pPr>
    </w:lvl>
    <w:lvl w:ilvl="3" w:tplc="F84E8018">
      <w:start w:val="1"/>
      <w:numFmt w:val="bullet"/>
      <w:lvlText w:val="●"/>
      <w:lvlJc w:val="left"/>
      <w:pPr>
        <w:ind w:left="2880" w:hanging="360"/>
      </w:pPr>
    </w:lvl>
    <w:lvl w:ilvl="4" w:tplc="83140B38">
      <w:start w:val="1"/>
      <w:numFmt w:val="bullet"/>
      <w:lvlText w:val="○"/>
      <w:lvlJc w:val="left"/>
      <w:pPr>
        <w:ind w:left="3600" w:hanging="360"/>
      </w:pPr>
    </w:lvl>
    <w:lvl w:ilvl="5" w:tplc="C10C7CA4">
      <w:start w:val="1"/>
      <w:numFmt w:val="bullet"/>
      <w:lvlText w:val="■"/>
      <w:lvlJc w:val="left"/>
      <w:pPr>
        <w:ind w:left="4320" w:hanging="360"/>
      </w:pPr>
    </w:lvl>
    <w:lvl w:ilvl="6" w:tplc="0B1C8156">
      <w:start w:val="1"/>
      <w:numFmt w:val="bullet"/>
      <w:lvlText w:val="●"/>
      <w:lvlJc w:val="left"/>
      <w:pPr>
        <w:ind w:left="5040" w:hanging="360"/>
      </w:pPr>
    </w:lvl>
    <w:lvl w:ilvl="7" w:tplc="3ECECFAA">
      <w:start w:val="1"/>
      <w:numFmt w:val="bullet"/>
      <w:lvlText w:val="●"/>
      <w:lvlJc w:val="left"/>
      <w:pPr>
        <w:ind w:left="5760" w:hanging="360"/>
      </w:pPr>
    </w:lvl>
    <w:lvl w:ilvl="8" w:tplc="5B506B44">
      <w:start w:val="1"/>
      <w:numFmt w:val="bullet"/>
      <w:lvlText w:val="●"/>
      <w:lvlJc w:val="left"/>
      <w:pPr>
        <w:ind w:left="6480" w:hanging="360"/>
      </w:pPr>
    </w:lvl>
  </w:abstractNum>
  <w:num w:numId="1" w16cid:durableId="655451714">
    <w:abstractNumId w:val="2"/>
    <w:lvlOverride w:ilvl="0">
      <w:startOverride w:val="1"/>
    </w:lvlOverride>
  </w:num>
  <w:num w:numId="2" w16cid:durableId="195705797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526"/>
    <w:rsid w:val="0004124B"/>
    <w:rsid w:val="000B7733"/>
    <w:rsid w:val="00190558"/>
    <w:rsid w:val="002E4E52"/>
    <w:rsid w:val="00411526"/>
    <w:rsid w:val="005A298A"/>
    <w:rsid w:val="006424F1"/>
    <w:rsid w:val="00826708"/>
    <w:rsid w:val="00907654"/>
    <w:rsid w:val="00983970"/>
    <w:rsid w:val="00CA1345"/>
    <w:rsid w:val="00D21F76"/>
    <w:rsid w:val="00DD58B7"/>
    <w:rsid w:val="00E26450"/>
    <w:rsid w:val="00E47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A5C28"/>
  <w15:docId w15:val="{826467B4-0DDB-4EA3-9F34-D9BDB630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DO"/>
    </w:rPr>
  </w:style>
  <w:style w:type="paragraph" w:styleId="Heading1">
    <w:name w:val="heading 1"/>
    <w:uiPriority w:val="9"/>
    <w:qFormat/>
    <w:pPr>
      <w:spacing w:before="320" w:after="160"/>
      <w:outlineLvl w:val="0"/>
    </w:pPr>
    <w:rPr>
      <w:b/>
      <w:bCs/>
      <w:color w:val="1F3864"/>
      <w:sz w:val="28"/>
      <w:szCs w:val="28"/>
    </w:rPr>
  </w:style>
  <w:style w:type="paragraph" w:styleId="Heading2">
    <w:name w:val="heading 2"/>
    <w:uiPriority w:val="9"/>
    <w:unhideWhenUsed/>
    <w:qFormat/>
    <w:pPr>
      <w:spacing w:before="240" w:after="120"/>
      <w:outlineLvl w:val="1"/>
    </w:pPr>
    <w:rPr>
      <w:b/>
      <w:bCs/>
      <w:color w:val="2F549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3398</Words>
  <Characters>19373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Roberto Despradel</cp:lastModifiedBy>
  <cp:revision>5</cp:revision>
  <cp:lastPrinted>2026-03-18T20:26:00Z</cp:lastPrinted>
  <dcterms:created xsi:type="dcterms:W3CDTF">2026-03-18T18:29:00Z</dcterms:created>
  <dcterms:modified xsi:type="dcterms:W3CDTF">2026-03-18T20:39:00Z</dcterms:modified>
</cp:coreProperties>
</file>