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DECLARACION DE CONFIDENCIALIDAD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conformidad con los Artículos 18 inciso 14) del Reglamento la información de carácter confidencial es aquella cuya divulgación implicaría una ventaja significativa para un competidor o tendría un efecto significativamente desfavorable para la persona que proporcione la información o para un tercero del que esta última la haya recibido</w:t>
      </w:r>
    </w:p>
    <w:p w:rsidR="00000000" w:rsidDel="00000000" w:rsidP="00000000" w:rsidRDefault="00000000" w:rsidRPr="00000000" w14:paraId="00000007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LA INFORMACION CONTENIDA EN ESTE DATO/ANEXO ES CONSIDERADA INFORMACION CONFIDENCIAL DE ACUERDO AL ARTICULO 6.5 DEL ACUERDO ANTIDUMPING 12.4 DEL ACUERDO DE SUBVENCIONES Y MEDIDAS COMPENSATORIAS, DEBIDO A QUE SU DIVULGACION IMPLICARIA UNA VENTAJA SIGNIFICATIVA PARA UN COMPETIDOR, ADEMAS DE CAUSAR UN DAŇO FINANCIERO SUSTANCIAL E IRREVERSIBLE PARA NUESTRA EMPRESA.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8164D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8164D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8164D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164DD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164DD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164DD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8164DD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8164DD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164DD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8164DD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8164DD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8164DD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8164D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8164D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8164D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8164DD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8164DD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8164DD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8164DD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164DD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8164DD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F3dAlcetzMGVWlB7Ehnv9V66Cw==">CgMxLjA4AHIhMXN4MFE2Smlpb1VqLW1uVUtTYTZVS3dCdGN5NHpsd01Q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2025-06-26T16:37:00Z</dcterms:created>
  <dc:creator>Lynette Batista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cabe754a-a61f-4be6-afe1-e041ddac6d55</vt:lpwstr>
  </property>
</Properties>
</file>