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32C1B" w14:textId="570B0FBD" w:rsidR="006936FB" w:rsidRPr="00543450" w:rsidRDefault="006936FB" w:rsidP="006936FB">
      <w:pPr>
        <w:spacing w:after="80"/>
        <w:rPr>
          <w:b/>
          <w:bCs/>
          <w:sz w:val="32"/>
          <w:szCs w:val="32"/>
        </w:rPr>
      </w:pPr>
      <w:r>
        <w:rPr>
          <w:b/>
          <w:bCs/>
          <w:sz w:val="32"/>
          <w:szCs w:val="32"/>
        </w:rPr>
        <w:t>Análisis de Probabilidad de Recurrencia de Amenaza de Daño</w:t>
      </w:r>
    </w:p>
    <w:p w14:paraId="59AA09B8" w14:textId="66BDC1BC" w:rsidR="00DB7155" w:rsidRPr="00543450" w:rsidRDefault="00000000" w:rsidP="00543450">
      <w:pPr>
        <w:spacing w:after="200"/>
      </w:pPr>
      <w:r>
        <w:rPr>
          <w:i/>
          <w:iCs/>
        </w:rPr>
        <w:t>Varillas de Acero Originarias de la República Popular China</w:t>
      </w:r>
    </w:p>
    <w:p w14:paraId="6B43BCEB" w14:textId="77777777" w:rsidR="00DB7155" w:rsidRPr="00543450" w:rsidRDefault="00000000">
      <w:pPr>
        <w:pStyle w:val="Heading1"/>
        <w:rPr>
          <w:color w:val="auto"/>
          <w:lang w:val="es-DO"/>
        </w:rPr>
      </w:pPr>
      <w:r>
        <w:rPr>
          <w:color w:val="auto"/>
          <w:lang w:val="es-DO"/>
        </w:rPr>
        <w:t>I. Marco Jurídico y Estándar de Análisis</w:t>
      </w:r>
    </w:p>
    <w:p w14:paraId="20B384D9" w14:textId="77777777" w:rsidR="00DB7155" w:rsidRPr="00543450" w:rsidRDefault="00000000">
      <w:pPr>
        <w:spacing w:before="100" w:after="100" w:line="276" w:lineRule="auto"/>
        <w:jc w:val="both"/>
      </w:pPr>
      <w:r>
        <w:t xml:space="preserve">En el marco de una investigación de expiración de medidas antidumping, la Rama de Producción Nacional (RPN) somete a consideración de la Comisión de Defensa Comercial el presente análisis sobre la amenaza de daño derivada de la probable supresión de las medidas vigentes. Conforme al Artículo 3.7 del Acuerdo Antidumping de la OMC, la determinación de amenaza de daño debe basarse en hechos y no meramente en alegaciones, conjeturas o posibilidades remotas, y el cambio en las circunstancias debe ser claramente </w:t>
      </w:r>
      <w:r>
        <w:t>previsto e inminente. La evidencia presentada en esta sección cumple con dicho estándar.</w:t>
      </w:r>
    </w:p>
    <w:p w14:paraId="67446A6E" w14:textId="1F747B26" w:rsidR="00DB7155" w:rsidRPr="00543450" w:rsidRDefault="00000000">
      <w:pPr>
        <w:spacing w:before="100" w:after="100" w:line="276" w:lineRule="auto"/>
        <w:jc w:val="both"/>
      </w:pPr>
      <w:r>
        <w:t xml:space="preserve">En el contexto de un examen de extinción </w:t>
      </w:r>
      <w:r>
        <w:rPr>
          <w:i/>
          <w:iCs/>
        </w:rPr>
        <w:t>(sunset review),</w:t>
      </w:r>
      <w:r>
        <w:t xml:space="preserve"> el estándar aplicable no requiere que el daño haya materializado, sino que la supresión de las medidas vigentes conduciría probablemente a la continuación o recurrencia del daño o de la amenaza del daño. Este análisis es inherentemente prospectivo y debe sustentarse en la evaluación conjunta de las condiciones del mercado, la capacidad exportadora del país de origen, y el impacto proyectado sobre los indicadores económicos de la Rama de Producción Nacional (RPN).</w:t>
      </w:r>
    </w:p>
    <w:p w14:paraId="01612BFD" w14:textId="4FAA885C" w:rsidR="00DB7155" w:rsidRPr="00543450" w:rsidRDefault="00000000">
      <w:pPr>
        <w:spacing w:before="100" w:after="100" w:line="276" w:lineRule="auto"/>
        <w:jc w:val="both"/>
      </w:pPr>
      <w:r>
        <w:t>Para evaluar la probabilidad de daño, la práctica comparada de autoridades como el Departamento de Comercio de los Estados Unidos y la Comisión Europea considera, entre otros factores:</w:t>
      </w:r>
    </w:p>
    <w:p w14:paraId="07E12982" w14:textId="77777777" w:rsidR="00DB7155" w:rsidRPr="00543450" w:rsidRDefault="00DB7155">
      <w:pPr>
        <w:spacing w:before="80" w:after="80"/>
      </w:pPr>
    </w:p>
    <w:p w14:paraId="6402143A" w14:textId="77777777" w:rsidR="00DB7155" w:rsidRPr="00543450" w:rsidRDefault="00000000">
      <w:pPr>
        <w:pStyle w:val="ListParagraph"/>
        <w:numPr>
          <w:ilvl w:val="0"/>
          <w:numId w:val="2"/>
        </w:numPr>
        <w:spacing w:before="80" w:after="80"/>
        <w:rPr>
          <w:lang w:val="es-DO"/>
        </w:rPr>
      </w:pPr>
      <w:r>
        <w:rPr>
          <w:lang w:val="es-DO"/>
        </w:rPr>
        <w:t>El impacto sobre el volumen de ventas, la participación de mercado y los precios de la industria nacional.</w:t>
      </w:r>
    </w:p>
    <w:p w14:paraId="3ECEDCA9" w14:textId="5F4DBD3B" w:rsidR="00DB7155" w:rsidRPr="00543450" w:rsidRDefault="00000000">
      <w:pPr>
        <w:pStyle w:val="ListParagraph"/>
        <w:numPr>
          <w:ilvl w:val="0"/>
          <w:numId w:val="2"/>
        </w:numPr>
        <w:spacing w:before="80" w:after="80"/>
        <w:rPr>
          <w:lang w:val="es-DO"/>
        </w:rPr>
      </w:pPr>
      <w:r>
        <w:rPr>
          <w:lang w:val="es-DO"/>
        </w:rPr>
        <w:t>El impacto sobre los indicadores financieros de la RPN, incluyendo utilidad bruta, resultado operativo y márgenes de rentabilidad.</w:t>
      </w:r>
    </w:p>
    <w:p w14:paraId="20F40AA0" w14:textId="77777777" w:rsidR="00DB7155" w:rsidRPr="00543450" w:rsidRDefault="00000000">
      <w:pPr>
        <w:pStyle w:val="ListParagraph"/>
        <w:numPr>
          <w:ilvl w:val="0"/>
          <w:numId w:val="2"/>
        </w:numPr>
        <w:spacing w:before="80" w:after="80"/>
        <w:rPr>
          <w:lang w:val="es-DO"/>
        </w:rPr>
      </w:pPr>
      <w:r>
        <w:rPr>
          <w:lang w:val="es-DO"/>
        </w:rPr>
        <w:t>La capacidad del exportador investigado de absorber una fracción significativa del mercado en ausencia de medidas.</w:t>
      </w:r>
    </w:p>
    <w:p w14:paraId="4D485DB0" w14:textId="2A206375" w:rsidR="00DB7155" w:rsidRPr="00543450" w:rsidRDefault="00000000">
      <w:pPr>
        <w:pStyle w:val="ListParagraph"/>
        <w:numPr>
          <w:ilvl w:val="0"/>
          <w:numId w:val="2"/>
        </w:numPr>
        <w:spacing w:before="80" w:after="80"/>
        <w:rPr>
          <w:lang w:val="es-DO"/>
        </w:rPr>
      </w:pPr>
      <w:r>
        <w:rPr>
          <w:lang w:val="es-DO"/>
        </w:rPr>
        <w:t>La sustituibilidad del producto y la sensibilidad del mercado a diferencias de precio entre orígenes.</w:t>
      </w:r>
    </w:p>
    <w:p w14:paraId="6C3F004D" w14:textId="77777777" w:rsidR="00DB7155" w:rsidRPr="00543450" w:rsidRDefault="00DB7155">
      <w:pPr>
        <w:spacing w:before="80" w:after="80"/>
      </w:pPr>
    </w:p>
    <w:p w14:paraId="16BFFFCE" w14:textId="16657D4B" w:rsidR="004E69CD" w:rsidRPr="00543450" w:rsidRDefault="00000000" w:rsidP="004E69CD">
      <w:pPr>
        <w:spacing w:before="100" w:after="100" w:line="276" w:lineRule="auto"/>
        <w:jc w:val="both"/>
      </w:pPr>
      <w:r>
        <w:t>Con base en estos criterios, la RPN presenta a continuación dos escenarios alternativos que ilustran el impacto sobre sus indicadores económicos en caso de supresión de las medidas antidumping vigentes sobre las importaciones de varillas de acero originarias de la República Popular China. Ambos escenarios parten de un escenario base que refleja las condiciones proyectadas bajo continuación de la medida.</w:t>
      </w:r>
    </w:p>
    <w:p w14:paraId="3B5065FD" w14:textId="494A1F29" w:rsidR="00DB7155" w:rsidRPr="00543450" w:rsidRDefault="004E69CD" w:rsidP="004E69CD">
      <w:r>
        <w:br w:type="page"/>
      </w:r>
    </w:p>
    <w:p w14:paraId="5EC54AAA" w14:textId="77777777" w:rsidR="00DB7155" w:rsidRPr="00543450" w:rsidRDefault="00000000">
      <w:pPr>
        <w:pStyle w:val="Heading1"/>
        <w:rPr>
          <w:color w:val="auto"/>
          <w:lang w:val="es-DO"/>
        </w:rPr>
      </w:pPr>
      <w:r>
        <w:rPr>
          <w:color w:val="auto"/>
          <w:lang w:val="es-DO"/>
        </w:rPr>
        <w:lastRenderedPageBreak/>
        <w:t>II. Escenario Base: Proyección con Medida Antidumping Vigente</w:t>
      </w:r>
    </w:p>
    <w:p w14:paraId="51CE4AE0" w14:textId="77777777" w:rsidR="00DB7155" w:rsidRPr="00543450" w:rsidRDefault="00000000">
      <w:pPr>
        <w:spacing w:before="100" w:after="100" w:line="276" w:lineRule="auto"/>
        <w:jc w:val="both"/>
      </w:pPr>
      <w:r>
        <w:t>El escenario base refleja la trayectoria proyectada de los indicadores económicos de la RPN bajo el supuesto de que las medidas antidumping permanecen en vigor. Este escenario constituye el punto de referencia contra el cual se miden los impactos de la supresión de la medida en los dos escenarios alternativos.</w:t>
      </w:r>
    </w:p>
    <w:p w14:paraId="0AD7C941" w14:textId="730FD616" w:rsidR="00DB7155" w:rsidRPr="00543450" w:rsidRDefault="00000000" w:rsidP="004E69CD">
      <w:pPr>
        <w:spacing w:before="100" w:after="100" w:line="276" w:lineRule="auto"/>
        <w:jc w:val="both"/>
      </w:pPr>
      <w:r>
        <w:t xml:space="preserve">Bajo el escenario base, se asume que el mercado total de varillas crece a una tasa del </w:t>
      </w:r>
      <w:r>
        <w:rPr>
          <w:b/>
          <w:bCs/>
        </w:rPr>
        <w:t>3%</w:t>
      </w:r>
      <w:r>
        <w:t xml:space="preserve"> anual. La RPN mantiene su participación de mercado y su precio de venta promedio sin ajustes, lo que permite que sus ingresos y resultados financieros evolucionen en línea con el crecimiento del mercado.</w:t>
      </w:r>
    </w:p>
    <w:p w14:paraId="0F5692F9" w14:textId="20F262B5" w:rsidR="00DB7155" w:rsidRPr="00543450" w:rsidRDefault="00000000" w:rsidP="004E69CD">
      <w:pPr>
        <w:spacing w:before="100" w:after="100" w:line="276" w:lineRule="auto"/>
        <w:jc w:val="both"/>
      </w:pPr>
      <w:r>
        <w:t>Los indicadores proyectados bajo el escenario base son los siguientes</w:t>
      </w:r>
      <w:r w:rsidR="00AE73BE">
        <w:rPr>
          <w:rStyle w:val="FootnoteReference"/>
          <w:b/>
          <w:bCs/>
        </w:rPr>
        <w:footnoteReference w:id="1"/>
      </w:r>
      <w:r>
        <w:t>:</w:t>
      </w:r>
    </w:p>
    <w:p w14:paraId="07511042" w14:textId="6DF667A0" w:rsidR="00DB7155" w:rsidRPr="00543450" w:rsidRDefault="00000000">
      <w:pPr>
        <w:pStyle w:val="ListParagraph"/>
        <w:numPr>
          <w:ilvl w:val="0"/>
          <w:numId w:val="2"/>
        </w:numPr>
        <w:spacing w:before="80" w:after="80"/>
        <w:rPr>
          <w:lang w:val="es-DO"/>
        </w:rPr>
      </w:pPr>
      <w:r>
        <w:rPr>
          <w:lang w:val="es-DO"/>
        </w:rPr>
        <w:t xml:space="preserve">El volumen de ventas de la RPN al mercado nacional crece de </w:t>
      </w:r>
      <w:r>
        <w:rPr>
          <w:b/>
          <w:bCs/>
          <w:lang w:val="es-DO"/>
        </w:rPr>
        <w:t>109.7</w:t>
      </w:r>
      <w:r>
        <w:rPr>
          <w:b/>
          <w:bCs/>
          <w:lang w:val="es-DO"/>
        </w:rPr>
        <w:t xml:space="preserve"> TM</w:t>
      </w:r>
      <w:r>
        <w:rPr>
          <w:lang w:val="es-DO"/>
        </w:rPr>
        <w:t xml:space="preserve"> en 2025 a </w:t>
      </w:r>
      <w:r>
        <w:rPr>
          <w:b/>
          <w:bCs/>
          <w:lang w:val="es-DO"/>
        </w:rPr>
        <w:t>119.9 TM</w:t>
      </w:r>
      <w:r>
        <w:rPr>
          <w:lang w:val="es-DO"/>
        </w:rPr>
        <w:t xml:space="preserve"> en el Año 3, un incremento acumulado del 9%.</w:t>
      </w:r>
    </w:p>
    <w:p w14:paraId="4BE9777D" w14:textId="4AFFAABE" w:rsidR="00DB7155" w:rsidRPr="00543450" w:rsidRDefault="00000000">
      <w:pPr>
        <w:pStyle w:val="ListParagraph"/>
        <w:numPr>
          <w:ilvl w:val="0"/>
          <w:numId w:val="2"/>
        </w:numPr>
        <w:spacing w:before="80" w:after="80"/>
        <w:rPr>
          <w:lang w:val="es-DO"/>
        </w:rPr>
      </w:pPr>
      <w:r>
        <w:rPr>
          <w:lang w:val="es-DO"/>
        </w:rPr>
        <w:t xml:space="preserve">El valor de ventas crece de </w:t>
      </w:r>
      <w:r>
        <w:rPr>
          <w:b/>
          <w:bCs/>
          <w:lang w:val="es-DO"/>
        </w:rPr>
        <w:t>RD$112.6 millones</w:t>
      </w:r>
      <w:r>
        <w:rPr>
          <w:lang w:val="es-DO"/>
        </w:rPr>
        <w:t xml:space="preserve"> a </w:t>
      </w:r>
      <w:r>
        <w:rPr>
          <w:b/>
          <w:bCs/>
          <w:lang w:val="es-DO"/>
        </w:rPr>
        <w:t>RD$123.0 millones</w:t>
      </w:r>
      <w:r>
        <w:rPr>
          <w:lang w:val="es-DO"/>
        </w:rPr>
        <w:t xml:space="preserve"> en el mismo periodo, en línea con el crecimiento en volumen dado que el precio unitario se mantiene constante en </w:t>
      </w:r>
      <w:r>
        <w:rPr>
          <w:b/>
          <w:bCs/>
          <w:lang w:val="es-DO"/>
        </w:rPr>
        <w:t>RD$72,502</w:t>
      </w:r>
      <w:r>
        <w:rPr>
          <w:lang w:val="es-DO"/>
        </w:rPr>
        <w:t xml:space="preserve"> por tonelada.</w:t>
      </w:r>
    </w:p>
    <w:p w14:paraId="5699C323" w14:textId="69773712" w:rsidR="00DB7155" w:rsidRPr="00543450" w:rsidRDefault="00000000">
      <w:pPr>
        <w:pStyle w:val="ListParagraph"/>
        <w:numPr>
          <w:ilvl w:val="0"/>
          <w:numId w:val="2"/>
        </w:numPr>
        <w:spacing w:before="80" w:after="80"/>
        <w:rPr>
          <w:lang w:val="es-DO"/>
        </w:rPr>
      </w:pPr>
      <w:r>
        <w:rPr>
          <w:lang w:val="es-DO"/>
        </w:rPr>
        <w:t xml:space="preserve">La utilidad bruta aumenta de </w:t>
      </w:r>
      <w:r>
        <w:rPr>
          <w:b/>
          <w:bCs/>
          <w:lang w:val="es-DO"/>
        </w:rPr>
        <w:t>RD$112.6 millones a RD$123.0 millones</w:t>
      </w:r>
      <w:r>
        <w:rPr>
          <w:lang w:val="es-DO"/>
        </w:rPr>
        <w:t>, con una variación anual del 3%.</w:t>
      </w:r>
    </w:p>
    <w:p w14:paraId="63DFEF8D" w14:textId="1A2E80DE" w:rsidR="00DB7155" w:rsidRPr="00543450" w:rsidRDefault="00000000">
      <w:pPr>
        <w:pStyle w:val="ListParagraph"/>
        <w:numPr>
          <w:ilvl w:val="0"/>
          <w:numId w:val="2"/>
        </w:numPr>
        <w:spacing w:before="80" w:after="80"/>
        <w:rPr>
          <w:lang w:val="es-DO"/>
        </w:rPr>
      </w:pPr>
      <w:r>
        <w:rPr>
          <w:lang w:val="es-DO"/>
        </w:rPr>
        <w:t xml:space="preserve">El EBIT (utilidad operativa) crece de </w:t>
      </w:r>
      <w:r>
        <w:rPr>
          <w:b/>
          <w:bCs/>
          <w:lang w:val="es-DO"/>
        </w:rPr>
        <w:t>RD$112.6 millones a RD$123.0 millones</w:t>
      </w:r>
      <w:r>
        <w:rPr>
          <w:lang w:val="es-DO"/>
        </w:rPr>
        <w:t xml:space="preserve">, con una variación anual del </w:t>
      </w:r>
      <w:r>
        <w:rPr>
          <w:b/>
          <w:bCs/>
          <w:lang w:val="es-DO"/>
        </w:rPr>
        <w:t>4%</w:t>
      </w:r>
      <w:r>
        <w:rPr>
          <w:lang w:val="es-DO"/>
        </w:rPr>
        <w:t>.</w:t>
      </w:r>
    </w:p>
    <w:p w14:paraId="56BDD95F" w14:textId="1561CE84" w:rsidR="00DB7155" w:rsidRPr="00543450" w:rsidRDefault="00000000" w:rsidP="004E69CD">
      <w:pPr>
        <w:spacing w:before="100" w:after="100" w:line="276" w:lineRule="auto"/>
        <w:jc w:val="both"/>
      </w:pPr>
      <w:r>
        <w:t>Este escenario ilustra que, en condiciones de continuidad de la medida, la RPN mantiene una posición financiera sólida y sostenible, con indicadores de rentabilidad en expansión gradual. Este desempeño estable sirve como referente para dimensionar la magnitud del deterioro proyectado bajo los dos escenarios de supresión.</w:t>
      </w:r>
    </w:p>
    <w:p w14:paraId="4C4903A1" w14:textId="77777777" w:rsidR="00DB7155" w:rsidRPr="00543450" w:rsidRDefault="00000000">
      <w:pPr>
        <w:pStyle w:val="Heading1"/>
        <w:rPr>
          <w:color w:val="auto"/>
          <w:lang w:val="es-DO"/>
        </w:rPr>
      </w:pPr>
      <w:r>
        <w:rPr>
          <w:color w:val="auto"/>
          <w:lang w:val="es-DO"/>
        </w:rPr>
        <w:t>III. Escenarios de Impacto ante la Supresión de la Medida</w:t>
      </w:r>
    </w:p>
    <w:p w14:paraId="7C1ACD1C" w14:textId="7B4E80A3" w:rsidR="00DB7155" w:rsidRPr="00543450" w:rsidRDefault="00000000" w:rsidP="004E69CD">
      <w:pPr>
        <w:spacing w:before="100" w:after="100" w:line="276" w:lineRule="auto"/>
        <w:jc w:val="both"/>
      </w:pPr>
      <w:r>
        <w:t>La supresión de las medidas antidumping generaría, en función del comportamiento de los agentes del mercado, dos respuestas alternativas por parte de la RPN. Ambas conducen a un deterioro significativo de sus indicadores económicos, aunque a través de mecanismos distintos. Los dos escenarios son plausibles y se presentan como alternativas de igual peso analítico, siendo su materialización contingente al comportamiento competitivo de la industria y los importadores.</w:t>
      </w:r>
    </w:p>
    <w:p w14:paraId="2B3BA60E" w14:textId="77777777" w:rsidR="00DB7155" w:rsidRPr="00543450" w:rsidRDefault="00000000">
      <w:pPr>
        <w:pStyle w:val="Heading2"/>
        <w:rPr>
          <w:color w:val="auto"/>
          <w:lang w:val="es-DO"/>
        </w:rPr>
      </w:pPr>
      <w:r>
        <w:rPr>
          <w:color w:val="auto"/>
          <w:lang w:val="es-DO"/>
        </w:rPr>
        <w:t>A. Escenario A: Defensa de la participación de mercado mediante reducción de precios (ND)</w:t>
      </w:r>
    </w:p>
    <w:p w14:paraId="2A5E3CBB" w14:textId="16A0E80C" w:rsidR="00DB7155" w:rsidRPr="00543450" w:rsidRDefault="00000000">
      <w:pPr>
        <w:spacing w:before="100" w:after="100" w:line="276" w:lineRule="auto"/>
        <w:jc w:val="both"/>
      </w:pPr>
      <w:r>
        <w:lastRenderedPageBreak/>
        <w:t xml:space="preserve">En el </w:t>
      </w:r>
      <w:r>
        <w:rPr>
          <w:b/>
          <w:bCs/>
        </w:rPr>
        <w:t>Escenario A</w:t>
      </w:r>
      <w:r>
        <w:t xml:space="preserve">, se asume que la RPN opta por mantener su participación de mercado reduciendo su precio de venta en un </w:t>
      </w:r>
      <w:r>
        <w:rPr>
          <w:b/>
          <w:bCs/>
        </w:rPr>
        <w:t>ND</w:t>
      </w:r>
      <w:r w:rsidR="00AE73BE">
        <w:rPr>
          <w:rStyle w:val="FootnoteReference"/>
          <w:b/>
          <w:bCs/>
        </w:rPr>
        <w:footnoteReference w:id="2"/>
      </w:r>
      <w:r>
        <w:rPr>
          <w:b/>
          <w:bCs/>
        </w:rPr>
        <w:t>.</w:t>
      </w:r>
      <w:r>
        <w:t xml:space="preserve"> Esta reducción se deriva directamente del diferencial de precios proyectado en el modelo prospectivo: durante los próximos 36 meses, el precio de exportación chino se ubicaría en promedio un </w:t>
      </w:r>
      <w:r>
        <w:rPr>
          <w:b/>
          <w:bCs/>
        </w:rPr>
        <w:t>ND</w:t>
      </w:r>
      <w:r>
        <w:t xml:space="preserve"> por debajo del precio de la RPN. Para que la RPN iguale el precio chino, la reducción necesaria sobre su propio precio es de (ND) = </w:t>
      </w:r>
      <w:r>
        <w:rPr>
          <w:b/>
          <w:bCs/>
        </w:rPr>
        <w:t>ND.</w:t>
      </w:r>
      <w:r>
        <w:t xml:space="preserve"> Este ajuste busca contener la penetración de importaciones chinas en condiciones de competencia directa por precio.</w:t>
      </w:r>
    </w:p>
    <w:p w14:paraId="7C4C9D02" w14:textId="77777777" w:rsidR="00DB7155" w:rsidRPr="00543450" w:rsidRDefault="00DB7155">
      <w:pPr>
        <w:spacing w:before="80" w:after="80"/>
      </w:pPr>
    </w:p>
    <w:p w14:paraId="22305615" w14:textId="77777777" w:rsidR="00DB7155" w:rsidRPr="00543450" w:rsidRDefault="00000000">
      <w:pPr>
        <w:spacing w:before="100" w:after="100" w:line="276" w:lineRule="auto"/>
        <w:jc w:val="both"/>
      </w:pPr>
      <w:r>
        <w:t>Este escenario refleja un comportamiento racional en un mercado de bien homogéneo, donde la competencia se define principalmente por precio. Ante la entrada de un proveedor con ventaja de costo, la alternativa de la empresa local es igualar o aproximarse a ese precio para evitar la pérdida de clientes. Sin embargo, esta estrategia tiene un costo financiero severo, dado que la reducción de precios comprime los márgenes hasta niveles incompatibles con la viabilidad operativa.</w:t>
      </w:r>
    </w:p>
    <w:p w14:paraId="3449E38C" w14:textId="2364E46A" w:rsidR="00DB7155" w:rsidRPr="00543450" w:rsidRDefault="00000000" w:rsidP="004E69CD">
      <w:pPr>
        <w:spacing w:before="100" w:after="100" w:line="276" w:lineRule="auto"/>
        <w:jc w:val="both"/>
      </w:pPr>
      <w:r>
        <w:t>Los supuestos del escenario son los siguientes:</w:t>
      </w:r>
    </w:p>
    <w:p w14:paraId="11AB3705" w14:textId="77777777" w:rsidR="00DB7155" w:rsidRPr="00543450" w:rsidRDefault="00000000">
      <w:pPr>
        <w:pStyle w:val="ListParagraph"/>
        <w:numPr>
          <w:ilvl w:val="0"/>
          <w:numId w:val="2"/>
        </w:numPr>
        <w:spacing w:before="80" w:after="80"/>
        <w:rPr>
          <w:lang w:val="es-DO"/>
        </w:rPr>
      </w:pPr>
      <w:r>
        <w:rPr>
          <w:lang w:val="es-DO"/>
        </w:rPr>
        <w:t>Crecimiento del mercado total: 3% anual.</w:t>
      </w:r>
    </w:p>
    <w:p w14:paraId="706A8764" w14:textId="77777777" w:rsidR="00DB7155" w:rsidRPr="00543450" w:rsidRDefault="00000000">
      <w:pPr>
        <w:pStyle w:val="ListParagraph"/>
        <w:numPr>
          <w:ilvl w:val="0"/>
          <w:numId w:val="2"/>
        </w:numPr>
        <w:spacing w:before="80" w:after="80"/>
        <w:rPr>
          <w:lang w:val="es-DO"/>
        </w:rPr>
      </w:pPr>
      <w:r>
        <w:rPr>
          <w:lang w:val="es-DO"/>
        </w:rPr>
        <w:t>Crecimiento del volumen de ventas de la RPN: 3% anual (participación de mercado sostenida).</w:t>
      </w:r>
    </w:p>
    <w:p w14:paraId="41D8F998" w14:textId="5D1F98BF" w:rsidR="00DB7155" w:rsidRPr="00543450" w:rsidRDefault="00000000">
      <w:pPr>
        <w:pStyle w:val="ListParagraph"/>
        <w:numPr>
          <w:ilvl w:val="0"/>
          <w:numId w:val="2"/>
        </w:numPr>
        <w:spacing w:before="80" w:after="80"/>
        <w:rPr>
          <w:lang w:val="es-DO"/>
        </w:rPr>
      </w:pPr>
      <w:r>
        <w:rPr>
          <w:lang w:val="es-DO"/>
        </w:rPr>
        <w:t>Cambio en los costos de producción: 0% (sin variación), que se mantiene constante como supuesto conservador para aislar el efecto precio.</w:t>
      </w:r>
    </w:p>
    <w:p w14:paraId="6B1CCEDC" w14:textId="678A8113" w:rsidR="00DB7155" w:rsidRPr="00543450" w:rsidRDefault="00000000" w:rsidP="004E69CD">
      <w:pPr>
        <w:pStyle w:val="ListParagraph"/>
        <w:numPr>
          <w:ilvl w:val="0"/>
          <w:numId w:val="2"/>
        </w:numPr>
        <w:spacing w:before="80" w:after="80"/>
        <w:rPr>
          <w:lang w:val="es-DO"/>
        </w:rPr>
      </w:pPr>
      <w:r>
        <w:rPr>
          <w:lang w:val="es-DO"/>
        </w:rPr>
        <w:t>Reducción del precio de venta para igualar el precio chino y defender participación de mercado: ND (derivado de un diferencial de precio proyectado de ND en favor de China durante los próximos 36 meses).</w:t>
      </w:r>
    </w:p>
    <w:p w14:paraId="12AF41E5" w14:textId="77777777" w:rsidR="004E69CD" w:rsidRPr="00543450" w:rsidRDefault="004E69CD" w:rsidP="004E69CD">
      <w:pPr>
        <w:pStyle w:val="ListParagraph"/>
        <w:spacing w:before="80" w:after="80"/>
        <w:ind w:left="720"/>
        <w:rPr>
          <w:lang w:val="es-DO"/>
        </w:rPr>
      </w:pPr>
    </w:p>
    <w:p w14:paraId="02CBD5E9" w14:textId="77777777" w:rsidR="004E69CD" w:rsidRPr="00543450" w:rsidRDefault="00000000">
      <w:pPr>
        <w:spacing w:before="160" w:after="60"/>
        <w:jc w:val="center"/>
        <w:rPr>
          <w:b/>
          <w:bCs/>
          <w:sz w:val="20"/>
          <w:szCs w:val="20"/>
        </w:rPr>
      </w:pPr>
      <w:r>
        <w:rPr>
          <w:b/>
          <w:bCs/>
          <w:sz w:val="20"/>
          <w:szCs w:val="20"/>
        </w:rPr>
        <w:t>Tabla 1. Escenario Base vs. Escenario A: Indicadores económicos proyectados de la RPN</w:t>
      </w:r>
    </w:p>
    <w:p w14:paraId="4B38C56F" w14:textId="054D6E11" w:rsidR="00DB7155" w:rsidRPr="00543450" w:rsidRDefault="00000000">
      <w:pPr>
        <w:spacing w:before="160" w:after="60"/>
        <w:jc w:val="center"/>
      </w:pPr>
      <w:r>
        <w:rPr>
          <w:b/>
          <w:bCs/>
          <w:sz w:val="20"/>
          <w:szCs w:val="20"/>
        </w:rPr>
        <w:t xml:space="preserve"> (Años 1-3)</w:t>
      </w:r>
      <w:r w:rsidR="00AE73BE">
        <w:rPr>
          <w:rStyle w:val="FootnoteReference"/>
          <w:b/>
          <w:bCs/>
          <w:sz w:val="20"/>
          <w:szCs w:val="20"/>
        </w:rPr>
        <w:footnoteReference w:id="3"/>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66"/>
        <w:gridCol w:w="918"/>
        <w:gridCol w:w="1237"/>
        <w:gridCol w:w="1237"/>
        <w:gridCol w:w="1237"/>
        <w:gridCol w:w="1237"/>
        <w:gridCol w:w="1028"/>
      </w:tblGrid>
      <w:tr w:rsidR="004E69CD" w:rsidRPr="00543450" w14:paraId="74C6F2EC" w14:textId="77777777">
        <w:trPr>
          <w:tblHeader/>
        </w:trPr>
        <w:tc>
          <w:tcPr>
            <w:tcW w:w="2530" w:type="dxa"/>
            <w:tcBorders>
              <w:top w:val="single" w:sz="4" w:space="0" w:color="BFBFBF"/>
              <w:left w:val="single" w:sz="4" w:space="0" w:color="BFBFBF"/>
              <w:bottom w:val="single" w:sz="4" w:space="0" w:color="BFBFBF"/>
              <w:right w:val="single" w:sz="4" w:space="0" w:color="BFBFBF"/>
            </w:tcBorders>
            <w:shd w:val="clear" w:color="auto" w:fill="1F3864"/>
            <w:tcMar>
              <w:top w:w="80" w:type="dxa"/>
              <w:left w:w="120" w:type="dxa"/>
              <w:bottom w:w="80" w:type="dxa"/>
              <w:right w:w="120" w:type="dxa"/>
            </w:tcMar>
            <w:vAlign w:val="center"/>
          </w:tcPr>
          <w:p w14:paraId="5BFB025F" w14:textId="77777777" w:rsidR="00DB7155" w:rsidRPr="00543450" w:rsidRDefault="00000000">
            <w:r>
              <w:rPr>
                <w:b/>
                <w:bCs/>
                <w:sz w:val="20"/>
                <w:szCs w:val="20"/>
              </w:rPr>
              <w:t>Indicador</w:t>
            </w:r>
          </w:p>
        </w:tc>
        <w:tc>
          <w:tcPr>
            <w:tcW w:w="723" w:type="dxa"/>
            <w:tcBorders>
              <w:top w:val="single" w:sz="4" w:space="0" w:color="BFBFBF"/>
              <w:left w:val="single" w:sz="4" w:space="0" w:color="BFBFBF"/>
              <w:bottom w:val="single" w:sz="4" w:space="0" w:color="BFBFBF"/>
              <w:right w:val="single" w:sz="4" w:space="0" w:color="BFBFBF"/>
            </w:tcBorders>
            <w:shd w:val="clear" w:color="auto" w:fill="1F3864"/>
            <w:tcMar>
              <w:top w:w="80" w:type="dxa"/>
              <w:left w:w="120" w:type="dxa"/>
              <w:bottom w:w="80" w:type="dxa"/>
              <w:right w:w="120" w:type="dxa"/>
            </w:tcMar>
            <w:vAlign w:val="center"/>
          </w:tcPr>
          <w:p w14:paraId="4796E88D" w14:textId="77777777" w:rsidR="00DB7155" w:rsidRPr="00543450" w:rsidRDefault="00000000">
            <w:pPr>
              <w:jc w:val="center"/>
            </w:pPr>
            <w:r>
              <w:rPr>
                <w:b/>
                <w:bCs/>
                <w:sz w:val="20"/>
                <w:szCs w:val="20"/>
              </w:rPr>
              <w:t>Unidad</w:t>
            </w:r>
          </w:p>
        </w:tc>
        <w:tc>
          <w:tcPr>
            <w:tcW w:w="1265" w:type="dxa"/>
            <w:tcBorders>
              <w:top w:val="single" w:sz="4" w:space="0" w:color="BFBFBF"/>
              <w:left w:val="single" w:sz="4" w:space="0" w:color="BFBFBF"/>
              <w:bottom w:val="single" w:sz="4" w:space="0" w:color="BFBFBF"/>
              <w:right w:val="single" w:sz="4" w:space="0" w:color="BFBFBF"/>
            </w:tcBorders>
            <w:shd w:val="clear" w:color="auto" w:fill="1F3864"/>
            <w:tcMar>
              <w:top w:w="80" w:type="dxa"/>
              <w:left w:w="120" w:type="dxa"/>
              <w:bottom w:w="80" w:type="dxa"/>
              <w:right w:w="120" w:type="dxa"/>
            </w:tcMar>
            <w:vAlign w:val="center"/>
          </w:tcPr>
          <w:p w14:paraId="03645499" w14:textId="77777777" w:rsidR="00DB7155" w:rsidRPr="00543450" w:rsidRDefault="00000000">
            <w:pPr>
              <w:jc w:val="center"/>
            </w:pPr>
            <w:r>
              <w:rPr>
                <w:b/>
                <w:bCs/>
                <w:sz w:val="20"/>
                <w:szCs w:val="20"/>
              </w:rPr>
              <w:t>Base 2025</w:t>
            </w:r>
          </w:p>
        </w:tc>
        <w:tc>
          <w:tcPr>
            <w:tcW w:w="1265" w:type="dxa"/>
            <w:tcBorders>
              <w:top w:val="single" w:sz="4" w:space="0" w:color="BFBFBF"/>
              <w:left w:val="single" w:sz="4" w:space="0" w:color="BFBFBF"/>
              <w:bottom w:val="single" w:sz="4" w:space="0" w:color="BFBFBF"/>
              <w:right w:val="single" w:sz="4" w:space="0" w:color="BFBFBF"/>
            </w:tcBorders>
            <w:shd w:val="clear" w:color="auto" w:fill="1F3864"/>
            <w:tcMar>
              <w:top w:w="80" w:type="dxa"/>
              <w:left w:w="120" w:type="dxa"/>
              <w:bottom w:w="80" w:type="dxa"/>
              <w:right w:w="120" w:type="dxa"/>
            </w:tcMar>
            <w:vAlign w:val="center"/>
          </w:tcPr>
          <w:p w14:paraId="3B0E3039" w14:textId="77777777" w:rsidR="00DB7155" w:rsidRPr="00543450" w:rsidRDefault="00000000">
            <w:pPr>
              <w:jc w:val="center"/>
            </w:pPr>
            <w:r>
              <w:rPr>
                <w:b/>
                <w:bCs/>
                <w:sz w:val="20"/>
                <w:szCs w:val="20"/>
              </w:rPr>
              <w:t>Año 1</w:t>
            </w:r>
          </w:p>
        </w:tc>
        <w:tc>
          <w:tcPr>
            <w:tcW w:w="1265" w:type="dxa"/>
            <w:tcBorders>
              <w:top w:val="single" w:sz="4" w:space="0" w:color="BFBFBF"/>
              <w:left w:val="single" w:sz="4" w:space="0" w:color="BFBFBF"/>
              <w:bottom w:val="single" w:sz="4" w:space="0" w:color="BFBFBF"/>
              <w:right w:val="single" w:sz="4" w:space="0" w:color="BFBFBF"/>
            </w:tcBorders>
            <w:shd w:val="clear" w:color="auto" w:fill="1F3864"/>
            <w:tcMar>
              <w:top w:w="80" w:type="dxa"/>
              <w:left w:w="120" w:type="dxa"/>
              <w:bottom w:w="80" w:type="dxa"/>
              <w:right w:w="120" w:type="dxa"/>
            </w:tcMar>
            <w:vAlign w:val="center"/>
          </w:tcPr>
          <w:p w14:paraId="2A5CCEDA" w14:textId="77777777" w:rsidR="00DB7155" w:rsidRPr="00543450" w:rsidRDefault="00000000">
            <w:pPr>
              <w:jc w:val="center"/>
            </w:pPr>
            <w:r>
              <w:rPr>
                <w:b/>
                <w:bCs/>
                <w:sz w:val="20"/>
                <w:szCs w:val="20"/>
              </w:rPr>
              <w:t>Año 2</w:t>
            </w:r>
          </w:p>
        </w:tc>
        <w:tc>
          <w:tcPr>
            <w:tcW w:w="1265" w:type="dxa"/>
            <w:tcBorders>
              <w:top w:val="single" w:sz="4" w:space="0" w:color="BFBFBF"/>
              <w:left w:val="single" w:sz="4" w:space="0" w:color="BFBFBF"/>
              <w:bottom w:val="single" w:sz="4" w:space="0" w:color="BFBFBF"/>
              <w:right w:val="single" w:sz="4" w:space="0" w:color="BFBFBF"/>
            </w:tcBorders>
            <w:shd w:val="clear" w:color="auto" w:fill="1F3864"/>
            <w:tcMar>
              <w:top w:w="80" w:type="dxa"/>
              <w:left w:w="120" w:type="dxa"/>
              <w:bottom w:w="80" w:type="dxa"/>
              <w:right w:w="120" w:type="dxa"/>
            </w:tcMar>
            <w:vAlign w:val="center"/>
          </w:tcPr>
          <w:p w14:paraId="45785A5C" w14:textId="77777777" w:rsidR="00DB7155" w:rsidRPr="00543450" w:rsidRDefault="00000000">
            <w:pPr>
              <w:jc w:val="center"/>
            </w:pPr>
            <w:r>
              <w:rPr>
                <w:b/>
                <w:bCs/>
                <w:sz w:val="20"/>
                <w:szCs w:val="20"/>
              </w:rPr>
              <w:t>Año 3</w:t>
            </w:r>
          </w:p>
        </w:tc>
        <w:tc>
          <w:tcPr>
            <w:tcW w:w="1048" w:type="dxa"/>
            <w:tcBorders>
              <w:top w:val="single" w:sz="4" w:space="0" w:color="BFBFBF"/>
              <w:left w:val="single" w:sz="4" w:space="0" w:color="BFBFBF"/>
              <w:bottom w:val="single" w:sz="4" w:space="0" w:color="BFBFBF"/>
              <w:right w:val="single" w:sz="4" w:space="0" w:color="BFBFBF"/>
            </w:tcBorders>
            <w:shd w:val="clear" w:color="auto" w:fill="1F3864"/>
            <w:tcMar>
              <w:top w:w="80" w:type="dxa"/>
              <w:left w:w="120" w:type="dxa"/>
              <w:bottom w:w="80" w:type="dxa"/>
              <w:right w:w="120" w:type="dxa"/>
            </w:tcMar>
            <w:vAlign w:val="center"/>
          </w:tcPr>
          <w:p w14:paraId="352F5B1B" w14:textId="77777777" w:rsidR="00DB7155" w:rsidRPr="00543450" w:rsidRDefault="00000000">
            <w:pPr>
              <w:jc w:val="center"/>
            </w:pPr>
            <w:r>
              <w:rPr>
                <w:b/>
                <w:bCs/>
                <w:sz w:val="20"/>
                <w:szCs w:val="20"/>
              </w:rPr>
              <w:t>Var. Año 1 vs. Base</w:t>
            </w:r>
          </w:p>
        </w:tc>
      </w:tr>
      <w:tr w:rsidR="004E69CD" w:rsidRPr="00543450" w14:paraId="3008CBA1" w14:textId="77777777">
        <w:tc>
          <w:tcPr>
            <w:tcW w:w="2530" w:type="dxa"/>
            <w:tcBorders>
              <w:top w:val="single" w:sz="4" w:space="0" w:color="BFBFBF"/>
              <w:left w:val="single" w:sz="4" w:space="0" w:color="BFBFBF"/>
              <w:bottom w:val="single" w:sz="4" w:space="0" w:color="BFBFBF"/>
              <w:right w:val="single" w:sz="4" w:space="0" w:color="BFBFBF"/>
            </w:tcBorders>
            <w:shd w:val="clear" w:color="auto" w:fill="D9E2F3"/>
            <w:tcMar>
              <w:top w:w="80" w:type="dxa"/>
              <w:left w:w="120" w:type="dxa"/>
              <w:bottom w:w="80" w:type="dxa"/>
              <w:right w:w="120" w:type="dxa"/>
            </w:tcMar>
            <w:vAlign w:val="center"/>
          </w:tcPr>
          <w:p w14:paraId="0F6238F4" w14:textId="77777777" w:rsidR="00DB7155" w:rsidRPr="00543450" w:rsidRDefault="00000000">
            <w:r>
              <w:rPr>
                <w:b/>
                <w:bCs/>
                <w:sz w:val="18"/>
                <w:szCs w:val="18"/>
              </w:rPr>
              <w:t>ESCENARIO BASE (con medida antidumping vigente)</w:t>
            </w:r>
          </w:p>
        </w:tc>
        <w:tc>
          <w:tcPr>
            <w:tcW w:w="723" w:type="dxa"/>
            <w:tcBorders>
              <w:top w:val="single" w:sz="4" w:space="0" w:color="BFBFBF"/>
              <w:left w:val="single" w:sz="4" w:space="0" w:color="BFBFBF"/>
              <w:bottom w:val="single" w:sz="4" w:space="0" w:color="BFBFBF"/>
              <w:right w:val="single" w:sz="4" w:space="0" w:color="BFBFBF"/>
            </w:tcBorders>
            <w:shd w:val="clear" w:color="auto" w:fill="D9E2F3"/>
            <w:tcMar>
              <w:top w:w="80" w:type="dxa"/>
              <w:left w:w="120" w:type="dxa"/>
              <w:bottom w:w="80" w:type="dxa"/>
              <w:right w:w="120" w:type="dxa"/>
            </w:tcMar>
            <w:vAlign w:val="center"/>
          </w:tcPr>
          <w:p w14:paraId="462FADCD" w14:textId="77777777" w:rsidR="00DB7155" w:rsidRPr="00543450" w:rsidRDefault="00DB7155"/>
        </w:tc>
        <w:tc>
          <w:tcPr>
            <w:tcW w:w="1265" w:type="dxa"/>
            <w:tcBorders>
              <w:top w:val="single" w:sz="4" w:space="0" w:color="BFBFBF"/>
              <w:left w:val="single" w:sz="4" w:space="0" w:color="BFBFBF"/>
              <w:bottom w:val="single" w:sz="4" w:space="0" w:color="BFBFBF"/>
              <w:right w:val="single" w:sz="4" w:space="0" w:color="BFBFBF"/>
            </w:tcBorders>
            <w:shd w:val="clear" w:color="auto" w:fill="D9E2F3"/>
            <w:tcMar>
              <w:top w:w="80" w:type="dxa"/>
              <w:left w:w="120" w:type="dxa"/>
              <w:bottom w:w="80" w:type="dxa"/>
              <w:right w:w="120" w:type="dxa"/>
            </w:tcMar>
            <w:vAlign w:val="center"/>
          </w:tcPr>
          <w:p w14:paraId="2E2B5E0D" w14:textId="77777777" w:rsidR="00DB7155" w:rsidRPr="00543450" w:rsidRDefault="00DB7155"/>
        </w:tc>
        <w:tc>
          <w:tcPr>
            <w:tcW w:w="1265" w:type="dxa"/>
            <w:tcBorders>
              <w:top w:val="single" w:sz="4" w:space="0" w:color="BFBFBF"/>
              <w:left w:val="single" w:sz="4" w:space="0" w:color="BFBFBF"/>
              <w:bottom w:val="single" w:sz="4" w:space="0" w:color="BFBFBF"/>
              <w:right w:val="single" w:sz="4" w:space="0" w:color="BFBFBF"/>
            </w:tcBorders>
            <w:shd w:val="clear" w:color="auto" w:fill="D9E2F3"/>
            <w:tcMar>
              <w:top w:w="80" w:type="dxa"/>
              <w:left w:w="120" w:type="dxa"/>
              <w:bottom w:w="80" w:type="dxa"/>
              <w:right w:w="120" w:type="dxa"/>
            </w:tcMar>
            <w:vAlign w:val="center"/>
          </w:tcPr>
          <w:p w14:paraId="50C3E4A0" w14:textId="77777777" w:rsidR="00DB7155" w:rsidRPr="00543450" w:rsidRDefault="00DB7155"/>
        </w:tc>
        <w:tc>
          <w:tcPr>
            <w:tcW w:w="1265" w:type="dxa"/>
            <w:tcBorders>
              <w:top w:val="single" w:sz="4" w:space="0" w:color="BFBFBF"/>
              <w:left w:val="single" w:sz="4" w:space="0" w:color="BFBFBF"/>
              <w:bottom w:val="single" w:sz="4" w:space="0" w:color="BFBFBF"/>
              <w:right w:val="single" w:sz="4" w:space="0" w:color="BFBFBF"/>
            </w:tcBorders>
            <w:shd w:val="clear" w:color="auto" w:fill="D9E2F3"/>
            <w:tcMar>
              <w:top w:w="80" w:type="dxa"/>
              <w:left w:w="120" w:type="dxa"/>
              <w:bottom w:w="80" w:type="dxa"/>
              <w:right w:w="120" w:type="dxa"/>
            </w:tcMar>
            <w:vAlign w:val="center"/>
          </w:tcPr>
          <w:p w14:paraId="0626A80B" w14:textId="77777777" w:rsidR="00DB7155" w:rsidRPr="00543450" w:rsidRDefault="00DB7155"/>
        </w:tc>
        <w:tc>
          <w:tcPr>
            <w:tcW w:w="1265" w:type="dxa"/>
            <w:tcBorders>
              <w:top w:val="single" w:sz="4" w:space="0" w:color="BFBFBF"/>
              <w:left w:val="single" w:sz="4" w:space="0" w:color="BFBFBF"/>
              <w:bottom w:val="single" w:sz="4" w:space="0" w:color="BFBFBF"/>
              <w:right w:val="single" w:sz="4" w:space="0" w:color="BFBFBF"/>
            </w:tcBorders>
            <w:shd w:val="clear" w:color="auto" w:fill="D9E2F3"/>
            <w:tcMar>
              <w:top w:w="80" w:type="dxa"/>
              <w:left w:w="120" w:type="dxa"/>
              <w:bottom w:w="80" w:type="dxa"/>
              <w:right w:w="120" w:type="dxa"/>
            </w:tcMar>
            <w:vAlign w:val="center"/>
          </w:tcPr>
          <w:p w14:paraId="14096047" w14:textId="77777777" w:rsidR="00DB7155" w:rsidRPr="00543450" w:rsidRDefault="00DB7155"/>
        </w:tc>
        <w:tc>
          <w:tcPr>
            <w:tcW w:w="1048" w:type="dxa"/>
            <w:tcBorders>
              <w:top w:val="single" w:sz="4" w:space="0" w:color="BFBFBF"/>
              <w:left w:val="single" w:sz="4" w:space="0" w:color="BFBFBF"/>
              <w:bottom w:val="single" w:sz="4" w:space="0" w:color="BFBFBF"/>
              <w:right w:val="single" w:sz="4" w:space="0" w:color="BFBFBF"/>
            </w:tcBorders>
            <w:shd w:val="clear" w:color="auto" w:fill="D9E2F3"/>
            <w:tcMar>
              <w:top w:w="80" w:type="dxa"/>
              <w:left w:w="120" w:type="dxa"/>
              <w:bottom w:w="80" w:type="dxa"/>
              <w:right w:w="120" w:type="dxa"/>
            </w:tcMar>
            <w:vAlign w:val="center"/>
          </w:tcPr>
          <w:p w14:paraId="46BF32B3" w14:textId="77777777" w:rsidR="00DB7155" w:rsidRPr="00543450" w:rsidRDefault="00DB7155"/>
        </w:tc>
      </w:tr>
      <w:tr w:rsidR="004E69CD" w:rsidRPr="00543450" w14:paraId="67A49084" w14:textId="77777777">
        <w:tc>
          <w:tcPr>
            <w:tcW w:w="253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5C78A7B8" w14:textId="77777777" w:rsidR="00DB7155" w:rsidRPr="00543450" w:rsidRDefault="00000000">
            <w:r>
              <w:rPr>
                <w:sz w:val="18"/>
                <w:szCs w:val="18"/>
              </w:rPr>
              <w:t>Volumen de ventas RPN - mercado nacional</w:t>
            </w:r>
          </w:p>
        </w:tc>
        <w:tc>
          <w:tcPr>
            <w:tcW w:w="723"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1BC71B95" w14:textId="77777777" w:rsidR="00DB7155" w:rsidRPr="00543450" w:rsidRDefault="00000000">
            <w:pPr>
              <w:jc w:val="center"/>
            </w:pPr>
            <w:r>
              <w:rPr>
                <w:sz w:val="18"/>
                <w:szCs w:val="18"/>
              </w:rPr>
              <w:t>TM</w:t>
            </w:r>
          </w:p>
        </w:tc>
        <w:tc>
          <w:tcPr>
            <w:tcW w:w="1265"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4079DF85" w14:textId="77777777" w:rsidR="00DB7155" w:rsidRPr="00543450" w:rsidRDefault="00000000">
            <w:pPr>
              <w:jc w:val="right"/>
            </w:pPr>
            <w:r>
              <w:rPr>
                <w:sz w:val="18"/>
                <w:szCs w:val="18"/>
              </w:rPr>
              <w:t>109.7</w:t>
            </w:r>
          </w:p>
        </w:tc>
        <w:tc>
          <w:tcPr>
            <w:tcW w:w="1265"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1E80DA98" w14:textId="77777777" w:rsidR="00DB7155" w:rsidRPr="00543450" w:rsidRDefault="00000000">
            <w:pPr>
              <w:jc w:val="right"/>
            </w:pPr>
            <w:r>
              <w:rPr>
                <w:sz w:val="18"/>
                <w:szCs w:val="18"/>
              </w:rPr>
              <w:t>113.0</w:t>
            </w:r>
          </w:p>
        </w:tc>
        <w:tc>
          <w:tcPr>
            <w:tcW w:w="1265"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504EB490" w14:textId="77777777" w:rsidR="00DB7155" w:rsidRPr="00543450" w:rsidRDefault="00000000">
            <w:pPr>
              <w:jc w:val="right"/>
            </w:pPr>
            <w:r>
              <w:rPr>
                <w:sz w:val="18"/>
                <w:szCs w:val="18"/>
              </w:rPr>
              <w:t>116.4</w:t>
            </w:r>
          </w:p>
        </w:tc>
        <w:tc>
          <w:tcPr>
            <w:tcW w:w="1265"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7671CCC1" w14:textId="77777777" w:rsidR="00DB7155" w:rsidRPr="00543450" w:rsidRDefault="00000000">
            <w:pPr>
              <w:jc w:val="right"/>
            </w:pPr>
            <w:r>
              <w:rPr>
                <w:sz w:val="18"/>
                <w:szCs w:val="18"/>
              </w:rPr>
              <w:t>119.9</w:t>
            </w:r>
          </w:p>
        </w:tc>
        <w:tc>
          <w:tcPr>
            <w:tcW w:w="1048"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06C8FD28" w14:textId="77777777" w:rsidR="00DB7155" w:rsidRPr="00543450" w:rsidRDefault="00000000">
            <w:pPr>
              <w:jc w:val="center"/>
            </w:pPr>
            <w:r>
              <w:rPr>
                <w:sz w:val="18"/>
                <w:szCs w:val="18"/>
              </w:rPr>
              <w:t>+3%</w:t>
            </w:r>
          </w:p>
        </w:tc>
      </w:tr>
      <w:tr w:rsidR="004E69CD" w:rsidRPr="00543450" w14:paraId="0CAF416C" w14:textId="77777777">
        <w:tc>
          <w:tcPr>
            <w:tcW w:w="253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2F48FF81" w14:textId="77777777" w:rsidR="00DB7155" w:rsidRPr="00543450" w:rsidRDefault="00000000">
            <w:r>
              <w:rPr>
                <w:sz w:val="18"/>
                <w:szCs w:val="18"/>
              </w:rPr>
              <w:lastRenderedPageBreak/>
              <w:t>Valor de ventas RPN - mercado nacional</w:t>
            </w:r>
          </w:p>
        </w:tc>
        <w:tc>
          <w:tcPr>
            <w:tcW w:w="723"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1E7ED2C1" w14:textId="77777777" w:rsidR="00DB7155" w:rsidRPr="00543450" w:rsidRDefault="00000000">
            <w:pPr>
              <w:jc w:val="center"/>
            </w:pPr>
            <w:r>
              <w:rPr>
                <w:sz w:val="18"/>
                <w:szCs w:val="18"/>
              </w:rPr>
              <w:t>RD$M</w:t>
            </w:r>
          </w:p>
        </w:tc>
        <w:tc>
          <w:tcPr>
            <w:tcW w:w="1265"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0267F642" w14:textId="77777777" w:rsidR="00DB7155" w:rsidRPr="00543450" w:rsidRDefault="00000000">
            <w:pPr>
              <w:jc w:val="right"/>
            </w:pPr>
            <w:r>
              <w:rPr>
                <w:sz w:val="18"/>
                <w:szCs w:val="18"/>
              </w:rPr>
              <w:t>112.6</w:t>
            </w:r>
          </w:p>
        </w:tc>
        <w:tc>
          <w:tcPr>
            <w:tcW w:w="1265"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695EE1AB" w14:textId="77777777" w:rsidR="00DB7155" w:rsidRPr="00543450" w:rsidRDefault="00000000">
            <w:pPr>
              <w:jc w:val="right"/>
            </w:pPr>
            <w:r>
              <w:rPr>
                <w:sz w:val="18"/>
                <w:szCs w:val="18"/>
              </w:rPr>
              <w:t>115.9</w:t>
            </w:r>
          </w:p>
        </w:tc>
        <w:tc>
          <w:tcPr>
            <w:tcW w:w="1265"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780456F4" w14:textId="77777777" w:rsidR="00DB7155" w:rsidRPr="00543450" w:rsidRDefault="00000000">
            <w:pPr>
              <w:jc w:val="right"/>
            </w:pPr>
            <w:r>
              <w:rPr>
                <w:sz w:val="18"/>
                <w:szCs w:val="18"/>
              </w:rPr>
              <w:t>119.4</w:t>
            </w:r>
          </w:p>
        </w:tc>
        <w:tc>
          <w:tcPr>
            <w:tcW w:w="1265"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5988CCD2" w14:textId="77777777" w:rsidR="00DB7155" w:rsidRPr="00543450" w:rsidRDefault="00000000">
            <w:pPr>
              <w:jc w:val="right"/>
            </w:pPr>
            <w:r>
              <w:rPr>
                <w:sz w:val="18"/>
                <w:szCs w:val="18"/>
              </w:rPr>
              <w:t>123.0</w:t>
            </w:r>
          </w:p>
        </w:tc>
        <w:tc>
          <w:tcPr>
            <w:tcW w:w="1048"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702669A1" w14:textId="77777777" w:rsidR="00DB7155" w:rsidRPr="00543450" w:rsidRDefault="00000000">
            <w:pPr>
              <w:jc w:val="center"/>
            </w:pPr>
            <w:r>
              <w:rPr>
                <w:sz w:val="18"/>
                <w:szCs w:val="18"/>
              </w:rPr>
              <w:t>+3%</w:t>
            </w:r>
          </w:p>
        </w:tc>
      </w:tr>
      <w:tr w:rsidR="004E69CD" w:rsidRPr="00543450" w14:paraId="1E0C201D" w14:textId="77777777">
        <w:tc>
          <w:tcPr>
            <w:tcW w:w="253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3A6D907F" w14:textId="77777777" w:rsidR="00DB7155" w:rsidRPr="00543450" w:rsidRDefault="00000000">
            <w:r>
              <w:rPr>
                <w:sz w:val="18"/>
                <w:szCs w:val="18"/>
              </w:rPr>
              <w:t>Precio anual promedio (valor/volumen)</w:t>
            </w:r>
          </w:p>
        </w:tc>
        <w:tc>
          <w:tcPr>
            <w:tcW w:w="723"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184D1DD3" w14:textId="77777777" w:rsidR="00DB7155" w:rsidRPr="00543450" w:rsidRDefault="00000000">
            <w:pPr>
              <w:jc w:val="center"/>
            </w:pPr>
            <w:r>
              <w:rPr>
                <w:sz w:val="18"/>
                <w:szCs w:val="18"/>
              </w:rPr>
              <w:t>RD$/TM</w:t>
            </w:r>
          </w:p>
        </w:tc>
        <w:tc>
          <w:tcPr>
            <w:tcW w:w="1265"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617DD847" w14:textId="77777777" w:rsidR="00DB7155" w:rsidRPr="00543450" w:rsidRDefault="00000000">
            <w:pPr>
              <w:jc w:val="right"/>
            </w:pPr>
            <w:r>
              <w:rPr>
                <w:sz w:val="18"/>
                <w:szCs w:val="18"/>
              </w:rPr>
              <w:t>72,502</w:t>
            </w:r>
          </w:p>
        </w:tc>
        <w:tc>
          <w:tcPr>
            <w:tcW w:w="1265"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33DF1793" w14:textId="77777777" w:rsidR="00DB7155" w:rsidRPr="00543450" w:rsidRDefault="00000000">
            <w:pPr>
              <w:jc w:val="right"/>
            </w:pPr>
            <w:r>
              <w:rPr>
                <w:sz w:val="18"/>
                <w:szCs w:val="18"/>
              </w:rPr>
              <w:t>72,502</w:t>
            </w:r>
          </w:p>
        </w:tc>
        <w:tc>
          <w:tcPr>
            <w:tcW w:w="1265"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10983EF1" w14:textId="77777777" w:rsidR="00DB7155" w:rsidRPr="00543450" w:rsidRDefault="00000000">
            <w:pPr>
              <w:jc w:val="right"/>
            </w:pPr>
            <w:r>
              <w:rPr>
                <w:sz w:val="18"/>
                <w:szCs w:val="18"/>
              </w:rPr>
              <w:t>72,502</w:t>
            </w:r>
          </w:p>
        </w:tc>
        <w:tc>
          <w:tcPr>
            <w:tcW w:w="1265"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3BB3638A" w14:textId="77777777" w:rsidR="00DB7155" w:rsidRPr="00543450" w:rsidRDefault="00000000">
            <w:pPr>
              <w:jc w:val="right"/>
            </w:pPr>
            <w:r>
              <w:rPr>
                <w:sz w:val="18"/>
                <w:szCs w:val="18"/>
              </w:rPr>
              <w:t>72,502</w:t>
            </w:r>
          </w:p>
        </w:tc>
        <w:tc>
          <w:tcPr>
            <w:tcW w:w="1048"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6BFE839D" w14:textId="77777777" w:rsidR="00DB7155" w:rsidRPr="00543450" w:rsidRDefault="00000000">
            <w:pPr>
              <w:jc w:val="center"/>
            </w:pPr>
            <w:r>
              <w:rPr>
                <w:sz w:val="18"/>
                <w:szCs w:val="18"/>
              </w:rPr>
              <w:t>0%</w:t>
            </w:r>
          </w:p>
        </w:tc>
      </w:tr>
      <w:tr w:rsidR="004E69CD" w:rsidRPr="00543450" w14:paraId="5474B1BB" w14:textId="77777777">
        <w:tc>
          <w:tcPr>
            <w:tcW w:w="253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5238B899" w14:textId="77777777" w:rsidR="00DB7155" w:rsidRPr="00543450" w:rsidRDefault="00000000">
            <w:r>
              <w:rPr>
                <w:sz w:val="18"/>
                <w:szCs w:val="18"/>
              </w:rPr>
              <w:t>Utilidad bruta</w:t>
            </w:r>
          </w:p>
        </w:tc>
        <w:tc>
          <w:tcPr>
            <w:tcW w:w="723"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650EAB08" w14:textId="77777777" w:rsidR="00DB7155" w:rsidRPr="00543450" w:rsidRDefault="00000000">
            <w:pPr>
              <w:jc w:val="center"/>
            </w:pPr>
            <w:r>
              <w:rPr>
                <w:sz w:val="18"/>
                <w:szCs w:val="18"/>
              </w:rPr>
              <w:t>RD$M</w:t>
            </w:r>
          </w:p>
        </w:tc>
        <w:tc>
          <w:tcPr>
            <w:tcW w:w="1265"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7EC44FDB" w14:textId="77777777" w:rsidR="00DB7155" w:rsidRPr="00543450" w:rsidRDefault="00000000">
            <w:pPr>
              <w:jc w:val="right"/>
            </w:pPr>
            <w:r>
              <w:rPr>
                <w:sz w:val="18"/>
                <w:szCs w:val="18"/>
              </w:rPr>
              <w:t>112.6</w:t>
            </w:r>
          </w:p>
        </w:tc>
        <w:tc>
          <w:tcPr>
            <w:tcW w:w="1265"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4C3891B9" w14:textId="77777777" w:rsidR="00DB7155" w:rsidRPr="00543450" w:rsidRDefault="00000000">
            <w:pPr>
              <w:jc w:val="right"/>
            </w:pPr>
            <w:r>
              <w:rPr>
                <w:sz w:val="18"/>
                <w:szCs w:val="18"/>
              </w:rPr>
              <w:t>115.9</w:t>
            </w:r>
          </w:p>
        </w:tc>
        <w:tc>
          <w:tcPr>
            <w:tcW w:w="1265"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313B4824" w14:textId="77777777" w:rsidR="00DB7155" w:rsidRPr="00543450" w:rsidRDefault="00000000">
            <w:pPr>
              <w:jc w:val="right"/>
            </w:pPr>
            <w:r>
              <w:rPr>
                <w:sz w:val="18"/>
                <w:szCs w:val="18"/>
              </w:rPr>
              <w:t>119.4</w:t>
            </w:r>
          </w:p>
        </w:tc>
        <w:tc>
          <w:tcPr>
            <w:tcW w:w="1265"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4A4B5010" w14:textId="77777777" w:rsidR="00DB7155" w:rsidRPr="00543450" w:rsidRDefault="00000000">
            <w:pPr>
              <w:jc w:val="right"/>
            </w:pPr>
            <w:r>
              <w:rPr>
                <w:sz w:val="18"/>
                <w:szCs w:val="18"/>
              </w:rPr>
              <w:t>123.0</w:t>
            </w:r>
          </w:p>
        </w:tc>
        <w:tc>
          <w:tcPr>
            <w:tcW w:w="1048"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464B5E7D" w14:textId="77777777" w:rsidR="00DB7155" w:rsidRPr="00543450" w:rsidRDefault="00000000">
            <w:pPr>
              <w:jc w:val="center"/>
            </w:pPr>
            <w:r>
              <w:rPr>
                <w:sz w:val="18"/>
                <w:szCs w:val="18"/>
              </w:rPr>
              <w:t>+3%</w:t>
            </w:r>
          </w:p>
        </w:tc>
      </w:tr>
      <w:tr w:rsidR="004E69CD" w:rsidRPr="00543450" w14:paraId="4C9C876D" w14:textId="77777777">
        <w:tc>
          <w:tcPr>
            <w:tcW w:w="253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1BD34859" w14:textId="77777777" w:rsidR="00DB7155" w:rsidRPr="00543450" w:rsidRDefault="00000000">
            <w:r>
              <w:rPr>
                <w:sz w:val="18"/>
                <w:szCs w:val="18"/>
              </w:rPr>
              <w:t>EBIT (Utilidad operativa)</w:t>
            </w:r>
          </w:p>
        </w:tc>
        <w:tc>
          <w:tcPr>
            <w:tcW w:w="723"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138B4A03" w14:textId="77777777" w:rsidR="00DB7155" w:rsidRPr="00543450" w:rsidRDefault="00000000">
            <w:pPr>
              <w:jc w:val="center"/>
            </w:pPr>
            <w:r>
              <w:rPr>
                <w:sz w:val="18"/>
                <w:szCs w:val="18"/>
              </w:rPr>
              <w:t>RD$M</w:t>
            </w:r>
          </w:p>
        </w:tc>
        <w:tc>
          <w:tcPr>
            <w:tcW w:w="1265"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61A31A19" w14:textId="77777777" w:rsidR="00DB7155" w:rsidRPr="00543450" w:rsidRDefault="00000000">
            <w:pPr>
              <w:jc w:val="right"/>
            </w:pPr>
            <w:r>
              <w:rPr>
                <w:sz w:val="18"/>
                <w:szCs w:val="18"/>
              </w:rPr>
              <w:t>112.6</w:t>
            </w:r>
          </w:p>
        </w:tc>
        <w:tc>
          <w:tcPr>
            <w:tcW w:w="1265"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492D1616" w14:textId="77777777" w:rsidR="00DB7155" w:rsidRPr="00543450" w:rsidRDefault="00000000">
            <w:pPr>
              <w:jc w:val="right"/>
            </w:pPr>
            <w:r>
              <w:rPr>
                <w:sz w:val="18"/>
                <w:szCs w:val="18"/>
              </w:rPr>
              <w:t>115.9</w:t>
            </w:r>
          </w:p>
        </w:tc>
        <w:tc>
          <w:tcPr>
            <w:tcW w:w="1265"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61B51E23" w14:textId="77777777" w:rsidR="00DB7155" w:rsidRPr="00543450" w:rsidRDefault="00000000">
            <w:pPr>
              <w:jc w:val="right"/>
            </w:pPr>
            <w:r>
              <w:rPr>
                <w:sz w:val="18"/>
                <w:szCs w:val="18"/>
              </w:rPr>
              <w:t>119.4</w:t>
            </w:r>
          </w:p>
        </w:tc>
        <w:tc>
          <w:tcPr>
            <w:tcW w:w="1265"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7C51FDE0" w14:textId="77777777" w:rsidR="00DB7155" w:rsidRPr="00543450" w:rsidRDefault="00000000">
            <w:pPr>
              <w:jc w:val="right"/>
            </w:pPr>
            <w:r>
              <w:rPr>
                <w:sz w:val="18"/>
                <w:szCs w:val="18"/>
              </w:rPr>
              <w:t>123.0</w:t>
            </w:r>
          </w:p>
        </w:tc>
        <w:tc>
          <w:tcPr>
            <w:tcW w:w="1048"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7085806B" w14:textId="77777777" w:rsidR="00DB7155" w:rsidRPr="00543450" w:rsidRDefault="00000000">
            <w:pPr>
              <w:jc w:val="center"/>
            </w:pPr>
            <w:r>
              <w:rPr>
                <w:sz w:val="18"/>
                <w:szCs w:val="18"/>
              </w:rPr>
              <w:t>+4%</w:t>
            </w:r>
          </w:p>
        </w:tc>
      </w:tr>
      <w:tr w:rsidR="004E69CD" w:rsidRPr="00543450" w14:paraId="57D3EEBE" w14:textId="77777777">
        <w:tc>
          <w:tcPr>
            <w:tcW w:w="2530" w:type="dxa"/>
            <w:tcBorders>
              <w:top w:val="single" w:sz="4" w:space="0" w:color="BFBFBF"/>
              <w:left w:val="single" w:sz="4" w:space="0" w:color="BFBFBF"/>
              <w:bottom w:val="single" w:sz="4" w:space="0" w:color="BFBFBF"/>
              <w:right w:val="single" w:sz="4" w:space="0" w:color="BFBFBF"/>
            </w:tcBorders>
            <w:shd w:val="clear" w:color="auto" w:fill="D9E2F3"/>
            <w:tcMar>
              <w:top w:w="80" w:type="dxa"/>
              <w:left w:w="120" w:type="dxa"/>
              <w:bottom w:w="80" w:type="dxa"/>
              <w:right w:w="120" w:type="dxa"/>
            </w:tcMar>
            <w:vAlign w:val="center"/>
          </w:tcPr>
          <w:p w14:paraId="2C04327F" w14:textId="77777777" w:rsidR="00DB7155" w:rsidRPr="00543450" w:rsidRDefault="00000000">
            <w:r>
              <w:rPr>
                <w:b/>
                <w:bCs/>
                <w:sz w:val="18"/>
                <w:szCs w:val="18"/>
              </w:rPr>
              <w:t>ESCENARIO A - Defensa de market share (ND precio)</w:t>
            </w:r>
          </w:p>
        </w:tc>
        <w:tc>
          <w:tcPr>
            <w:tcW w:w="723" w:type="dxa"/>
            <w:tcBorders>
              <w:top w:val="single" w:sz="4" w:space="0" w:color="BFBFBF"/>
              <w:left w:val="single" w:sz="4" w:space="0" w:color="BFBFBF"/>
              <w:bottom w:val="single" w:sz="4" w:space="0" w:color="BFBFBF"/>
              <w:right w:val="single" w:sz="4" w:space="0" w:color="BFBFBF"/>
            </w:tcBorders>
            <w:shd w:val="clear" w:color="auto" w:fill="D9E2F3"/>
            <w:tcMar>
              <w:top w:w="80" w:type="dxa"/>
              <w:left w:w="120" w:type="dxa"/>
              <w:bottom w:w="80" w:type="dxa"/>
              <w:right w:w="120" w:type="dxa"/>
            </w:tcMar>
            <w:vAlign w:val="center"/>
          </w:tcPr>
          <w:p w14:paraId="3811FA12" w14:textId="77777777" w:rsidR="00DB7155" w:rsidRPr="00543450" w:rsidRDefault="00DB7155"/>
        </w:tc>
        <w:tc>
          <w:tcPr>
            <w:tcW w:w="1265" w:type="dxa"/>
            <w:tcBorders>
              <w:top w:val="single" w:sz="4" w:space="0" w:color="BFBFBF"/>
              <w:left w:val="single" w:sz="4" w:space="0" w:color="BFBFBF"/>
              <w:bottom w:val="single" w:sz="4" w:space="0" w:color="BFBFBF"/>
              <w:right w:val="single" w:sz="4" w:space="0" w:color="BFBFBF"/>
            </w:tcBorders>
            <w:shd w:val="clear" w:color="auto" w:fill="D9E2F3"/>
            <w:tcMar>
              <w:top w:w="80" w:type="dxa"/>
              <w:left w:w="120" w:type="dxa"/>
              <w:bottom w:w="80" w:type="dxa"/>
              <w:right w:w="120" w:type="dxa"/>
            </w:tcMar>
            <w:vAlign w:val="center"/>
          </w:tcPr>
          <w:p w14:paraId="24B34667" w14:textId="77777777" w:rsidR="00DB7155" w:rsidRPr="00543450" w:rsidRDefault="00DB7155"/>
        </w:tc>
        <w:tc>
          <w:tcPr>
            <w:tcW w:w="1265" w:type="dxa"/>
            <w:tcBorders>
              <w:top w:val="single" w:sz="4" w:space="0" w:color="BFBFBF"/>
              <w:left w:val="single" w:sz="4" w:space="0" w:color="BFBFBF"/>
              <w:bottom w:val="single" w:sz="4" w:space="0" w:color="BFBFBF"/>
              <w:right w:val="single" w:sz="4" w:space="0" w:color="BFBFBF"/>
            </w:tcBorders>
            <w:shd w:val="clear" w:color="auto" w:fill="D9E2F3"/>
            <w:tcMar>
              <w:top w:w="80" w:type="dxa"/>
              <w:left w:w="120" w:type="dxa"/>
              <w:bottom w:w="80" w:type="dxa"/>
              <w:right w:w="120" w:type="dxa"/>
            </w:tcMar>
            <w:vAlign w:val="center"/>
          </w:tcPr>
          <w:p w14:paraId="0CA0AA4C" w14:textId="77777777" w:rsidR="00DB7155" w:rsidRPr="00543450" w:rsidRDefault="00DB7155"/>
        </w:tc>
        <w:tc>
          <w:tcPr>
            <w:tcW w:w="1265" w:type="dxa"/>
            <w:tcBorders>
              <w:top w:val="single" w:sz="4" w:space="0" w:color="BFBFBF"/>
              <w:left w:val="single" w:sz="4" w:space="0" w:color="BFBFBF"/>
              <w:bottom w:val="single" w:sz="4" w:space="0" w:color="BFBFBF"/>
              <w:right w:val="single" w:sz="4" w:space="0" w:color="BFBFBF"/>
            </w:tcBorders>
            <w:shd w:val="clear" w:color="auto" w:fill="D9E2F3"/>
            <w:tcMar>
              <w:top w:w="80" w:type="dxa"/>
              <w:left w:w="120" w:type="dxa"/>
              <w:bottom w:w="80" w:type="dxa"/>
              <w:right w:w="120" w:type="dxa"/>
            </w:tcMar>
            <w:vAlign w:val="center"/>
          </w:tcPr>
          <w:p w14:paraId="0AB1E706" w14:textId="77777777" w:rsidR="00DB7155" w:rsidRPr="00543450" w:rsidRDefault="00DB7155"/>
        </w:tc>
        <w:tc>
          <w:tcPr>
            <w:tcW w:w="1265" w:type="dxa"/>
            <w:tcBorders>
              <w:top w:val="single" w:sz="4" w:space="0" w:color="BFBFBF"/>
              <w:left w:val="single" w:sz="4" w:space="0" w:color="BFBFBF"/>
              <w:bottom w:val="single" w:sz="4" w:space="0" w:color="BFBFBF"/>
              <w:right w:val="single" w:sz="4" w:space="0" w:color="BFBFBF"/>
            </w:tcBorders>
            <w:shd w:val="clear" w:color="auto" w:fill="D9E2F3"/>
            <w:tcMar>
              <w:top w:w="80" w:type="dxa"/>
              <w:left w:w="120" w:type="dxa"/>
              <w:bottom w:w="80" w:type="dxa"/>
              <w:right w:w="120" w:type="dxa"/>
            </w:tcMar>
            <w:vAlign w:val="center"/>
          </w:tcPr>
          <w:p w14:paraId="65F89A9C" w14:textId="77777777" w:rsidR="00DB7155" w:rsidRPr="00543450" w:rsidRDefault="00DB7155"/>
        </w:tc>
        <w:tc>
          <w:tcPr>
            <w:tcW w:w="1048" w:type="dxa"/>
            <w:tcBorders>
              <w:top w:val="single" w:sz="4" w:space="0" w:color="BFBFBF"/>
              <w:left w:val="single" w:sz="4" w:space="0" w:color="BFBFBF"/>
              <w:bottom w:val="single" w:sz="4" w:space="0" w:color="BFBFBF"/>
              <w:right w:val="single" w:sz="4" w:space="0" w:color="BFBFBF"/>
            </w:tcBorders>
            <w:shd w:val="clear" w:color="auto" w:fill="D9E2F3"/>
            <w:tcMar>
              <w:top w:w="80" w:type="dxa"/>
              <w:left w:w="120" w:type="dxa"/>
              <w:bottom w:w="80" w:type="dxa"/>
              <w:right w:w="120" w:type="dxa"/>
            </w:tcMar>
            <w:vAlign w:val="center"/>
          </w:tcPr>
          <w:p w14:paraId="0D502CD0" w14:textId="77777777" w:rsidR="00DB7155" w:rsidRPr="00543450" w:rsidRDefault="00DB7155"/>
        </w:tc>
      </w:tr>
      <w:tr w:rsidR="004E69CD" w:rsidRPr="00543450" w14:paraId="559AAAF2" w14:textId="77777777">
        <w:tc>
          <w:tcPr>
            <w:tcW w:w="253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787ADE4A" w14:textId="77777777" w:rsidR="00DB7155" w:rsidRPr="00543450" w:rsidRDefault="00000000">
            <w:r>
              <w:rPr>
                <w:sz w:val="18"/>
                <w:szCs w:val="18"/>
              </w:rPr>
              <w:t>Volumen de ventas RPN - mercado nacional</w:t>
            </w:r>
          </w:p>
        </w:tc>
        <w:tc>
          <w:tcPr>
            <w:tcW w:w="723"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1CAEB2F9" w14:textId="77777777" w:rsidR="00DB7155" w:rsidRPr="00543450" w:rsidRDefault="00000000">
            <w:pPr>
              <w:jc w:val="center"/>
            </w:pPr>
            <w:r>
              <w:rPr>
                <w:sz w:val="18"/>
                <w:szCs w:val="18"/>
              </w:rPr>
              <w:t>TM</w:t>
            </w:r>
          </w:p>
        </w:tc>
        <w:tc>
          <w:tcPr>
            <w:tcW w:w="1265"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7514B81F" w14:textId="77777777" w:rsidR="00DB7155" w:rsidRPr="00543450" w:rsidRDefault="00000000">
            <w:pPr>
              <w:jc w:val="right"/>
            </w:pPr>
            <w:r>
              <w:rPr>
                <w:sz w:val="18"/>
                <w:szCs w:val="18"/>
              </w:rPr>
              <w:t>109.7</w:t>
            </w:r>
          </w:p>
        </w:tc>
        <w:tc>
          <w:tcPr>
            <w:tcW w:w="1265"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36E869E9" w14:textId="77777777" w:rsidR="00DB7155" w:rsidRPr="00543450" w:rsidRDefault="00000000">
            <w:pPr>
              <w:jc w:val="right"/>
            </w:pPr>
            <w:r>
              <w:rPr>
                <w:sz w:val="18"/>
                <w:szCs w:val="18"/>
              </w:rPr>
              <w:t>113.0</w:t>
            </w:r>
          </w:p>
        </w:tc>
        <w:tc>
          <w:tcPr>
            <w:tcW w:w="1265"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0D33D1CF" w14:textId="77777777" w:rsidR="00DB7155" w:rsidRPr="00543450" w:rsidRDefault="00000000">
            <w:pPr>
              <w:jc w:val="right"/>
            </w:pPr>
            <w:r>
              <w:rPr>
                <w:sz w:val="18"/>
                <w:szCs w:val="18"/>
              </w:rPr>
              <w:t>116.4</w:t>
            </w:r>
          </w:p>
        </w:tc>
        <w:tc>
          <w:tcPr>
            <w:tcW w:w="1265"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1804B497" w14:textId="77777777" w:rsidR="00DB7155" w:rsidRPr="00543450" w:rsidRDefault="00000000">
            <w:pPr>
              <w:jc w:val="right"/>
            </w:pPr>
            <w:r>
              <w:rPr>
                <w:sz w:val="18"/>
                <w:szCs w:val="18"/>
              </w:rPr>
              <w:t>119.9</w:t>
            </w:r>
          </w:p>
        </w:tc>
        <w:tc>
          <w:tcPr>
            <w:tcW w:w="1048"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0790B5CA" w14:textId="77777777" w:rsidR="00DB7155" w:rsidRPr="00543450" w:rsidRDefault="00000000">
            <w:pPr>
              <w:jc w:val="center"/>
            </w:pPr>
            <w:r>
              <w:rPr>
                <w:sz w:val="18"/>
                <w:szCs w:val="18"/>
              </w:rPr>
              <w:t>+3%</w:t>
            </w:r>
          </w:p>
        </w:tc>
      </w:tr>
      <w:tr w:rsidR="004E69CD" w:rsidRPr="00543450" w14:paraId="2270A618" w14:textId="77777777">
        <w:tc>
          <w:tcPr>
            <w:tcW w:w="253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299CF855" w14:textId="77777777" w:rsidR="00DB7155" w:rsidRPr="00543450" w:rsidRDefault="00000000">
            <w:r>
              <w:rPr>
                <w:sz w:val="18"/>
                <w:szCs w:val="18"/>
              </w:rPr>
              <w:t>Valor de ventas RPN - mercado nacional</w:t>
            </w:r>
          </w:p>
        </w:tc>
        <w:tc>
          <w:tcPr>
            <w:tcW w:w="723"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05EF965F" w14:textId="77777777" w:rsidR="00DB7155" w:rsidRPr="00543450" w:rsidRDefault="00000000">
            <w:pPr>
              <w:jc w:val="center"/>
            </w:pPr>
            <w:r>
              <w:rPr>
                <w:sz w:val="18"/>
                <w:szCs w:val="18"/>
              </w:rPr>
              <w:t>RD$M</w:t>
            </w:r>
          </w:p>
        </w:tc>
        <w:tc>
          <w:tcPr>
            <w:tcW w:w="1265"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5368648C" w14:textId="77777777" w:rsidR="00DB7155" w:rsidRPr="00543450" w:rsidRDefault="00000000">
            <w:pPr>
              <w:jc w:val="right"/>
            </w:pPr>
            <w:r>
              <w:rPr>
                <w:sz w:val="18"/>
                <w:szCs w:val="18"/>
              </w:rPr>
              <w:t>112.6</w:t>
            </w:r>
          </w:p>
        </w:tc>
        <w:tc>
          <w:tcPr>
            <w:tcW w:w="1265"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66E624E0" w14:textId="77777777" w:rsidR="00DB7155" w:rsidRPr="00185AA2" w:rsidRDefault="00000000">
            <w:pPr>
              <w:jc w:val="right"/>
              <w:rPr>
                <w:b/>
                <w:bCs/>
              </w:rPr>
            </w:pPr>
            <w:r>
              <w:rPr>
                <w:b/>
                <w:bCs/>
                <w:sz w:val="18"/>
                <w:szCs w:val="18"/>
              </w:rPr>
              <w:t>92.5</w:t>
            </w:r>
          </w:p>
        </w:tc>
        <w:tc>
          <w:tcPr>
            <w:tcW w:w="1265"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2621934C" w14:textId="77777777" w:rsidR="00DB7155" w:rsidRPr="00543450" w:rsidRDefault="00000000">
            <w:pPr>
              <w:jc w:val="right"/>
            </w:pPr>
            <w:r>
              <w:rPr>
                <w:sz w:val="18"/>
                <w:szCs w:val="18"/>
              </w:rPr>
              <w:t>95.3</w:t>
            </w:r>
          </w:p>
        </w:tc>
        <w:tc>
          <w:tcPr>
            <w:tcW w:w="1265"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711C8FFE" w14:textId="77777777" w:rsidR="00DB7155" w:rsidRPr="00543450" w:rsidRDefault="00000000">
            <w:pPr>
              <w:jc w:val="right"/>
            </w:pPr>
            <w:r>
              <w:rPr>
                <w:sz w:val="18"/>
                <w:szCs w:val="18"/>
              </w:rPr>
              <w:t>98.1</w:t>
            </w:r>
          </w:p>
        </w:tc>
        <w:tc>
          <w:tcPr>
            <w:tcW w:w="1048" w:type="dxa"/>
            <w:tcBorders>
              <w:top w:val="single" w:sz="4" w:space="0" w:color="BFBFBF"/>
              <w:left w:val="single" w:sz="4" w:space="0" w:color="BFBFBF"/>
              <w:bottom w:val="single" w:sz="4" w:space="0" w:color="BFBFBF"/>
              <w:right w:val="single" w:sz="4" w:space="0" w:color="BFBFBF"/>
            </w:tcBorders>
            <w:shd w:val="clear" w:color="auto" w:fill="FFE0E0"/>
            <w:tcMar>
              <w:top w:w="80" w:type="dxa"/>
              <w:left w:w="120" w:type="dxa"/>
              <w:bottom w:w="80" w:type="dxa"/>
              <w:right w:w="120" w:type="dxa"/>
            </w:tcMar>
            <w:vAlign w:val="center"/>
          </w:tcPr>
          <w:p w14:paraId="6FCCE4C1" w14:textId="77777777" w:rsidR="00DB7155" w:rsidRPr="00543450" w:rsidRDefault="00000000">
            <w:pPr>
              <w:jc w:val="center"/>
            </w:pPr>
            <w:r>
              <w:rPr>
                <w:b/>
                <w:bCs/>
                <w:sz w:val="18"/>
                <w:szCs w:val="18"/>
              </w:rPr>
              <w:t>-18%</w:t>
            </w:r>
          </w:p>
        </w:tc>
      </w:tr>
      <w:tr w:rsidR="004E69CD" w:rsidRPr="00543450" w14:paraId="670F666A" w14:textId="77777777">
        <w:tc>
          <w:tcPr>
            <w:tcW w:w="253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56A0A26F" w14:textId="77777777" w:rsidR="00DB7155" w:rsidRPr="00543450" w:rsidRDefault="00000000">
            <w:r>
              <w:rPr>
                <w:sz w:val="18"/>
                <w:szCs w:val="18"/>
              </w:rPr>
              <w:t>Precio anual promedio (valor/volumen)</w:t>
            </w:r>
          </w:p>
        </w:tc>
        <w:tc>
          <w:tcPr>
            <w:tcW w:w="723"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6B84739C" w14:textId="77777777" w:rsidR="00DB7155" w:rsidRPr="00543450" w:rsidRDefault="00000000">
            <w:pPr>
              <w:jc w:val="center"/>
            </w:pPr>
            <w:r>
              <w:rPr>
                <w:sz w:val="18"/>
                <w:szCs w:val="18"/>
              </w:rPr>
              <w:t>RD$/TM</w:t>
            </w:r>
          </w:p>
        </w:tc>
        <w:tc>
          <w:tcPr>
            <w:tcW w:w="1265"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5354081B" w14:textId="77777777" w:rsidR="00DB7155" w:rsidRPr="00543450" w:rsidRDefault="00000000">
            <w:pPr>
              <w:jc w:val="right"/>
            </w:pPr>
            <w:r>
              <w:rPr>
                <w:sz w:val="18"/>
                <w:szCs w:val="18"/>
              </w:rPr>
              <w:t>72,502</w:t>
            </w:r>
          </w:p>
        </w:tc>
        <w:tc>
          <w:tcPr>
            <w:tcW w:w="1265"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59C7C4F4" w14:textId="77777777" w:rsidR="00DB7155" w:rsidRPr="00543450" w:rsidRDefault="00000000">
            <w:pPr>
              <w:jc w:val="right"/>
            </w:pPr>
            <w:r>
              <w:rPr>
                <w:sz w:val="18"/>
                <w:szCs w:val="18"/>
              </w:rPr>
              <w:t>ND</w:t>
            </w:r>
          </w:p>
        </w:tc>
        <w:tc>
          <w:tcPr>
            <w:tcW w:w="1265"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5FDBB9FA" w14:textId="77777777" w:rsidR="00DB7155" w:rsidRPr="00543450" w:rsidRDefault="00000000">
            <w:pPr>
              <w:jc w:val="right"/>
            </w:pPr>
            <w:r>
              <w:rPr>
                <w:sz w:val="18"/>
                <w:szCs w:val="18"/>
              </w:rPr>
              <w:t>ND</w:t>
            </w:r>
          </w:p>
        </w:tc>
        <w:tc>
          <w:tcPr>
            <w:tcW w:w="1265"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0B7A96E5" w14:textId="77777777" w:rsidR="00DB7155" w:rsidRPr="00543450" w:rsidRDefault="00000000">
            <w:pPr>
              <w:jc w:val="right"/>
            </w:pPr>
            <w:r>
              <w:rPr>
                <w:sz w:val="18"/>
                <w:szCs w:val="18"/>
              </w:rPr>
              <w:t>ND</w:t>
            </w:r>
          </w:p>
        </w:tc>
        <w:tc>
          <w:tcPr>
            <w:tcW w:w="1048" w:type="dxa"/>
            <w:tcBorders>
              <w:top w:val="single" w:sz="4" w:space="0" w:color="BFBFBF"/>
              <w:left w:val="single" w:sz="4" w:space="0" w:color="BFBFBF"/>
              <w:bottom w:val="single" w:sz="4" w:space="0" w:color="BFBFBF"/>
              <w:right w:val="single" w:sz="4" w:space="0" w:color="BFBFBF"/>
            </w:tcBorders>
            <w:shd w:val="clear" w:color="auto" w:fill="FFE0E0"/>
            <w:tcMar>
              <w:top w:w="80" w:type="dxa"/>
              <w:left w:w="120" w:type="dxa"/>
              <w:bottom w:w="80" w:type="dxa"/>
              <w:right w:w="120" w:type="dxa"/>
            </w:tcMar>
            <w:vAlign w:val="center"/>
          </w:tcPr>
          <w:p w14:paraId="78FB9851" w14:textId="77777777" w:rsidR="00DB7155" w:rsidRPr="00543450" w:rsidRDefault="00000000">
            <w:pPr>
              <w:jc w:val="center"/>
            </w:pPr>
            <w:r>
              <w:rPr>
                <w:b/>
                <w:bCs/>
                <w:sz w:val="18"/>
                <w:szCs w:val="18"/>
              </w:rPr>
              <w:t>ND</w:t>
            </w:r>
          </w:p>
        </w:tc>
      </w:tr>
      <w:tr w:rsidR="004E69CD" w:rsidRPr="00543450" w14:paraId="0D52EC3C" w14:textId="77777777">
        <w:tc>
          <w:tcPr>
            <w:tcW w:w="253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54D8EE9C" w14:textId="77777777" w:rsidR="00DB7155" w:rsidRPr="00543450" w:rsidRDefault="00000000">
            <w:r>
              <w:rPr>
                <w:sz w:val="18"/>
                <w:szCs w:val="18"/>
              </w:rPr>
              <w:t>Utilidad bruta</w:t>
            </w:r>
          </w:p>
        </w:tc>
        <w:tc>
          <w:tcPr>
            <w:tcW w:w="723"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2146CB6A" w14:textId="77777777" w:rsidR="00DB7155" w:rsidRPr="00543450" w:rsidRDefault="00000000">
            <w:pPr>
              <w:jc w:val="center"/>
            </w:pPr>
            <w:r>
              <w:rPr>
                <w:sz w:val="18"/>
                <w:szCs w:val="18"/>
              </w:rPr>
              <w:t>RD$M</w:t>
            </w:r>
          </w:p>
        </w:tc>
        <w:tc>
          <w:tcPr>
            <w:tcW w:w="1265"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33F654D6" w14:textId="77777777" w:rsidR="00DB7155" w:rsidRPr="00543450" w:rsidRDefault="00000000">
            <w:pPr>
              <w:jc w:val="right"/>
            </w:pPr>
            <w:r>
              <w:rPr>
                <w:sz w:val="18"/>
                <w:szCs w:val="18"/>
              </w:rPr>
              <w:t>112.6</w:t>
            </w:r>
          </w:p>
        </w:tc>
        <w:tc>
          <w:tcPr>
            <w:tcW w:w="1265"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0C21597B" w14:textId="77777777" w:rsidR="00DB7155" w:rsidRPr="00185AA2" w:rsidRDefault="00000000">
            <w:pPr>
              <w:jc w:val="right"/>
              <w:rPr>
                <w:color w:val="EE0000"/>
              </w:rPr>
            </w:pPr>
            <w:r>
              <w:rPr>
                <w:color w:val="EE0000"/>
                <w:sz w:val="18"/>
                <w:szCs w:val="18"/>
              </w:rPr>
              <w:t>(15.6)</w:t>
            </w:r>
          </w:p>
        </w:tc>
        <w:tc>
          <w:tcPr>
            <w:tcW w:w="1265"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76727EF3" w14:textId="77777777" w:rsidR="00DB7155" w:rsidRPr="00185AA2" w:rsidRDefault="00000000">
            <w:pPr>
              <w:jc w:val="right"/>
              <w:rPr>
                <w:color w:val="EE0000"/>
              </w:rPr>
            </w:pPr>
            <w:r>
              <w:rPr>
                <w:color w:val="EE0000"/>
                <w:sz w:val="18"/>
                <w:szCs w:val="18"/>
              </w:rPr>
              <w:t>(16.0)</w:t>
            </w:r>
          </w:p>
        </w:tc>
        <w:tc>
          <w:tcPr>
            <w:tcW w:w="1265"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217D241E" w14:textId="77777777" w:rsidR="00DB7155" w:rsidRPr="00185AA2" w:rsidRDefault="00000000">
            <w:pPr>
              <w:jc w:val="right"/>
              <w:rPr>
                <w:color w:val="EE0000"/>
              </w:rPr>
            </w:pPr>
            <w:r>
              <w:rPr>
                <w:color w:val="EE0000"/>
                <w:sz w:val="18"/>
                <w:szCs w:val="18"/>
              </w:rPr>
              <w:t>(16.5)</w:t>
            </w:r>
          </w:p>
        </w:tc>
        <w:tc>
          <w:tcPr>
            <w:tcW w:w="1048" w:type="dxa"/>
            <w:tcBorders>
              <w:top w:val="single" w:sz="4" w:space="0" w:color="BFBFBF"/>
              <w:left w:val="single" w:sz="4" w:space="0" w:color="BFBFBF"/>
              <w:bottom w:val="single" w:sz="4" w:space="0" w:color="BFBFBF"/>
              <w:right w:val="single" w:sz="4" w:space="0" w:color="BFBFBF"/>
            </w:tcBorders>
            <w:shd w:val="clear" w:color="auto" w:fill="FFE0E0"/>
            <w:tcMar>
              <w:top w:w="80" w:type="dxa"/>
              <w:left w:w="120" w:type="dxa"/>
              <w:bottom w:w="80" w:type="dxa"/>
              <w:right w:w="120" w:type="dxa"/>
            </w:tcMar>
            <w:vAlign w:val="center"/>
          </w:tcPr>
          <w:p w14:paraId="58DF65D8" w14:textId="77777777" w:rsidR="00DB7155" w:rsidRPr="00543450" w:rsidRDefault="00000000">
            <w:pPr>
              <w:jc w:val="center"/>
            </w:pPr>
            <w:r>
              <w:rPr>
                <w:b/>
                <w:bCs/>
                <w:sz w:val="18"/>
                <w:szCs w:val="18"/>
              </w:rPr>
              <w:t>-114%</w:t>
            </w:r>
          </w:p>
        </w:tc>
      </w:tr>
      <w:tr w:rsidR="004E69CD" w:rsidRPr="00543450" w14:paraId="2E490098" w14:textId="77777777">
        <w:tc>
          <w:tcPr>
            <w:tcW w:w="253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413D6854" w14:textId="77777777" w:rsidR="00DB7155" w:rsidRPr="00543450" w:rsidRDefault="00000000">
            <w:r>
              <w:rPr>
                <w:sz w:val="18"/>
                <w:szCs w:val="18"/>
              </w:rPr>
              <w:t>EBIT (Utilidad operativa)</w:t>
            </w:r>
          </w:p>
        </w:tc>
        <w:tc>
          <w:tcPr>
            <w:tcW w:w="723"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6BD830A2" w14:textId="77777777" w:rsidR="00DB7155" w:rsidRPr="00543450" w:rsidRDefault="00000000">
            <w:pPr>
              <w:jc w:val="center"/>
            </w:pPr>
            <w:r>
              <w:rPr>
                <w:sz w:val="18"/>
                <w:szCs w:val="18"/>
              </w:rPr>
              <w:t>RD$M</w:t>
            </w:r>
          </w:p>
        </w:tc>
        <w:tc>
          <w:tcPr>
            <w:tcW w:w="1265"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5FCEBA0D" w14:textId="77777777" w:rsidR="00DB7155" w:rsidRPr="00543450" w:rsidRDefault="00000000">
            <w:pPr>
              <w:jc w:val="right"/>
            </w:pPr>
            <w:r>
              <w:rPr>
                <w:sz w:val="18"/>
                <w:szCs w:val="18"/>
              </w:rPr>
              <w:t>112.6</w:t>
            </w:r>
          </w:p>
        </w:tc>
        <w:tc>
          <w:tcPr>
            <w:tcW w:w="1265"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18C460AA" w14:textId="77777777" w:rsidR="00DB7155" w:rsidRPr="00185AA2" w:rsidRDefault="00000000">
            <w:pPr>
              <w:jc w:val="right"/>
              <w:rPr>
                <w:color w:val="EE0000"/>
              </w:rPr>
            </w:pPr>
            <w:r>
              <w:rPr>
                <w:color w:val="EE0000"/>
                <w:sz w:val="18"/>
                <w:szCs w:val="18"/>
              </w:rPr>
              <w:t>(40.3)</w:t>
            </w:r>
          </w:p>
        </w:tc>
        <w:tc>
          <w:tcPr>
            <w:tcW w:w="1265"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40BD085D" w14:textId="77777777" w:rsidR="00DB7155" w:rsidRPr="00185AA2" w:rsidRDefault="00000000">
            <w:pPr>
              <w:jc w:val="right"/>
              <w:rPr>
                <w:color w:val="EE0000"/>
              </w:rPr>
            </w:pPr>
            <w:r>
              <w:rPr>
                <w:color w:val="EE0000"/>
                <w:sz w:val="18"/>
                <w:szCs w:val="18"/>
              </w:rPr>
              <w:t>(40.9)</w:t>
            </w:r>
          </w:p>
        </w:tc>
        <w:tc>
          <w:tcPr>
            <w:tcW w:w="1265"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2EF6B0E0" w14:textId="77777777" w:rsidR="00DB7155" w:rsidRPr="00185AA2" w:rsidRDefault="00000000">
            <w:pPr>
              <w:jc w:val="right"/>
              <w:rPr>
                <w:color w:val="EE0000"/>
              </w:rPr>
            </w:pPr>
            <w:r>
              <w:rPr>
                <w:color w:val="EE0000"/>
                <w:sz w:val="18"/>
                <w:szCs w:val="18"/>
              </w:rPr>
              <w:t>(41.4)</w:t>
            </w:r>
          </w:p>
        </w:tc>
        <w:tc>
          <w:tcPr>
            <w:tcW w:w="1048" w:type="dxa"/>
            <w:tcBorders>
              <w:top w:val="single" w:sz="4" w:space="0" w:color="BFBFBF"/>
              <w:left w:val="single" w:sz="4" w:space="0" w:color="BFBFBF"/>
              <w:bottom w:val="single" w:sz="4" w:space="0" w:color="BFBFBF"/>
              <w:right w:val="single" w:sz="4" w:space="0" w:color="BFBFBF"/>
            </w:tcBorders>
            <w:shd w:val="clear" w:color="auto" w:fill="FFE0E0"/>
            <w:tcMar>
              <w:top w:w="80" w:type="dxa"/>
              <w:left w:w="120" w:type="dxa"/>
              <w:bottom w:w="80" w:type="dxa"/>
              <w:right w:w="120" w:type="dxa"/>
            </w:tcMar>
            <w:vAlign w:val="center"/>
          </w:tcPr>
          <w:p w14:paraId="48EC5A17" w14:textId="77777777" w:rsidR="00DB7155" w:rsidRPr="00543450" w:rsidRDefault="00000000">
            <w:pPr>
              <w:jc w:val="center"/>
            </w:pPr>
            <w:r>
              <w:rPr>
                <w:b/>
                <w:bCs/>
                <w:sz w:val="18"/>
                <w:szCs w:val="18"/>
              </w:rPr>
              <w:t>-136%</w:t>
            </w:r>
          </w:p>
        </w:tc>
      </w:tr>
    </w:tbl>
    <w:p w14:paraId="41A891B3" w14:textId="77777777" w:rsidR="00DB7155" w:rsidRPr="00543450" w:rsidRDefault="00000000" w:rsidP="00185AA2">
      <w:pPr>
        <w:spacing w:before="60" w:after="160"/>
      </w:pPr>
      <w:r>
        <w:rPr>
          <w:i/>
          <w:iCs/>
          <w:sz w:val="18"/>
          <w:szCs w:val="18"/>
        </w:rPr>
        <w:t>Fuente: Elaboración propia con base en datos de la RPN (Anexos 2 y 3 del expediente). Valores monetarios en RD$ millones.</w:t>
      </w:r>
    </w:p>
    <w:p w14:paraId="7AEA48A1" w14:textId="77777777" w:rsidR="00DB7155" w:rsidRPr="00543450" w:rsidRDefault="00DB7155">
      <w:pPr>
        <w:spacing w:before="80" w:after="80"/>
      </w:pPr>
    </w:p>
    <w:p w14:paraId="08F14912" w14:textId="66BD50B5" w:rsidR="00DB7155" w:rsidRPr="00543450" w:rsidRDefault="00000000">
      <w:pPr>
        <w:spacing w:before="200" w:after="100"/>
      </w:pPr>
      <w:r>
        <w:rPr>
          <w:b/>
          <w:bCs/>
          <w:u w:val="single"/>
        </w:rPr>
        <w:t>Impacto sobre los indicadores financieros</w:t>
      </w:r>
      <w:r w:rsidR="00AE73BE">
        <w:rPr>
          <w:rStyle w:val="FootnoteReference"/>
          <w:b/>
          <w:bCs/>
          <w:u w:val="single"/>
        </w:rPr>
        <w:footnoteReference w:id="4"/>
      </w:r>
    </w:p>
    <w:p w14:paraId="2B8CDF54" w14:textId="77777777" w:rsidR="00DB7155" w:rsidRPr="00543450" w:rsidRDefault="00000000">
      <w:pPr>
        <w:spacing w:before="100" w:after="100" w:line="276" w:lineRule="auto"/>
        <w:jc w:val="both"/>
      </w:pPr>
      <w:r>
        <w:t>Los resultados del Escenario A evidencian que la estrategia de defensa de participación de mercado mediante reducción de precios es financieramente inviable. El impacto sobre los indicadores clave de la RPN es el siguiente:</w:t>
      </w:r>
    </w:p>
    <w:p w14:paraId="56605E4C" w14:textId="77777777" w:rsidR="00DB7155" w:rsidRPr="00543450" w:rsidRDefault="00DB7155">
      <w:pPr>
        <w:spacing w:before="80" w:after="80"/>
      </w:pPr>
    </w:p>
    <w:p w14:paraId="4A0E8012" w14:textId="77777777" w:rsidR="00DB7155" w:rsidRPr="00543450" w:rsidRDefault="00000000">
      <w:pPr>
        <w:pStyle w:val="ListParagraph"/>
        <w:numPr>
          <w:ilvl w:val="0"/>
          <w:numId w:val="2"/>
        </w:numPr>
        <w:spacing w:before="80" w:after="80"/>
        <w:rPr>
          <w:lang w:val="es-DO"/>
        </w:rPr>
      </w:pPr>
      <w:r>
        <w:rPr>
          <w:lang w:val="es-DO"/>
        </w:rPr>
        <w:t xml:space="preserve">El valor de ventas cae de </w:t>
      </w:r>
      <w:r>
        <w:rPr>
          <w:b/>
          <w:bCs/>
          <w:lang w:val="es-DO"/>
        </w:rPr>
        <w:t>RD$112.6 millones</w:t>
      </w:r>
      <w:r>
        <w:rPr>
          <w:lang w:val="es-DO"/>
        </w:rPr>
        <w:t xml:space="preserve"> en 2025 a </w:t>
      </w:r>
      <w:r>
        <w:rPr>
          <w:b/>
          <w:bCs/>
          <w:lang w:val="es-DO"/>
        </w:rPr>
        <w:t>RD$92.5 millones</w:t>
      </w:r>
      <w:r>
        <w:rPr>
          <w:lang w:val="es-DO"/>
        </w:rPr>
        <w:t xml:space="preserve"> en el Año 1, una reducción del </w:t>
      </w:r>
      <w:r>
        <w:rPr>
          <w:b/>
          <w:bCs/>
          <w:lang w:val="es-DO"/>
        </w:rPr>
        <w:t>18%</w:t>
      </w:r>
      <w:r>
        <w:rPr>
          <w:lang w:val="es-DO"/>
        </w:rPr>
        <w:t xml:space="preserve"> en un solo ejercicio, a pesar de que el volumen de ventas se mantiene constante. Esta disociación entre volumen e ingresos ilustra con claridad el efecto de la compresión de precios sobre la situación financiera de la empresa.</w:t>
      </w:r>
    </w:p>
    <w:p w14:paraId="2954130C" w14:textId="352EE067" w:rsidR="00DB7155" w:rsidRPr="00543450" w:rsidRDefault="00000000">
      <w:pPr>
        <w:pStyle w:val="ListParagraph"/>
        <w:numPr>
          <w:ilvl w:val="0"/>
          <w:numId w:val="2"/>
        </w:numPr>
        <w:spacing w:before="80" w:after="80"/>
        <w:rPr>
          <w:lang w:val="es-DO"/>
        </w:rPr>
      </w:pPr>
      <w:r>
        <w:rPr>
          <w:lang w:val="es-DO"/>
        </w:rPr>
        <w:t xml:space="preserve">La utilidad bruta colapsa desde </w:t>
      </w:r>
      <w:r>
        <w:rPr>
          <w:b/>
          <w:bCs/>
          <w:lang w:val="es-DO"/>
        </w:rPr>
        <w:t>RD$112.6 millones positivos</w:t>
      </w:r>
      <w:r>
        <w:rPr>
          <w:lang w:val="es-DO"/>
        </w:rPr>
        <w:t xml:space="preserve"> en 2025 a una pérdida de </w:t>
      </w:r>
      <w:r>
        <w:rPr>
          <w:b/>
          <w:bCs/>
          <w:lang w:val="es-DO"/>
        </w:rPr>
        <w:t>RD$(15.6) millones en el Año 1</w:t>
      </w:r>
      <w:r>
        <w:rPr>
          <w:lang w:val="es-DO"/>
        </w:rPr>
        <w:t xml:space="preserve">, representando una variación de </w:t>
      </w:r>
      <w:r>
        <w:rPr>
          <w:b/>
          <w:bCs/>
          <w:lang w:val="es-DO"/>
        </w:rPr>
        <w:t>-114%</w:t>
      </w:r>
      <w:r>
        <w:rPr>
          <w:lang w:val="es-DO"/>
        </w:rPr>
        <w:t xml:space="preserve"> respecto al escenario base. La empresa pasa de una posición de rentabilidad bruta sólida a una situación de pérdida operativa en el primer año de supresión de la medida.</w:t>
      </w:r>
    </w:p>
    <w:p w14:paraId="196B8B67" w14:textId="6708BBB5" w:rsidR="00DB7155" w:rsidRPr="00543450" w:rsidRDefault="00000000">
      <w:pPr>
        <w:pStyle w:val="ListParagraph"/>
        <w:numPr>
          <w:ilvl w:val="0"/>
          <w:numId w:val="2"/>
        </w:numPr>
        <w:spacing w:before="80" w:after="80"/>
        <w:rPr>
          <w:lang w:val="es-DO"/>
        </w:rPr>
      </w:pPr>
      <w:r>
        <w:rPr>
          <w:lang w:val="es-DO"/>
        </w:rPr>
        <w:t xml:space="preserve">El EBIT se deteriora de manera aún más pronunciada, pasando de </w:t>
      </w:r>
      <w:r>
        <w:rPr>
          <w:b/>
          <w:bCs/>
          <w:lang w:val="es-DO"/>
        </w:rPr>
        <w:t>RD$112.6 millones</w:t>
      </w:r>
      <w:r>
        <w:rPr>
          <w:lang w:val="es-DO"/>
        </w:rPr>
        <w:t xml:space="preserve"> positivos en 2025 a una pérdida operativa de </w:t>
      </w:r>
      <w:r>
        <w:rPr>
          <w:b/>
          <w:bCs/>
          <w:lang w:val="es-DO"/>
        </w:rPr>
        <w:t>RD$(40.3) millones en el Año</w:t>
      </w:r>
      <w:r>
        <w:rPr>
          <w:lang w:val="es-DO"/>
        </w:rPr>
        <w:t xml:space="preserve"> 1, una variación de </w:t>
      </w:r>
      <w:r>
        <w:rPr>
          <w:b/>
          <w:bCs/>
          <w:lang w:val="es-DO"/>
        </w:rPr>
        <w:t>-136%</w:t>
      </w:r>
      <w:r>
        <w:rPr>
          <w:lang w:val="es-DO"/>
        </w:rPr>
        <w:t xml:space="preserve"> respecto al escenario base. Esta pérdida operativa se mantiene y profundiza en los años sucesivos (RD$(40.9) millones en el Año 2 y (41.4) en el Año 3), </w:t>
      </w:r>
      <w:r>
        <w:rPr>
          <w:lang w:val="es-DO"/>
        </w:rPr>
        <w:lastRenderedPageBreak/>
        <w:t>indicando que no se trata de un efecto transitorio sino de un deterioro estructural y persistente.</w:t>
      </w:r>
    </w:p>
    <w:p w14:paraId="4DCFB24D" w14:textId="77777777" w:rsidR="00DB7155" w:rsidRPr="00543450" w:rsidRDefault="00DB7155">
      <w:pPr>
        <w:spacing w:before="80" w:after="80"/>
      </w:pPr>
    </w:p>
    <w:p w14:paraId="517850BB" w14:textId="71A9B984" w:rsidR="00DB7155" w:rsidRDefault="00000000" w:rsidP="004E69CD">
      <w:pPr>
        <w:spacing w:before="100" w:after="100" w:line="276" w:lineRule="auto"/>
        <w:jc w:val="both"/>
      </w:pPr>
      <w:r>
        <w:t xml:space="preserve">En términos económicos, el Escenario A describe una situación en la que la RPN absorbe completamente el impacto de la competencia de precios chinos para sostener su participación de mercado, a costa de incurrir en pérdidas operativas significativas y sostenidas. </w:t>
      </w:r>
    </w:p>
    <w:p w14:paraId="03EB1669" w14:textId="77777777" w:rsidR="00185AA2" w:rsidRPr="00543450" w:rsidRDefault="00185AA2" w:rsidP="004E69CD">
      <w:pPr>
        <w:spacing w:before="100" w:after="100" w:line="276" w:lineRule="auto"/>
        <w:jc w:val="both"/>
      </w:pPr>
    </w:p>
    <w:p w14:paraId="0FBDE97B" w14:textId="5EB587B9" w:rsidR="00DB7155" w:rsidRPr="00543450" w:rsidRDefault="00000000">
      <w:pPr>
        <w:pStyle w:val="Heading2"/>
        <w:rPr>
          <w:color w:val="auto"/>
          <w:lang w:val="es-DO"/>
        </w:rPr>
      </w:pPr>
      <w:r>
        <w:rPr>
          <w:color w:val="auto"/>
          <w:lang w:val="es-DO"/>
        </w:rPr>
        <w:t>B. Escenario B: Pérdida de participación de mercado sin reducción de precios</w:t>
      </w:r>
      <w:r w:rsidR="00AE73BE">
        <w:rPr>
          <w:rStyle w:val="FootnoteReference"/>
          <w:color w:val="auto"/>
          <w:lang w:val="es-DO"/>
        </w:rPr>
        <w:footnoteReference w:id="5"/>
      </w:r>
    </w:p>
    <w:p w14:paraId="03B2DB78" w14:textId="77777777" w:rsidR="00DB7155" w:rsidRPr="00543450" w:rsidRDefault="00000000">
      <w:pPr>
        <w:spacing w:before="100" w:after="100" w:line="276" w:lineRule="auto"/>
        <w:jc w:val="both"/>
      </w:pPr>
      <w:r>
        <w:t>En el Escenario B, se asume que la RPN decide no reducir su precio de venta ante la entrada de importaciones chinas, manteniendo el precio en RD$72,502 por tonelada. Bajo este supuesto, los consumidores y distribuidores optan progresivamente por el producto importado, cuyo precio es significativamente inferior, resultando en una pérdida gradual pero acelerada de la participación de mercado de la RPN.</w:t>
      </w:r>
    </w:p>
    <w:p w14:paraId="5B5D496F" w14:textId="14485C83" w:rsidR="00DB7155" w:rsidRPr="00543450" w:rsidRDefault="00000000">
      <w:pPr>
        <w:spacing w:before="100" w:after="100" w:line="276" w:lineRule="auto"/>
        <w:jc w:val="both"/>
      </w:pPr>
      <w:r>
        <w:t>Este escenario utiliza el modelo de absorción de mercado de ajuste parcial, que proyecta como evolucionaría la cuota de China partiendo de una participación inicial de 0% en 2025. El modelo incorpora parámetros de elasticidad de sustitución y de demanda consistentes con la literatura empírica sobre mercados de varilla de acero.</w:t>
      </w:r>
    </w:p>
    <w:p w14:paraId="24D70E5A" w14:textId="77777777" w:rsidR="00DB7155" w:rsidRPr="00543450" w:rsidRDefault="00DB7155">
      <w:pPr>
        <w:spacing w:before="80" w:after="80"/>
      </w:pPr>
    </w:p>
    <w:p w14:paraId="7F3F459B" w14:textId="2DE865AC" w:rsidR="00DB7155" w:rsidRPr="00543450" w:rsidRDefault="00000000" w:rsidP="004E69CD">
      <w:pPr>
        <w:spacing w:before="100" w:after="100" w:line="276" w:lineRule="auto"/>
        <w:jc w:val="both"/>
      </w:pPr>
      <w:r>
        <w:t xml:space="preserve">Bajo el escenario de baja sustitución, la absorción de mercado por parte de China evoluciona de la siguiente manera: </w:t>
      </w:r>
      <w:r>
        <w:rPr>
          <w:b/>
          <w:bCs/>
        </w:rPr>
        <w:t>25.5% del mercado en 12 meses, 43.4% en 24 meses y 55.9% en 36 meses</w:t>
      </w:r>
      <w:r>
        <w:t>. Este ritmo de penetración, incluso siendo el más conservador del modelo, implica que en menos de tres años China superaría a la RPN como principal proveedor del mercado dominicano de varillas.</w:t>
      </w:r>
    </w:p>
    <w:p w14:paraId="395E351C" w14:textId="1D63D70B" w:rsidR="00DB7155" w:rsidRPr="00543450" w:rsidRDefault="00000000">
      <w:pPr>
        <w:spacing w:before="160" w:after="60"/>
        <w:jc w:val="center"/>
      </w:pPr>
      <w:r>
        <w:rPr>
          <w:b/>
          <w:bCs/>
          <w:sz w:val="20"/>
          <w:szCs w:val="20"/>
        </w:rPr>
        <w:t>Tabla 2. Escenario B: Dinámica de mercado proyectada ante supresión de la medida (baja sustitución)</w:t>
      </w:r>
      <w:r w:rsidR="00AE73BE">
        <w:rPr>
          <w:rStyle w:val="FootnoteReference"/>
          <w:b/>
          <w:bCs/>
          <w:sz w:val="20"/>
          <w:szCs w:val="20"/>
        </w:rPr>
        <w:footnoteReference w:id="6"/>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58"/>
        <w:gridCol w:w="918"/>
        <w:gridCol w:w="976"/>
        <w:gridCol w:w="976"/>
        <w:gridCol w:w="976"/>
        <w:gridCol w:w="976"/>
        <w:gridCol w:w="891"/>
        <w:gridCol w:w="891"/>
        <w:gridCol w:w="898"/>
      </w:tblGrid>
      <w:tr w:rsidR="004E69CD" w:rsidRPr="00543450" w14:paraId="2DEC0194" w14:textId="77777777">
        <w:trPr>
          <w:tblHeader/>
        </w:trPr>
        <w:tc>
          <w:tcPr>
            <w:tcW w:w="2000" w:type="dxa"/>
            <w:tcBorders>
              <w:top w:val="single" w:sz="4" w:space="0" w:color="BFBFBF"/>
              <w:left w:val="single" w:sz="4" w:space="0" w:color="BFBFBF"/>
              <w:bottom w:val="single" w:sz="4" w:space="0" w:color="BFBFBF"/>
              <w:right w:val="single" w:sz="4" w:space="0" w:color="BFBFBF"/>
            </w:tcBorders>
            <w:shd w:val="clear" w:color="auto" w:fill="1F3864"/>
            <w:tcMar>
              <w:top w:w="80" w:type="dxa"/>
              <w:left w:w="120" w:type="dxa"/>
              <w:bottom w:w="80" w:type="dxa"/>
              <w:right w:w="120" w:type="dxa"/>
            </w:tcMar>
            <w:vAlign w:val="center"/>
          </w:tcPr>
          <w:p w14:paraId="6E2838ED" w14:textId="77777777" w:rsidR="00DB7155" w:rsidRPr="00543450" w:rsidRDefault="00000000">
            <w:r>
              <w:rPr>
                <w:b/>
                <w:bCs/>
                <w:sz w:val="20"/>
                <w:szCs w:val="20"/>
              </w:rPr>
              <w:t>Indicador</w:t>
            </w:r>
          </w:p>
        </w:tc>
        <w:tc>
          <w:tcPr>
            <w:tcW w:w="700" w:type="dxa"/>
            <w:tcBorders>
              <w:top w:val="single" w:sz="4" w:space="0" w:color="BFBFBF"/>
              <w:left w:val="single" w:sz="4" w:space="0" w:color="BFBFBF"/>
              <w:bottom w:val="single" w:sz="4" w:space="0" w:color="BFBFBF"/>
              <w:right w:val="single" w:sz="4" w:space="0" w:color="BFBFBF"/>
            </w:tcBorders>
            <w:shd w:val="clear" w:color="auto" w:fill="1F3864"/>
            <w:tcMar>
              <w:top w:w="80" w:type="dxa"/>
              <w:left w:w="120" w:type="dxa"/>
              <w:bottom w:w="80" w:type="dxa"/>
              <w:right w:w="120" w:type="dxa"/>
            </w:tcMar>
            <w:vAlign w:val="center"/>
          </w:tcPr>
          <w:p w14:paraId="181CE06C" w14:textId="77777777" w:rsidR="00DB7155" w:rsidRPr="00543450" w:rsidRDefault="00000000">
            <w:pPr>
              <w:jc w:val="center"/>
            </w:pPr>
            <w:r>
              <w:rPr>
                <w:b/>
                <w:bCs/>
                <w:sz w:val="20"/>
                <w:szCs w:val="20"/>
              </w:rPr>
              <w:t>Unidad</w:t>
            </w:r>
          </w:p>
        </w:tc>
        <w:tc>
          <w:tcPr>
            <w:tcW w:w="1000" w:type="dxa"/>
            <w:tcBorders>
              <w:top w:val="single" w:sz="4" w:space="0" w:color="BFBFBF"/>
              <w:left w:val="single" w:sz="4" w:space="0" w:color="BFBFBF"/>
              <w:bottom w:val="single" w:sz="4" w:space="0" w:color="BFBFBF"/>
              <w:right w:val="single" w:sz="4" w:space="0" w:color="BFBFBF"/>
            </w:tcBorders>
            <w:shd w:val="clear" w:color="auto" w:fill="1F3864"/>
            <w:tcMar>
              <w:top w:w="80" w:type="dxa"/>
              <w:left w:w="120" w:type="dxa"/>
              <w:bottom w:w="80" w:type="dxa"/>
              <w:right w:w="120" w:type="dxa"/>
            </w:tcMar>
            <w:vAlign w:val="center"/>
          </w:tcPr>
          <w:p w14:paraId="26DA60AF" w14:textId="77777777" w:rsidR="00DB7155" w:rsidRPr="00543450" w:rsidRDefault="00000000">
            <w:pPr>
              <w:jc w:val="center"/>
            </w:pPr>
            <w:r>
              <w:rPr>
                <w:b/>
                <w:bCs/>
                <w:sz w:val="20"/>
                <w:szCs w:val="20"/>
              </w:rPr>
              <w:t>2022</w:t>
            </w:r>
          </w:p>
        </w:tc>
        <w:tc>
          <w:tcPr>
            <w:tcW w:w="1000" w:type="dxa"/>
            <w:tcBorders>
              <w:top w:val="single" w:sz="4" w:space="0" w:color="BFBFBF"/>
              <w:left w:val="single" w:sz="4" w:space="0" w:color="BFBFBF"/>
              <w:bottom w:val="single" w:sz="4" w:space="0" w:color="BFBFBF"/>
              <w:right w:val="single" w:sz="4" w:space="0" w:color="BFBFBF"/>
            </w:tcBorders>
            <w:shd w:val="clear" w:color="auto" w:fill="1F3864"/>
            <w:tcMar>
              <w:top w:w="80" w:type="dxa"/>
              <w:left w:w="120" w:type="dxa"/>
              <w:bottom w:w="80" w:type="dxa"/>
              <w:right w:w="120" w:type="dxa"/>
            </w:tcMar>
            <w:vAlign w:val="center"/>
          </w:tcPr>
          <w:p w14:paraId="22BBDE10" w14:textId="77777777" w:rsidR="00DB7155" w:rsidRPr="00543450" w:rsidRDefault="00000000">
            <w:pPr>
              <w:jc w:val="center"/>
            </w:pPr>
            <w:r>
              <w:rPr>
                <w:b/>
                <w:bCs/>
                <w:sz w:val="20"/>
                <w:szCs w:val="20"/>
              </w:rPr>
              <w:t>2023</w:t>
            </w:r>
          </w:p>
        </w:tc>
        <w:tc>
          <w:tcPr>
            <w:tcW w:w="1000" w:type="dxa"/>
            <w:tcBorders>
              <w:top w:val="single" w:sz="4" w:space="0" w:color="BFBFBF"/>
              <w:left w:val="single" w:sz="4" w:space="0" w:color="BFBFBF"/>
              <w:bottom w:val="single" w:sz="4" w:space="0" w:color="BFBFBF"/>
              <w:right w:val="single" w:sz="4" w:space="0" w:color="BFBFBF"/>
            </w:tcBorders>
            <w:shd w:val="clear" w:color="auto" w:fill="1F3864"/>
            <w:tcMar>
              <w:top w:w="80" w:type="dxa"/>
              <w:left w:w="120" w:type="dxa"/>
              <w:bottom w:w="80" w:type="dxa"/>
              <w:right w:w="120" w:type="dxa"/>
            </w:tcMar>
            <w:vAlign w:val="center"/>
          </w:tcPr>
          <w:p w14:paraId="1C42C00A" w14:textId="77777777" w:rsidR="00DB7155" w:rsidRPr="00543450" w:rsidRDefault="00000000">
            <w:pPr>
              <w:jc w:val="center"/>
            </w:pPr>
            <w:r>
              <w:rPr>
                <w:b/>
                <w:bCs/>
                <w:sz w:val="20"/>
                <w:szCs w:val="20"/>
              </w:rPr>
              <w:t>2024</w:t>
            </w:r>
          </w:p>
        </w:tc>
        <w:tc>
          <w:tcPr>
            <w:tcW w:w="1000" w:type="dxa"/>
            <w:tcBorders>
              <w:top w:val="single" w:sz="4" w:space="0" w:color="BFBFBF"/>
              <w:left w:val="single" w:sz="4" w:space="0" w:color="BFBFBF"/>
              <w:bottom w:val="single" w:sz="4" w:space="0" w:color="BFBFBF"/>
              <w:right w:val="single" w:sz="4" w:space="0" w:color="BFBFBF"/>
            </w:tcBorders>
            <w:shd w:val="clear" w:color="auto" w:fill="1F3864"/>
            <w:tcMar>
              <w:top w:w="80" w:type="dxa"/>
              <w:left w:w="120" w:type="dxa"/>
              <w:bottom w:w="80" w:type="dxa"/>
              <w:right w:w="120" w:type="dxa"/>
            </w:tcMar>
            <w:vAlign w:val="center"/>
          </w:tcPr>
          <w:p w14:paraId="47CE0A43" w14:textId="77777777" w:rsidR="00DB7155" w:rsidRPr="00543450" w:rsidRDefault="00000000">
            <w:pPr>
              <w:jc w:val="center"/>
            </w:pPr>
            <w:r>
              <w:rPr>
                <w:b/>
                <w:bCs/>
                <w:sz w:val="20"/>
                <w:szCs w:val="20"/>
              </w:rPr>
              <w:t>2025</w:t>
            </w:r>
          </w:p>
        </w:tc>
        <w:tc>
          <w:tcPr>
            <w:tcW w:w="880" w:type="dxa"/>
            <w:tcBorders>
              <w:top w:val="single" w:sz="4" w:space="0" w:color="BFBFBF"/>
              <w:left w:val="single" w:sz="4" w:space="0" w:color="BFBFBF"/>
              <w:bottom w:val="single" w:sz="4" w:space="0" w:color="BFBFBF"/>
              <w:right w:val="single" w:sz="4" w:space="0" w:color="BFBFBF"/>
            </w:tcBorders>
            <w:shd w:val="clear" w:color="auto" w:fill="1F3864"/>
            <w:tcMar>
              <w:top w:w="80" w:type="dxa"/>
              <w:left w:w="120" w:type="dxa"/>
              <w:bottom w:w="80" w:type="dxa"/>
              <w:right w:w="120" w:type="dxa"/>
            </w:tcMar>
            <w:vAlign w:val="center"/>
          </w:tcPr>
          <w:p w14:paraId="466C82E2" w14:textId="77777777" w:rsidR="00DB7155" w:rsidRPr="00543450" w:rsidRDefault="00000000">
            <w:pPr>
              <w:jc w:val="center"/>
            </w:pPr>
            <w:r>
              <w:rPr>
                <w:b/>
                <w:bCs/>
                <w:sz w:val="20"/>
                <w:szCs w:val="20"/>
              </w:rPr>
              <w:t>Año 1 (proy.)</w:t>
            </w:r>
          </w:p>
        </w:tc>
        <w:tc>
          <w:tcPr>
            <w:tcW w:w="880" w:type="dxa"/>
            <w:tcBorders>
              <w:top w:val="single" w:sz="4" w:space="0" w:color="BFBFBF"/>
              <w:left w:val="single" w:sz="4" w:space="0" w:color="BFBFBF"/>
              <w:bottom w:val="single" w:sz="4" w:space="0" w:color="BFBFBF"/>
              <w:right w:val="single" w:sz="4" w:space="0" w:color="BFBFBF"/>
            </w:tcBorders>
            <w:shd w:val="clear" w:color="auto" w:fill="1F3864"/>
            <w:tcMar>
              <w:top w:w="80" w:type="dxa"/>
              <w:left w:w="120" w:type="dxa"/>
              <w:bottom w:w="80" w:type="dxa"/>
              <w:right w:w="120" w:type="dxa"/>
            </w:tcMar>
            <w:vAlign w:val="center"/>
          </w:tcPr>
          <w:p w14:paraId="4BE5EA13" w14:textId="77777777" w:rsidR="00DB7155" w:rsidRPr="00543450" w:rsidRDefault="00000000">
            <w:pPr>
              <w:jc w:val="center"/>
            </w:pPr>
            <w:r>
              <w:rPr>
                <w:b/>
                <w:bCs/>
                <w:sz w:val="20"/>
                <w:szCs w:val="20"/>
              </w:rPr>
              <w:t>Año 2 (proy.)</w:t>
            </w:r>
          </w:p>
        </w:tc>
        <w:tc>
          <w:tcPr>
            <w:tcW w:w="900" w:type="dxa"/>
            <w:tcBorders>
              <w:top w:val="single" w:sz="4" w:space="0" w:color="BFBFBF"/>
              <w:left w:val="single" w:sz="4" w:space="0" w:color="BFBFBF"/>
              <w:bottom w:val="single" w:sz="4" w:space="0" w:color="BFBFBF"/>
              <w:right w:val="single" w:sz="4" w:space="0" w:color="BFBFBF"/>
            </w:tcBorders>
            <w:shd w:val="clear" w:color="auto" w:fill="1F3864"/>
            <w:tcMar>
              <w:top w:w="80" w:type="dxa"/>
              <w:left w:w="120" w:type="dxa"/>
              <w:bottom w:w="80" w:type="dxa"/>
              <w:right w:w="120" w:type="dxa"/>
            </w:tcMar>
            <w:vAlign w:val="center"/>
          </w:tcPr>
          <w:p w14:paraId="4E51A9CD" w14:textId="77777777" w:rsidR="00DB7155" w:rsidRPr="00543450" w:rsidRDefault="00000000">
            <w:pPr>
              <w:jc w:val="center"/>
            </w:pPr>
            <w:r>
              <w:rPr>
                <w:b/>
                <w:bCs/>
                <w:sz w:val="20"/>
                <w:szCs w:val="20"/>
              </w:rPr>
              <w:t>Año 3 (proy.)</w:t>
            </w:r>
          </w:p>
        </w:tc>
      </w:tr>
      <w:tr w:rsidR="004E69CD" w:rsidRPr="00543450" w14:paraId="1E6DB662" w14:textId="77777777">
        <w:tc>
          <w:tcPr>
            <w:tcW w:w="20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52055804" w14:textId="77777777" w:rsidR="00DB7155" w:rsidRPr="00543450" w:rsidRDefault="00000000">
            <w:r>
              <w:rPr>
                <w:sz w:val="18"/>
                <w:szCs w:val="18"/>
              </w:rPr>
              <w:t>Mercado total de varillas</w:t>
            </w:r>
          </w:p>
        </w:tc>
        <w:tc>
          <w:tcPr>
            <w:tcW w:w="7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320E75B5" w14:textId="77777777" w:rsidR="00DB7155" w:rsidRPr="00543450" w:rsidRDefault="00000000">
            <w:pPr>
              <w:jc w:val="center"/>
            </w:pPr>
            <w:r>
              <w:rPr>
                <w:sz w:val="18"/>
                <w:szCs w:val="18"/>
              </w:rPr>
              <w:t>TM</w:t>
            </w:r>
          </w:p>
        </w:tc>
        <w:tc>
          <w:tcPr>
            <w:tcW w:w="10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6FC67BF0" w14:textId="77777777" w:rsidR="00DB7155" w:rsidRPr="00543450" w:rsidRDefault="00000000">
            <w:pPr>
              <w:jc w:val="right"/>
            </w:pPr>
            <w:r>
              <w:rPr>
                <w:sz w:val="18"/>
                <w:szCs w:val="18"/>
              </w:rPr>
              <w:t>598,879</w:t>
            </w:r>
          </w:p>
        </w:tc>
        <w:tc>
          <w:tcPr>
            <w:tcW w:w="10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2C8DA890" w14:textId="77777777" w:rsidR="00DB7155" w:rsidRPr="00543450" w:rsidRDefault="00000000">
            <w:pPr>
              <w:jc w:val="right"/>
            </w:pPr>
            <w:r>
              <w:rPr>
                <w:sz w:val="18"/>
                <w:szCs w:val="18"/>
              </w:rPr>
              <w:t>601,221</w:t>
            </w:r>
          </w:p>
        </w:tc>
        <w:tc>
          <w:tcPr>
            <w:tcW w:w="10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51887840" w14:textId="77777777" w:rsidR="00DB7155" w:rsidRPr="00543450" w:rsidRDefault="00000000">
            <w:pPr>
              <w:jc w:val="right"/>
            </w:pPr>
            <w:r>
              <w:rPr>
                <w:sz w:val="18"/>
                <w:szCs w:val="18"/>
              </w:rPr>
              <w:t>622,872</w:t>
            </w:r>
          </w:p>
        </w:tc>
        <w:tc>
          <w:tcPr>
            <w:tcW w:w="10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7B7A0437" w14:textId="77777777" w:rsidR="00DB7155" w:rsidRPr="00543450" w:rsidRDefault="00000000">
            <w:pPr>
              <w:jc w:val="right"/>
            </w:pPr>
            <w:r>
              <w:rPr>
                <w:sz w:val="18"/>
                <w:szCs w:val="18"/>
              </w:rPr>
              <w:t>656,095</w:t>
            </w:r>
          </w:p>
        </w:tc>
        <w:tc>
          <w:tcPr>
            <w:tcW w:w="88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1300B170" w14:textId="77777777" w:rsidR="00DB7155" w:rsidRPr="00543450" w:rsidRDefault="00000000">
            <w:pPr>
              <w:jc w:val="right"/>
            </w:pPr>
            <w:r>
              <w:rPr>
                <w:sz w:val="18"/>
                <w:szCs w:val="18"/>
              </w:rPr>
              <w:t>675,778</w:t>
            </w:r>
          </w:p>
        </w:tc>
        <w:tc>
          <w:tcPr>
            <w:tcW w:w="88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1CA3C81E" w14:textId="77777777" w:rsidR="00DB7155" w:rsidRPr="00543450" w:rsidRDefault="00000000">
            <w:pPr>
              <w:jc w:val="right"/>
            </w:pPr>
            <w:r>
              <w:rPr>
                <w:sz w:val="18"/>
                <w:szCs w:val="18"/>
              </w:rPr>
              <w:t>696,051</w:t>
            </w:r>
          </w:p>
        </w:tc>
        <w:tc>
          <w:tcPr>
            <w:tcW w:w="9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5240E3BD" w14:textId="77777777" w:rsidR="00DB7155" w:rsidRPr="00543450" w:rsidRDefault="00000000">
            <w:pPr>
              <w:jc w:val="right"/>
            </w:pPr>
            <w:r>
              <w:rPr>
                <w:sz w:val="18"/>
                <w:szCs w:val="18"/>
              </w:rPr>
              <w:t>716,933</w:t>
            </w:r>
          </w:p>
        </w:tc>
      </w:tr>
      <w:tr w:rsidR="004E69CD" w:rsidRPr="00543450" w14:paraId="5F6924CE" w14:textId="77777777">
        <w:tc>
          <w:tcPr>
            <w:tcW w:w="20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71FA9694" w14:textId="77777777" w:rsidR="00DB7155" w:rsidRPr="00543450" w:rsidRDefault="00000000">
            <w:r>
              <w:rPr>
                <w:sz w:val="18"/>
                <w:szCs w:val="18"/>
              </w:rPr>
              <w:t>Volumen ventas RPN - mercado nac.</w:t>
            </w:r>
          </w:p>
        </w:tc>
        <w:tc>
          <w:tcPr>
            <w:tcW w:w="7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356FA8D2" w14:textId="77777777" w:rsidR="00DB7155" w:rsidRPr="00543450" w:rsidRDefault="00000000">
            <w:pPr>
              <w:jc w:val="center"/>
            </w:pPr>
            <w:r>
              <w:rPr>
                <w:sz w:val="18"/>
                <w:szCs w:val="18"/>
              </w:rPr>
              <w:t>TM</w:t>
            </w:r>
          </w:p>
        </w:tc>
        <w:tc>
          <w:tcPr>
            <w:tcW w:w="10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17AC6046" w14:textId="77777777" w:rsidR="00DB7155" w:rsidRPr="00543450" w:rsidRDefault="00000000">
            <w:pPr>
              <w:jc w:val="right"/>
            </w:pPr>
            <w:r>
              <w:rPr>
                <w:sz w:val="18"/>
                <w:szCs w:val="18"/>
              </w:rPr>
              <w:t>102.3</w:t>
            </w:r>
          </w:p>
        </w:tc>
        <w:tc>
          <w:tcPr>
            <w:tcW w:w="10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4AF62B0E" w14:textId="77777777" w:rsidR="00DB7155" w:rsidRPr="00543450" w:rsidRDefault="00000000">
            <w:pPr>
              <w:jc w:val="right"/>
            </w:pPr>
            <w:r>
              <w:rPr>
                <w:sz w:val="18"/>
                <w:szCs w:val="18"/>
              </w:rPr>
              <w:t>102.5</w:t>
            </w:r>
          </w:p>
        </w:tc>
        <w:tc>
          <w:tcPr>
            <w:tcW w:w="10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60DE98D1" w14:textId="77777777" w:rsidR="00DB7155" w:rsidRPr="00543450" w:rsidRDefault="00000000">
            <w:pPr>
              <w:jc w:val="right"/>
            </w:pPr>
            <w:r>
              <w:rPr>
                <w:sz w:val="18"/>
                <w:szCs w:val="18"/>
              </w:rPr>
              <w:t>108.5</w:t>
            </w:r>
          </w:p>
        </w:tc>
        <w:tc>
          <w:tcPr>
            <w:tcW w:w="10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569976DF" w14:textId="77777777" w:rsidR="00DB7155" w:rsidRPr="00543450" w:rsidRDefault="00000000">
            <w:pPr>
              <w:jc w:val="right"/>
            </w:pPr>
            <w:r>
              <w:rPr>
                <w:sz w:val="18"/>
                <w:szCs w:val="18"/>
              </w:rPr>
              <w:t>109.7</w:t>
            </w:r>
          </w:p>
        </w:tc>
        <w:tc>
          <w:tcPr>
            <w:tcW w:w="880" w:type="dxa"/>
            <w:tcBorders>
              <w:top w:val="single" w:sz="4" w:space="0" w:color="BFBFBF"/>
              <w:left w:val="single" w:sz="4" w:space="0" w:color="BFBFBF"/>
              <w:bottom w:val="single" w:sz="4" w:space="0" w:color="BFBFBF"/>
              <w:right w:val="single" w:sz="4" w:space="0" w:color="BFBFBF"/>
            </w:tcBorders>
            <w:shd w:val="clear" w:color="auto" w:fill="FFE0E0"/>
            <w:tcMar>
              <w:top w:w="80" w:type="dxa"/>
              <w:left w:w="120" w:type="dxa"/>
              <w:bottom w:w="80" w:type="dxa"/>
              <w:right w:w="120" w:type="dxa"/>
            </w:tcMar>
            <w:vAlign w:val="center"/>
          </w:tcPr>
          <w:p w14:paraId="587226E5" w14:textId="77777777" w:rsidR="00DB7155" w:rsidRPr="00543450" w:rsidRDefault="00000000">
            <w:pPr>
              <w:jc w:val="right"/>
            </w:pPr>
            <w:r>
              <w:rPr>
                <w:b/>
                <w:bCs/>
                <w:sz w:val="18"/>
                <w:szCs w:val="18"/>
              </w:rPr>
              <w:t>90.7</w:t>
            </w:r>
          </w:p>
        </w:tc>
        <w:tc>
          <w:tcPr>
            <w:tcW w:w="880" w:type="dxa"/>
            <w:tcBorders>
              <w:top w:val="single" w:sz="4" w:space="0" w:color="BFBFBF"/>
              <w:left w:val="single" w:sz="4" w:space="0" w:color="BFBFBF"/>
              <w:bottom w:val="single" w:sz="4" w:space="0" w:color="BFBFBF"/>
              <w:right w:val="single" w:sz="4" w:space="0" w:color="BFBFBF"/>
            </w:tcBorders>
            <w:shd w:val="clear" w:color="auto" w:fill="FFE0E0"/>
            <w:tcMar>
              <w:top w:w="80" w:type="dxa"/>
              <w:left w:w="120" w:type="dxa"/>
              <w:bottom w:w="80" w:type="dxa"/>
              <w:right w:w="120" w:type="dxa"/>
            </w:tcMar>
            <w:vAlign w:val="center"/>
          </w:tcPr>
          <w:p w14:paraId="2E4B0FE3" w14:textId="77777777" w:rsidR="00DB7155" w:rsidRPr="00543450" w:rsidRDefault="00000000">
            <w:pPr>
              <w:jc w:val="right"/>
            </w:pPr>
            <w:r>
              <w:rPr>
                <w:b/>
                <w:bCs/>
                <w:sz w:val="18"/>
                <w:szCs w:val="18"/>
              </w:rPr>
              <w:t>74.4</w:t>
            </w:r>
          </w:p>
        </w:tc>
        <w:tc>
          <w:tcPr>
            <w:tcW w:w="900" w:type="dxa"/>
            <w:tcBorders>
              <w:top w:val="single" w:sz="4" w:space="0" w:color="BFBFBF"/>
              <w:left w:val="single" w:sz="4" w:space="0" w:color="BFBFBF"/>
              <w:bottom w:val="single" w:sz="4" w:space="0" w:color="BFBFBF"/>
              <w:right w:val="single" w:sz="4" w:space="0" w:color="BFBFBF"/>
            </w:tcBorders>
            <w:shd w:val="clear" w:color="auto" w:fill="FFE0E0"/>
            <w:tcMar>
              <w:top w:w="80" w:type="dxa"/>
              <w:left w:w="120" w:type="dxa"/>
              <w:bottom w:w="80" w:type="dxa"/>
              <w:right w:w="120" w:type="dxa"/>
            </w:tcMar>
            <w:vAlign w:val="center"/>
          </w:tcPr>
          <w:p w14:paraId="10AD3223" w14:textId="77777777" w:rsidR="00DB7155" w:rsidRPr="00543450" w:rsidRDefault="00000000">
            <w:pPr>
              <w:jc w:val="right"/>
            </w:pPr>
            <w:r>
              <w:rPr>
                <w:b/>
                <w:bCs/>
                <w:sz w:val="18"/>
                <w:szCs w:val="18"/>
              </w:rPr>
              <w:t>61.6</w:t>
            </w:r>
          </w:p>
        </w:tc>
      </w:tr>
      <w:tr w:rsidR="004E69CD" w:rsidRPr="00543450" w14:paraId="65B29267" w14:textId="77777777">
        <w:tc>
          <w:tcPr>
            <w:tcW w:w="20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5FB5E699" w14:textId="77777777" w:rsidR="00DB7155" w:rsidRPr="00543450" w:rsidRDefault="00000000">
            <w:r>
              <w:rPr>
                <w:sz w:val="18"/>
                <w:szCs w:val="18"/>
              </w:rPr>
              <w:t>Importaciones totales</w:t>
            </w:r>
          </w:p>
        </w:tc>
        <w:tc>
          <w:tcPr>
            <w:tcW w:w="7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605C6DC5" w14:textId="77777777" w:rsidR="00DB7155" w:rsidRPr="00543450" w:rsidRDefault="00000000">
            <w:pPr>
              <w:jc w:val="center"/>
            </w:pPr>
            <w:r>
              <w:rPr>
                <w:sz w:val="18"/>
                <w:szCs w:val="18"/>
              </w:rPr>
              <w:t>TM</w:t>
            </w:r>
          </w:p>
        </w:tc>
        <w:tc>
          <w:tcPr>
            <w:tcW w:w="10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54EC17E0" w14:textId="77777777" w:rsidR="00DB7155" w:rsidRPr="00543450" w:rsidRDefault="00000000">
            <w:pPr>
              <w:jc w:val="right"/>
            </w:pPr>
            <w:r>
              <w:rPr>
                <w:sz w:val="18"/>
                <w:szCs w:val="18"/>
              </w:rPr>
              <w:t>97,907</w:t>
            </w:r>
          </w:p>
        </w:tc>
        <w:tc>
          <w:tcPr>
            <w:tcW w:w="10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005CC924" w14:textId="77777777" w:rsidR="00DB7155" w:rsidRPr="00543450" w:rsidRDefault="00000000">
            <w:pPr>
              <w:jc w:val="right"/>
            </w:pPr>
            <w:r>
              <w:rPr>
                <w:sz w:val="18"/>
                <w:szCs w:val="18"/>
              </w:rPr>
              <w:t>99,576</w:t>
            </w:r>
          </w:p>
        </w:tc>
        <w:tc>
          <w:tcPr>
            <w:tcW w:w="10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029D189D" w14:textId="77777777" w:rsidR="00DB7155" w:rsidRPr="00543450" w:rsidRDefault="00000000">
            <w:pPr>
              <w:jc w:val="right"/>
            </w:pPr>
            <w:r>
              <w:rPr>
                <w:sz w:val="18"/>
                <w:szCs w:val="18"/>
              </w:rPr>
              <w:t>91,857</w:t>
            </w:r>
          </w:p>
        </w:tc>
        <w:tc>
          <w:tcPr>
            <w:tcW w:w="10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5FC5EACB" w14:textId="77777777" w:rsidR="00DB7155" w:rsidRPr="00543450" w:rsidRDefault="00000000">
            <w:pPr>
              <w:jc w:val="right"/>
            </w:pPr>
            <w:r>
              <w:rPr>
                <w:sz w:val="18"/>
                <w:szCs w:val="18"/>
              </w:rPr>
              <w:t>119,056</w:t>
            </w:r>
          </w:p>
        </w:tc>
        <w:tc>
          <w:tcPr>
            <w:tcW w:w="88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46CD58F5" w14:textId="77777777" w:rsidR="00DB7155" w:rsidRPr="00543450" w:rsidRDefault="00000000">
            <w:pPr>
              <w:jc w:val="right"/>
            </w:pPr>
            <w:r>
              <w:rPr>
                <w:sz w:val="18"/>
                <w:szCs w:val="18"/>
              </w:rPr>
              <w:t>231,851</w:t>
            </w:r>
          </w:p>
        </w:tc>
        <w:tc>
          <w:tcPr>
            <w:tcW w:w="88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4EDA8625" w14:textId="77777777" w:rsidR="00DB7155" w:rsidRPr="00543450" w:rsidRDefault="00000000">
            <w:pPr>
              <w:jc w:val="right"/>
            </w:pPr>
            <w:r>
              <w:rPr>
                <w:sz w:val="18"/>
                <w:szCs w:val="18"/>
              </w:rPr>
              <w:t>331,850</w:t>
            </w:r>
          </w:p>
        </w:tc>
        <w:tc>
          <w:tcPr>
            <w:tcW w:w="9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30591CCC" w14:textId="77777777" w:rsidR="00DB7155" w:rsidRPr="00543450" w:rsidRDefault="00000000">
            <w:pPr>
              <w:jc w:val="right"/>
            </w:pPr>
            <w:r>
              <w:rPr>
                <w:sz w:val="18"/>
                <w:szCs w:val="18"/>
              </w:rPr>
              <w:t>415,647</w:t>
            </w:r>
          </w:p>
        </w:tc>
      </w:tr>
      <w:tr w:rsidR="004E69CD" w:rsidRPr="00543450" w14:paraId="318F9784" w14:textId="77777777">
        <w:tc>
          <w:tcPr>
            <w:tcW w:w="20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0EA76086" w14:textId="77777777" w:rsidR="00DB7155" w:rsidRPr="00543450" w:rsidRDefault="00000000">
            <w:r>
              <w:rPr>
                <w:sz w:val="18"/>
                <w:szCs w:val="18"/>
              </w:rPr>
              <w:t>Importaciones de China</w:t>
            </w:r>
          </w:p>
        </w:tc>
        <w:tc>
          <w:tcPr>
            <w:tcW w:w="7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462EA5C2" w14:textId="77777777" w:rsidR="00DB7155" w:rsidRPr="00543450" w:rsidRDefault="00000000">
            <w:pPr>
              <w:jc w:val="center"/>
            </w:pPr>
            <w:r>
              <w:rPr>
                <w:sz w:val="18"/>
                <w:szCs w:val="18"/>
              </w:rPr>
              <w:t>TM</w:t>
            </w:r>
          </w:p>
        </w:tc>
        <w:tc>
          <w:tcPr>
            <w:tcW w:w="10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0699DC58" w14:textId="77777777" w:rsidR="00DB7155" w:rsidRPr="00543450" w:rsidRDefault="00000000">
            <w:pPr>
              <w:jc w:val="right"/>
            </w:pPr>
            <w:r>
              <w:rPr>
                <w:sz w:val="18"/>
                <w:szCs w:val="18"/>
              </w:rPr>
              <w:t>0</w:t>
            </w:r>
          </w:p>
        </w:tc>
        <w:tc>
          <w:tcPr>
            <w:tcW w:w="10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57A6DFC7" w14:textId="77777777" w:rsidR="00DB7155" w:rsidRPr="00543450" w:rsidRDefault="00000000">
            <w:pPr>
              <w:jc w:val="right"/>
            </w:pPr>
            <w:r>
              <w:rPr>
                <w:sz w:val="18"/>
                <w:szCs w:val="18"/>
              </w:rPr>
              <w:t>0</w:t>
            </w:r>
          </w:p>
        </w:tc>
        <w:tc>
          <w:tcPr>
            <w:tcW w:w="10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37E3BDE5" w14:textId="77777777" w:rsidR="00DB7155" w:rsidRPr="00543450" w:rsidRDefault="00000000">
            <w:pPr>
              <w:jc w:val="right"/>
            </w:pPr>
            <w:r>
              <w:rPr>
                <w:sz w:val="18"/>
                <w:szCs w:val="18"/>
              </w:rPr>
              <w:t>102</w:t>
            </w:r>
          </w:p>
        </w:tc>
        <w:tc>
          <w:tcPr>
            <w:tcW w:w="10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36F8C38C" w14:textId="77777777" w:rsidR="00DB7155" w:rsidRPr="00543450" w:rsidRDefault="00000000">
            <w:pPr>
              <w:jc w:val="right"/>
            </w:pPr>
            <w:r>
              <w:rPr>
                <w:sz w:val="18"/>
                <w:szCs w:val="18"/>
              </w:rPr>
              <w:t>0</w:t>
            </w:r>
          </w:p>
        </w:tc>
        <w:tc>
          <w:tcPr>
            <w:tcW w:w="88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0072A509" w14:textId="77777777" w:rsidR="00DB7155" w:rsidRPr="00543450" w:rsidRDefault="00000000">
            <w:pPr>
              <w:jc w:val="right"/>
            </w:pPr>
            <w:r>
              <w:rPr>
                <w:sz w:val="18"/>
                <w:szCs w:val="18"/>
              </w:rPr>
              <w:t>172,323</w:t>
            </w:r>
          </w:p>
        </w:tc>
        <w:tc>
          <w:tcPr>
            <w:tcW w:w="88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4931EF35" w14:textId="77777777" w:rsidR="00DB7155" w:rsidRPr="00543450" w:rsidRDefault="00000000">
            <w:pPr>
              <w:jc w:val="right"/>
            </w:pPr>
            <w:r>
              <w:rPr>
                <w:sz w:val="18"/>
                <w:szCs w:val="18"/>
              </w:rPr>
              <w:t>302,086</w:t>
            </w:r>
          </w:p>
        </w:tc>
        <w:tc>
          <w:tcPr>
            <w:tcW w:w="9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1BB2B327" w14:textId="77777777" w:rsidR="00DB7155" w:rsidRPr="00543450" w:rsidRDefault="00000000">
            <w:pPr>
              <w:jc w:val="right"/>
            </w:pPr>
            <w:r>
              <w:rPr>
                <w:sz w:val="18"/>
                <w:szCs w:val="18"/>
              </w:rPr>
              <w:t>400,765</w:t>
            </w:r>
          </w:p>
        </w:tc>
      </w:tr>
      <w:tr w:rsidR="004E69CD" w:rsidRPr="00543450" w14:paraId="07DA02D6" w14:textId="77777777">
        <w:tc>
          <w:tcPr>
            <w:tcW w:w="20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6CB46D34" w14:textId="77777777" w:rsidR="00DB7155" w:rsidRPr="00B03833" w:rsidRDefault="00000000">
            <w:pPr>
              <w:rPr>
                <w:b/>
                <w:bCs/>
              </w:rPr>
            </w:pPr>
            <w:r>
              <w:rPr>
                <w:b/>
                <w:bCs/>
                <w:sz w:val="18"/>
                <w:szCs w:val="18"/>
              </w:rPr>
              <w:t>Participación de mercado RPN</w:t>
            </w:r>
          </w:p>
        </w:tc>
        <w:tc>
          <w:tcPr>
            <w:tcW w:w="7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60CE6451" w14:textId="77777777" w:rsidR="00DB7155" w:rsidRPr="00543450" w:rsidRDefault="00000000">
            <w:pPr>
              <w:jc w:val="center"/>
            </w:pPr>
            <w:r>
              <w:rPr>
                <w:sz w:val="18"/>
                <w:szCs w:val="18"/>
              </w:rPr>
              <w:t>%</w:t>
            </w:r>
          </w:p>
        </w:tc>
        <w:tc>
          <w:tcPr>
            <w:tcW w:w="10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68EB5E26" w14:textId="77777777" w:rsidR="00DB7155" w:rsidRPr="00543450" w:rsidRDefault="00000000">
            <w:pPr>
              <w:jc w:val="right"/>
            </w:pPr>
            <w:r>
              <w:rPr>
                <w:sz w:val="18"/>
                <w:szCs w:val="18"/>
              </w:rPr>
              <w:t>83.7%</w:t>
            </w:r>
          </w:p>
        </w:tc>
        <w:tc>
          <w:tcPr>
            <w:tcW w:w="10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2887D922" w14:textId="77777777" w:rsidR="00DB7155" w:rsidRPr="00543450" w:rsidRDefault="00000000">
            <w:pPr>
              <w:jc w:val="right"/>
            </w:pPr>
            <w:r>
              <w:rPr>
                <w:sz w:val="18"/>
                <w:szCs w:val="18"/>
              </w:rPr>
              <w:t>83.4%</w:t>
            </w:r>
          </w:p>
        </w:tc>
        <w:tc>
          <w:tcPr>
            <w:tcW w:w="10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7EA1B474" w14:textId="77777777" w:rsidR="00DB7155" w:rsidRPr="00543450" w:rsidRDefault="00000000">
            <w:pPr>
              <w:jc w:val="right"/>
            </w:pPr>
            <w:r>
              <w:rPr>
                <w:sz w:val="18"/>
                <w:szCs w:val="18"/>
              </w:rPr>
              <w:t>85.3%</w:t>
            </w:r>
          </w:p>
        </w:tc>
        <w:tc>
          <w:tcPr>
            <w:tcW w:w="10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1C94D4CE" w14:textId="77777777" w:rsidR="00DB7155" w:rsidRPr="00543450" w:rsidRDefault="00000000">
            <w:pPr>
              <w:jc w:val="right"/>
            </w:pPr>
            <w:r>
              <w:rPr>
                <w:sz w:val="18"/>
                <w:szCs w:val="18"/>
              </w:rPr>
              <w:t>81.9%</w:t>
            </w:r>
          </w:p>
        </w:tc>
        <w:tc>
          <w:tcPr>
            <w:tcW w:w="880" w:type="dxa"/>
            <w:tcBorders>
              <w:top w:val="single" w:sz="4" w:space="0" w:color="BFBFBF"/>
              <w:left w:val="single" w:sz="4" w:space="0" w:color="BFBFBF"/>
              <w:bottom w:val="single" w:sz="4" w:space="0" w:color="BFBFBF"/>
              <w:right w:val="single" w:sz="4" w:space="0" w:color="BFBFBF"/>
            </w:tcBorders>
            <w:shd w:val="clear" w:color="auto" w:fill="FFE0E0"/>
            <w:tcMar>
              <w:top w:w="80" w:type="dxa"/>
              <w:left w:w="120" w:type="dxa"/>
              <w:bottom w:w="80" w:type="dxa"/>
              <w:right w:w="120" w:type="dxa"/>
            </w:tcMar>
            <w:vAlign w:val="center"/>
          </w:tcPr>
          <w:p w14:paraId="14B4B6AF" w14:textId="77777777" w:rsidR="00DB7155" w:rsidRPr="00543450" w:rsidRDefault="00000000">
            <w:pPr>
              <w:jc w:val="right"/>
            </w:pPr>
            <w:r>
              <w:rPr>
                <w:b/>
                <w:bCs/>
                <w:sz w:val="18"/>
                <w:szCs w:val="18"/>
              </w:rPr>
              <w:t>66%</w:t>
            </w:r>
          </w:p>
        </w:tc>
        <w:tc>
          <w:tcPr>
            <w:tcW w:w="880" w:type="dxa"/>
            <w:tcBorders>
              <w:top w:val="single" w:sz="4" w:space="0" w:color="BFBFBF"/>
              <w:left w:val="single" w:sz="4" w:space="0" w:color="BFBFBF"/>
              <w:bottom w:val="single" w:sz="4" w:space="0" w:color="BFBFBF"/>
              <w:right w:val="single" w:sz="4" w:space="0" w:color="BFBFBF"/>
            </w:tcBorders>
            <w:shd w:val="clear" w:color="auto" w:fill="FFE0E0"/>
            <w:tcMar>
              <w:top w:w="80" w:type="dxa"/>
              <w:left w:w="120" w:type="dxa"/>
              <w:bottom w:w="80" w:type="dxa"/>
              <w:right w:w="120" w:type="dxa"/>
            </w:tcMar>
            <w:vAlign w:val="center"/>
          </w:tcPr>
          <w:p w14:paraId="73D114DD" w14:textId="77777777" w:rsidR="00DB7155" w:rsidRPr="00543450" w:rsidRDefault="00000000">
            <w:pPr>
              <w:jc w:val="right"/>
            </w:pPr>
            <w:r>
              <w:rPr>
                <w:b/>
                <w:bCs/>
                <w:sz w:val="18"/>
                <w:szCs w:val="18"/>
              </w:rPr>
              <w:t>52%</w:t>
            </w:r>
          </w:p>
        </w:tc>
        <w:tc>
          <w:tcPr>
            <w:tcW w:w="900" w:type="dxa"/>
            <w:tcBorders>
              <w:top w:val="single" w:sz="4" w:space="0" w:color="BFBFBF"/>
              <w:left w:val="single" w:sz="4" w:space="0" w:color="BFBFBF"/>
              <w:bottom w:val="single" w:sz="4" w:space="0" w:color="BFBFBF"/>
              <w:right w:val="single" w:sz="4" w:space="0" w:color="BFBFBF"/>
            </w:tcBorders>
            <w:shd w:val="clear" w:color="auto" w:fill="FFE0E0"/>
            <w:tcMar>
              <w:top w:w="80" w:type="dxa"/>
              <w:left w:w="120" w:type="dxa"/>
              <w:bottom w:w="80" w:type="dxa"/>
              <w:right w:w="120" w:type="dxa"/>
            </w:tcMar>
            <w:vAlign w:val="center"/>
          </w:tcPr>
          <w:p w14:paraId="371A5274" w14:textId="77777777" w:rsidR="00DB7155" w:rsidRPr="00543450" w:rsidRDefault="00000000">
            <w:pPr>
              <w:jc w:val="right"/>
            </w:pPr>
            <w:r>
              <w:rPr>
                <w:b/>
                <w:bCs/>
                <w:sz w:val="18"/>
                <w:szCs w:val="18"/>
              </w:rPr>
              <w:t>42%</w:t>
            </w:r>
          </w:p>
        </w:tc>
      </w:tr>
      <w:tr w:rsidR="004E69CD" w:rsidRPr="00543450" w14:paraId="66D1F819" w14:textId="77777777" w:rsidTr="00B03833">
        <w:tc>
          <w:tcPr>
            <w:tcW w:w="20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51AB8549" w14:textId="77777777" w:rsidR="00DB7155" w:rsidRPr="00B03833" w:rsidRDefault="00000000">
            <w:pPr>
              <w:rPr>
                <w:b/>
                <w:bCs/>
              </w:rPr>
            </w:pPr>
            <w:r>
              <w:rPr>
                <w:b/>
                <w:bCs/>
                <w:sz w:val="18"/>
                <w:szCs w:val="18"/>
              </w:rPr>
              <w:lastRenderedPageBreak/>
              <w:t>Participación de mercado China</w:t>
            </w:r>
          </w:p>
        </w:tc>
        <w:tc>
          <w:tcPr>
            <w:tcW w:w="7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3C252E8A" w14:textId="77777777" w:rsidR="00DB7155" w:rsidRPr="00543450" w:rsidRDefault="00000000">
            <w:pPr>
              <w:jc w:val="center"/>
            </w:pPr>
            <w:r>
              <w:rPr>
                <w:sz w:val="18"/>
                <w:szCs w:val="18"/>
              </w:rPr>
              <w:t>%</w:t>
            </w:r>
          </w:p>
        </w:tc>
        <w:tc>
          <w:tcPr>
            <w:tcW w:w="10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797748FC" w14:textId="77777777" w:rsidR="00DB7155" w:rsidRPr="00543450" w:rsidRDefault="00000000">
            <w:pPr>
              <w:jc w:val="right"/>
            </w:pPr>
            <w:r>
              <w:rPr>
                <w:sz w:val="18"/>
                <w:szCs w:val="18"/>
              </w:rPr>
              <w:t>0.0%</w:t>
            </w:r>
          </w:p>
        </w:tc>
        <w:tc>
          <w:tcPr>
            <w:tcW w:w="10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7037D81E" w14:textId="77777777" w:rsidR="00DB7155" w:rsidRPr="00543450" w:rsidRDefault="00000000">
            <w:pPr>
              <w:jc w:val="right"/>
            </w:pPr>
            <w:r>
              <w:rPr>
                <w:sz w:val="18"/>
                <w:szCs w:val="18"/>
              </w:rPr>
              <w:t>0.0%</w:t>
            </w:r>
          </w:p>
        </w:tc>
        <w:tc>
          <w:tcPr>
            <w:tcW w:w="10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296AD862" w14:textId="77777777" w:rsidR="00DB7155" w:rsidRPr="00543450" w:rsidRDefault="00000000">
            <w:pPr>
              <w:jc w:val="right"/>
            </w:pPr>
            <w:r>
              <w:rPr>
                <w:sz w:val="18"/>
                <w:szCs w:val="18"/>
              </w:rPr>
              <w:t>0.0%</w:t>
            </w:r>
          </w:p>
        </w:tc>
        <w:tc>
          <w:tcPr>
            <w:tcW w:w="10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02FBE738" w14:textId="77777777" w:rsidR="00DB7155" w:rsidRPr="00543450" w:rsidRDefault="00000000">
            <w:pPr>
              <w:jc w:val="right"/>
            </w:pPr>
            <w:r>
              <w:rPr>
                <w:sz w:val="18"/>
                <w:szCs w:val="18"/>
              </w:rPr>
              <w:t>0.0%</w:t>
            </w:r>
          </w:p>
        </w:tc>
        <w:tc>
          <w:tcPr>
            <w:tcW w:w="880" w:type="dxa"/>
            <w:tcBorders>
              <w:top w:val="single" w:sz="4" w:space="0" w:color="BFBFBF"/>
              <w:left w:val="single" w:sz="4" w:space="0" w:color="BFBFBF"/>
              <w:bottom w:val="single" w:sz="4" w:space="0" w:color="BFBFBF"/>
              <w:right w:val="single" w:sz="4" w:space="0" w:color="BFBFBF"/>
            </w:tcBorders>
            <w:shd w:val="clear" w:color="auto" w:fill="DEEAF6" w:themeFill="accent5" w:themeFillTint="33"/>
            <w:tcMar>
              <w:top w:w="80" w:type="dxa"/>
              <w:left w:w="120" w:type="dxa"/>
              <w:bottom w:w="80" w:type="dxa"/>
              <w:right w:w="120" w:type="dxa"/>
            </w:tcMar>
            <w:vAlign w:val="center"/>
          </w:tcPr>
          <w:p w14:paraId="14E20AFD" w14:textId="77777777" w:rsidR="00DB7155" w:rsidRPr="00185AA2" w:rsidRDefault="00000000">
            <w:pPr>
              <w:jc w:val="right"/>
              <w:rPr>
                <w:b/>
                <w:bCs/>
              </w:rPr>
            </w:pPr>
            <w:r>
              <w:rPr>
                <w:b/>
                <w:bCs/>
                <w:sz w:val="18"/>
                <w:szCs w:val="18"/>
              </w:rPr>
              <w:t>26%</w:t>
            </w:r>
          </w:p>
        </w:tc>
        <w:tc>
          <w:tcPr>
            <w:tcW w:w="880" w:type="dxa"/>
            <w:tcBorders>
              <w:top w:val="single" w:sz="4" w:space="0" w:color="BFBFBF"/>
              <w:left w:val="single" w:sz="4" w:space="0" w:color="BFBFBF"/>
              <w:bottom w:val="single" w:sz="4" w:space="0" w:color="BFBFBF"/>
              <w:right w:val="single" w:sz="4" w:space="0" w:color="BFBFBF"/>
            </w:tcBorders>
            <w:shd w:val="clear" w:color="auto" w:fill="DEEAF6" w:themeFill="accent5" w:themeFillTint="33"/>
            <w:tcMar>
              <w:top w:w="80" w:type="dxa"/>
              <w:left w:w="120" w:type="dxa"/>
              <w:bottom w:w="80" w:type="dxa"/>
              <w:right w:w="120" w:type="dxa"/>
            </w:tcMar>
            <w:vAlign w:val="center"/>
          </w:tcPr>
          <w:p w14:paraId="3ECC55DE" w14:textId="77777777" w:rsidR="00DB7155" w:rsidRPr="00185AA2" w:rsidRDefault="00000000">
            <w:pPr>
              <w:jc w:val="right"/>
              <w:rPr>
                <w:b/>
                <w:bCs/>
              </w:rPr>
            </w:pPr>
            <w:r>
              <w:rPr>
                <w:b/>
                <w:bCs/>
                <w:sz w:val="18"/>
                <w:szCs w:val="18"/>
              </w:rPr>
              <w:t>43%</w:t>
            </w:r>
          </w:p>
        </w:tc>
        <w:tc>
          <w:tcPr>
            <w:tcW w:w="900" w:type="dxa"/>
            <w:tcBorders>
              <w:top w:val="single" w:sz="4" w:space="0" w:color="BFBFBF"/>
              <w:left w:val="single" w:sz="4" w:space="0" w:color="BFBFBF"/>
              <w:bottom w:val="single" w:sz="4" w:space="0" w:color="BFBFBF"/>
              <w:right w:val="single" w:sz="4" w:space="0" w:color="BFBFBF"/>
            </w:tcBorders>
            <w:shd w:val="clear" w:color="auto" w:fill="DEEAF6" w:themeFill="accent5" w:themeFillTint="33"/>
            <w:tcMar>
              <w:top w:w="80" w:type="dxa"/>
              <w:left w:w="120" w:type="dxa"/>
              <w:bottom w:w="80" w:type="dxa"/>
              <w:right w:w="120" w:type="dxa"/>
            </w:tcMar>
            <w:vAlign w:val="center"/>
          </w:tcPr>
          <w:p w14:paraId="4006FAD8" w14:textId="77777777" w:rsidR="00DB7155" w:rsidRPr="00185AA2" w:rsidRDefault="00000000">
            <w:pPr>
              <w:jc w:val="right"/>
              <w:rPr>
                <w:b/>
                <w:bCs/>
              </w:rPr>
            </w:pPr>
            <w:r>
              <w:rPr>
                <w:b/>
                <w:bCs/>
                <w:sz w:val="18"/>
                <w:szCs w:val="18"/>
              </w:rPr>
              <w:t>56%</w:t>
            </w:r>
          </w:p>
        </w:tc>
      </w:tr>
      <w:tr w:rsidR="004E69CD" w:rsidRPr="00543450" w14:paraId="3D9F4C07" w14:textId="77777777">
        <w:tc>
          <w:tcPr>
            <w:tcW w:w="20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2027C9CD" w14:textId="77777777" w:rsidR="00DB7155" w:rsidRPr="00543450" w:rsidRDefault="00000000">
            <w:r>
              <w:rPr>
                <w:sz w:val="18"/>
                <w:szCs w:val="18"/>
              </w:rPr>
              <w:t>Participación resto importadores</w:t>
            </w:r>
          </w:p>
        </w:tc>
        <w:tc>
          <w:tcPr>
            <w:tcW w:w="7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31757479" w14:textId="77777777" w:rsidR="00DB7155" w:rsidRPr="00543450" w:rsidRDefault="00000000">
            <w:pPr>
              <w:jc w:val="center"/>
            </w:pPr>
            <w:r>
              <w:rPr>
                <w:sz w:val="18"/>
                <w:szCs w:val="18"/>
              </w:rPr>
              <w:t>%</w:t>
            </w:r>
          </w:p>
        </w:tc>
        <w:tc>
          <w:tcPr>
            <w:tcW w:w="10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020205E0" w14:textId="77777777" w:rsidR="00DB7155" w:rsidRPr="00543450" w:rsidRDefault="00000000">
            <w:pPr>
              <w:jc w:val="right"/>
            </w:pPr>
            <w:r>
              <w:rPr>
                <w:sz w:val="18"/>
                <w:szCs w:val="18"/>
              </w:rPr>
              <w:t>16.3%</w:t>
            </w:r>
          </w:p>
        </w:tc>
        <w:tc>
          <w:tcPr>
            <w:tcW w:w="10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22A81388" w14:textId="77777777" w:rsidR="00DB7155" w:rsidRPr="00543450" w:rsidRDefault="00000000">
            <w:pPr>
              <w:jc w:val="right"/>
            </w:pPr>
            <w:r>
              <w:rPr>
                <w:sz w:val="18"/>
                <w:szCs w:val="18"/>
              </w:rPr>
              <w:t>16.6%</w:t>
            </w:r>
          </w:p>
        </w:tc>
        <w:tc>
          <w:tcPr>
            <w:tcW w:w="10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250201E1" w14:textId="77777777" w:rsidR="00DB7155" w:rsidRPr="00543450" w:rsidRDefault="00000000">
            <w:pPr>
              <w:jc w:val="right"/>
            </w:pPr>
            <w:r>
              <w:rPr>
                <w:sz w:val="18"/>
                <w:szCs w:val="18"/>
              </w:rPr>
              <w:t>14.7%</w:t>
            </w:r>
          </w:p>
        </w:tc>
        <w:tc>
          <w:tcPr>
            <w:tcW w:w="10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590EEB6E" w14:textId="77777777" w:rsidR="00DB7155" w:rsidRPr="00543450" w:rsidRDefault="00000000">
            <w:pPr>
              <w:jc w:val="right"/>
            </w:pPr>
            <w:r>
              <w:rPr>
                <w:sz w:val="18"/>
                <w:szCs w:val="18"/>
              </w:rPr>
              <w:t>18.1%</w:t>
            </w:r>
          </w:p>
        </w:tc>
        <w:tc>
          <w:tcPr>
            <w:tcW w:w="88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2C6ABADF" w14:textId="77777777" w:rsidR="00DB7155" w:rsidRPr="00543450" w:rsidRDefault="00000000">
            <w:pPr>
              <w:jc w:val="right"/>
            </w:pPr>
            <w:r>
              <w:rPr>
                <w:sz w:val="18"/>
                <w:szCs w:val="18"/>
              </w:rPr>
              <w:t>7%</w:t>
            </w:r>
          </w:p>
        </w:tc>
        <w:tc>
          <w:tcPr>
            <w:tcW w:w="88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158FC3AC" w14:textId="77777777" w:rsidR="00DB7155" w:rsidRPr="00543450" w:rsidRDefault="00000000">
            <w:pPr>
              <w:jc w:val="right"/>
            </w:pPr>
            <w:r>
              <w:rPr>
                <w:sz w:val="18"/>
                <w:szCs w:val="18"/>
              </w:rPr>
              <w:t>3%</w:t>
            </w:r>
          </w:p>
        </w:tc>
        <w:tc>
          <w:tcPr>
            <w:tcW w:w="9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47525BF9" w14:textId="77777777" w:rsidR="00DB7155" w:rsidRPr="00543450" w:rsidRDefault="00000000">
            <w:pPr>
              <w:jc w:val="right"/>
            </w:pPr>
            <w:r>
              <w:rPr>
                <w:sz w:val="18"/>
                <w:szCs w:val="18"/>
              </w:rPr>
              <w:t>2%</w:t>
            </w:r>
          </w:p>
        </w:tc>
      </w:tr>
      <w:tr w:rsidR="004E69CD" w:rsidRPr="00543450" w14:paraId="30001D87" w14:textId="77777777">
        <w:tc>
          <w:tcPr>
            <w:tcW w:w="2000" w:type="dxa"/>
            <w:tcBorders>
              <w:top w:val="single" w:sz="4" w:space="0" w:color="BFBFBF"/>
              <w:left w:val="single" w:sz="4" w:space="0" w:color="BFBFBF"/>
              <w:bottom w:val="single" w:sz="4" w:space="0" w:color="BFBFBF"/>
              <w:right w:val="single" w:sz="4" w:space="0" w:color="BFBFBF"/>
            </w:tcBorders>
            <w:shd w:val="clear" w:color="auto" w:fill="D9E2F3"/>
            <w:tcMar>
              <w:top w:w="80" w:type="dxa"/>
              <w:left w:w="120" w:type="dxa"/>
              <w:bottom w:w="80" w:type="dxa"/>
              <w:right w:w="120" w:type="dxa"/>
            </w:tcMar>
            <w:vAlign w:val="center"/>
          </w:tcPr>
          <w:p w14:paraId="233489F4" w14:textId="77777777" w:rsidR="00DB7155" w:rsidRPr="00543450" w:rsidRDefault="00000000">
            <w:r>
              <w:rPr>
                <w:b/>
                <w:bCs/>
                <w:sz w:val="18"/>
                <w:szCs w:val="18"/>
              </w:rPr>
              <w:t>Supuestos de crecimiento</w:t>
            </w:r>
          </w:p>
        </w:tc>
        <w:tc>
          <w:tcPr>
            <w:tcW w:w="700" w:type="dxa"/>
            <w:tcBorders>
              <w:top w:val="single" w:sz="4" w:space="0" w:color="BFBFBF"/>
              <w:left w:val="single" w:sz="4" w:space="0" w:color="BFBFBF"/>
              <w:bottom w:val="single" w:sz="4" w:space="0" w:color="BFBFBF"/>
              <w:right w:val="single" w:sz="4" w:space="0" w:color="BFBFBF"/>
            </w:tcBorders>
            <w:shd w:val="clear" w:color="auto" w:fill="D9E2F3"/>
            <w:tcMar>
              <w:top w:w="80" w:type="dxa"/>
              <w:left w:w="120" w:type="dxa"/>
              <w:bottom w:w="80" w:type="dxa"/>
              <w:right w:w="120" w:type="dxa"/>
            </w:tcMar>
            <w:vAlign w:val="center"/>
          </w:tcPr>
          <w:p w14:paraId="319D0E36" w14:textId="77777777" w:rsidR="00DB7155" w:rsidRPr="00543450" w:rsidRDefault="00DB7155"/>
        </w:tc>
        <w:tc>
          <w:tcPr>
            <w:tcW w:w="1000" w:type="dxa"/>
            <w:tcBorders>
              <w:top w:val="single" w:sz="4" w:space="0" w:color="BFBFBF"/>
              <w:left w:val="single" w:sz="4" w:space="0" w:color="BFBFBF"/>
              <w:bottom w:val="single" w:sz="4" w:space="0" w:color="BFBFBF"/>
              <w:right w:val="single" w:sz="4" w:space="0" w:color="BFBFBF"/>
            </w:tcBorders>
            <w:shd w:val="clear" w:color="auto" w:fill="D9E2F3"/>
            <w:tcMar>
              <w:top w:w="80" w:type="dxa"/>
              <w:left w:w="120" w:type="dxa"/>
              <w:bottom w:w="80" w:type="dxa"/>
              <w:right w:w="120" w:type="dxa"/>
            </w:tcMar>
            <w:vAlign w:val="center"/>
          </w:tcPr>
          <w:p w14:paraId="71370CC6" w14:textId="77777777" w:rsidR="00DB7155" w:rsidRPr="00543450" w:rsidRDefault="00DB7155"/>
        </w:tc>
        <w:tc>
          <w:tcPr>
            <w:tcW w:w="1000" w:type="dxa"/>
            <w:tcBorders>
              <w:top w:val="single" w:sz="4" w:space="0" w:color="BFBFBF"/>
              <w:left w:val="single" w:sz="4" w:space="0" w:color="BFBFBF"/>
              <w:bottom w:val="single" w:sz="4" w:space="0" w:color="BFBFBF"/>
              <w:right w:val="single" w:sz="4" w:space="0" w:color="BFBFBF"/>
            </w:tcBorders>
            <w:shd w:val="clear" w:color="auto" w:fill="D9E2F3"/>
            <w:tcMar>
              <w:top w:w="80" w:type="dxa"/>
              <w:left w:w="120" w:type="dxa"/>
              <w:bottom w:w="80" w:type="dxa"/>
              <w:right w:w="120" w:type="dxa"/>
            </w:tcMar>
            <w:vAlign w:val="center"/>
          </w:tcPr>
          <w:p w14:paraId="67F1FBFE" w14:textId="77777777" w:rsidR="00DB7155" w:rsidRPr="00543450" w:rsidRDefault="00DB7155"/>
        </w:tc>
        <w:tc>
          <w:tcPr>
            <w:tcW w:w="1000" w:type="dxa"/>
            <w:tcBorders>
              <w:top w:val="single" w:sz="4" w:space="0" w:color="BFBFBF"/>
              <w:left w:val="single" w:sz="4" w:space="0" w:color="BFBFBF"/>
              <w:bottom w:val="single" w:sz="4" w:space="0" w:color="BFBFBF"/>
              <w:right w:val="single" w:sz="4" w:space="0" w:color="BFBFBF"/>
            </w:tcBorders>
            <w:shd w:val="clear" w:color="auto" w:fill="D9E2F3"/>
            <w:tcMar>
              <w:top w:w="80" w:type="dxa"/>
              <w:left w:w="120" w:type="dxa"/>
              <w:bottom w:w="80" w:type="dxa"/>
              <w:right w:w="120" w:type="dxa"/>
            </w:tcMar>
            <w:vAlign w:val="center"/>
          </w:tcPr>
          <w:p w14:paraId="495D270D" w14:textId="77777777" w:rsidR="00DB7155" w:rsidRPr="00543450" w:rsidRDefault="00DB7155"/>
        </w:tc>
        <w:tc>
          <w:tcPr>
            <w:tcW w:w="1000" w:type="dxa"/>
            <w:tcBorders>
              <w:top w:val="single" w:sz="4" w:space="0" w:color="BFBFBF"/>
              <w:left w:val="single" w:sz="4" w:space="0" w:color="BFBFBF"/>
              <w:bottom w:val="single" w:sz="4" w:space="0" w:color="BFBFBF"/>
              <w:right w:val="single" w:sz="4" w:space="0" w:color="BFBFBF"/>
            </w:tcBorders>
            <w:shd w:val="clear" w:color="auto" w:fill="D9E2F3"/>
            <w:tcMar>
              <w:top w:w="80" w:type="dxa"/>
              <w:left w:w="120" w:type="dxa"/>
              <w:bottom w:w="80" w:type="dxa"/>
              <w:right w:w="120" w:type="dxa"/>
            </w:tcMar>
            <w:vAlign w:val="center"/>
          </w:tcPr>
          <w:p w14:paraId="15AFE728" w14:textId="77777777" w:rsidR="00DB7155" w:rsidRPr="00543450" w:rsidRDefault="00DB7155"/>
        </w:tc>
        <w:tc>
          <w:tcPr>
            <w:tcW w:w="880" w:type="dxa"/>
            <w:tcBorders>
              <w:top w:val="single" w:sz="4" w:space="0" w:color="BFBFBF"/>
              <w:left w:val="single" w:sz="4" w:space="0" w:color="BFBFBF"/>
              <w:bottom w:val="single" w:sz="4" w:space="0" w:color="BFBFBF"/>
              <w:right w:val="single" w:sz="4" w:space="0" w:color="BFBFBF"/>
            </w:tcBorders>
            <w:shd w:val="clear" w:color="auto" w:fill="D9E2F3"/>
            <w:tcMar>
              <w:top w:w="80" w:type="dxa"/>
              <w:left w:w="120" w:type="dxa"/>
              <w:bottom w:w="80" w:type="dxa"/>
              <w:right w:w="120" w:type="dxa"/>
            </w:tcMar>
            <w:vAlign w:val="center"/>
          </w:tcPr>
          <w:p w14:paraId="18439D4F" w14:textId="77777777" w:rsidR="00DB7155" w:rsidRPr="00543450" w:rsidRDefault="00DB7155"/>
        </w:tc>
        <w:tc>
          <w:tcPr>
            <w:tcW w:w="880" w:type="dxa"/>
            <w:tcBorders>
              <w:top w:val="single" w:sz="4" w:space="0" w:color="BFBFBF"/>
              <w:left w:val="single" w:sz="4" w:space="0" w:color="BFBFBF"/>
              <w:bottom w:val="single" w:sz="4" w:space="0" w:color="BFBFBF"/>
              <w:right w:val="single" w:sz="4" w:space="0" w:color="BFBFBF"/>
            </w:tcBorders>
            <w:shd w:val="clear" w:color="auto" w:fill="D9E2F3"/>
            <w:tcMar>
              <w:top w:w="80" w:type="dxa"/>
              <w:left w:w="120" w:type="dxa"/>
              <w:bottom w:w="80" w:type="dxa"/>
              <w:right w:w="120" w:type="dxa"/>
            </w:tcMar>
            <w:vAlign w:val="center"/>
          </w:tcPr>
          <w:p w14:paraId="74F6A6E1" w14:textId="77777777" w:rsidR="00DB7155" w:rsidRPr="00543450" w:rsidRDefault="00DB7155"/>
        </w:tc>
        <w:tc>
          <w:tcPr>
            <w:tcW w:w="900" w:type="dxa"/>
            <w:tcBorders>
              <w:top w:val="single" w:sz="4" w:space="0" w:color="BFBFBF"/>
              <w:left w:val="single" w:sz="4" w:space="0" w:color="BFBFBF"/>
              <w:bottom w:val="single" w:sz="4" w:space="0" w:color="BFBFBF"/>
              <w:right w:val="single" w:sz="4" w:space="0" w:color="BFBFBF"/>
            </w:tcBorders>
            <w:shd w:val="clear" w:color="auto" w:fill="D9E2F3"/>
            <w:tcMar>
              <w:top w:w="80" w:type="dxa"/>
              <w:left w:w="120" w:type="dxa"/>
              <w:bottom w:w="80" w:type="dxa"/>
              <w:right w:w="120" w:type="dxa"/>
            </w:tcMar>
            <w:vAlign w:val="center"/>
          </w:tcPr>
          <w:p w14:paraId="356CF502" w14:textId="77777777" w:rsidR="00DB7155" w:rsidRPr="00543450" w:rsidRDefault="00DB7155"/>
        </w:tc>
      </w:tr>
      <w:tr w:rsidR="004E69CD" w:rsidRPr="00543450" w14:paraId="5279917C" w14:textId="77777777">
        <w:tc>
          <w:tcPr>
            <w:tcW w:w="20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0F7988AE" w14:textId="77777777" w:rsidR="00DB7155" w:rsidRPr="00543450" w:rsidRDefault="00000000">
            <w:r>
              <w:rPr>
                <w:sz w:val="18"/>
                <w:szCs w:val="18"/>
              </w:rPr>
              <w:t>Tasa crecimiento mercado total</w:t>
            </w:r>
          </w:p>
        </w:tc>
        <w:tc>
          <w:tcPr>
            <w:tcW w:w="7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447D3D5F" w14:textId="77777777" w:rsidR="00DB7155" w:rsidRPr="00543450" w:rsidRDefault="00000000">
            <w:pPr>
              <w:jc w:val="center"/>
            </w:pPr>
            <w:r>
              <w:rPr>
                <w:sz w:val="18"/>
                <w:szCs w:val="18"/>
              </w:rPr>
              <w:t>%</w:t>
            </w:r>
          </w:p>
        </w:tc>
        <w:tc>
          <w:tcPr>
            <w:tcW w:w="10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13A84E44" w14:textId="77777777" w:rsidR="00DB7155" w:rsidRPr="00543450" w:rsidRDefault="00DB7155">
            <w:pPr>
              <w:jc w:val="right"/>
            </w:pPr>
          </w:p>
        </w:tc>
        <w:tc>
          <w:tcPr>
            <w:tcW w:w="10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3ACF37A2" w14:textId="77777777" w:rsidR="00DB7155" w:rsidRPr="00543450" w:rsidRDefault="00000000">
            <w:pPr>
              <w:jc w:val="right"/>
            </w:pPr>
            <w:r>
              <w:rPr>
                <w:sz w:val="18"/>
                <w:szCs w:val="18"/>
              </w:rPr>
              <w:t>0.4%</w:t>
            </w:r>
          </w:p>
        </w:tc>
        <w:tc>
          <w:tcPr>
            <w:tcW w:w="10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3A960CC8" w14:textId="77777777" w:rsidR="00DB7155" w:rsidRPr="00543450" w:rsidRDefault="00000000">
            <w:pPr>
              <w:jc w:val="right"/>
            </w:pPr>
            <w:r>
              <w:rPr>
                <w:sz w:val="18"/>
                <w:szCs w:val="18"/>
              </w:rPr>
              <w:t>3.6%</w:t>
            </w:r>
          </w:p>
        </w:tc>
        <w:tc>
          <w:tcPr>
            <w:tcW w:w="10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297520B6" w14:textId="77777777" w:rsidR="00DB7155" w:rsidRPr="00543450" w:rsidRDefault="00000000">
            <w:pPr>
              <w:jc w:val="right"/>
            </w:pPr>
            <w:r>
              <w:rPr>
                <w:sz w:val="18"/>
                <w:szCs w:val="18"/>
              </w:rPr>
              <w:t>5.3%</w:t>
            </w:r>
          </w:p>
        </w:tc>
        <w:tc>
          <w:tcPr>
            <w:tcW w:w="88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0D74A79C" w14:textId="77777777" w:rsidR="00DB7155" w:rsidRPr="00543450" w:rsidRDefault="00000000">
            <w:pPr>
              <w:jc w:val="right"/>
            </w:pPr>
            <w:r>
              <w:rPr>
                <w:sz w:val="18"/>
                <w:szCs w:val="18"/>
              </w:rPr>
              <w:t>3%</w:t>
            </w:r>
          </w:p>
        </w:tc>
        <w:tc>
          <w:tcPr>
            <w:tcW w:w="88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4F4EB5B5" w14:textId="77777777" w:rsidR="00DB7155" w:rsidRPr="00543450" w:rsidRDefault="00000000">
            <w:pPr>
              <w:jc w:val="right"/>
            </w:pPr>
            <w:r>
              <w:rPr>
                <w:sz w:val="18"/>
                <w:szCs w:val="18"/>
              </w:rPr>
              <w:t>3%</w:t>
            </w:r>
          </w:p>
        </w:tc>
        <w:tc>
          <w:tcPr>
            <w:tcW w:w="9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199DB6C6" w14:textId="77777777" w:rsidR="00DB7155" w:rsidRPr="00543450" w:rsidRDefault="00000000">
            <w:pPr>
              <w:jc w:val="right"/>
            </w:pPr>
            <w:r>
              <w:rPr>
                <w:sz w:val="18"/>
                <w:szCs w:val="18"/>
              </w:rPr>
              <w:t>3%</w:t>
            </w:r>
          </w:p>
        </w:tc>
      </w:tr>
      <w:tr w:rsidR="004E69CD" w:rsidRPr="00543450" w14:paraId="5A02A023" w14:textId="77777777">
        <w:tc>
          <w:tcPr>
            <w:tcW w:w="20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1CCF2DCC" w14:textId="77777777" w:rsidR="00DB7155" w:rsidRPr="00543450" w:rsidRDefault="00000000">
            <w:r>
              <w:rPr>
                <w:sz w:val="18"/>
                <w:szCs w:val="18"/>
              </w:rPr>
              <w:t>T.C. % ventas volumen RPN</w:t>
            </w:r>
          </w:p>
        </w:tc>
        <w:tc>
          <w:tcPr>
            <w:tcW w:w="7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531CA63A" w14:textId="77777777" w:rsidR="00DB7155" w:rsidRPr="00543450" w:rsidRDefault="00000000">
            <w:pPr>
              <w:jc w:val="center"/>
            </w:pPr>
            <w:r>
              <w:rPr>
                <w:sz w:val="18"/>
                <w:szCs w:val="18"/>
              </w:rPr>
              <w:t>%</w:t>
            </w:r>
          </w:p>
        </w:tc>
        <w:tc>
          <w:tcPr>
            <w:tcW w:w="10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0D21E4FA" w14:textId="77777777" w:rsidR="00DB7155" w:rsidRPr="00543450" w:rsidRDefault="00DB7155">
            <w:pPr>
              <w:jc w:val="right"/>
            </w:pPr>
          </w:p>
        </w:tc>
        <w:tc>
          <w:tcPr>
            <w:tcW w:w="10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6859FF7E" w14:textId="77777777" w:rsidR="00DB7155" w:rsidRPr="00543450" w:rsidRDefault="00000000">
            <w:pPr>
              <w:jc w:val="right"/>
            </w:pPr>
            <w:r>
              <w:rPr>
                <w:sz w:val="18"/>
                <w:szCs w:val="18"/>
              </w:rPr>
              <w:t>0.1%</w:t>
            </w:r>
          </w:p>
        </w:tc>
        <w:tc>
          <w:tcPr>
            <w:tcW w:w="10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5FAB7936" w14:textId="77777777" w:rsidR="00DB7155" w:rsidRPr="00543450" w:rsidRDefault="00000000">
            <w:pPr>
              <w:jc w:val="right"/>
            </w:pPr>
            <w:r>
              <w:rPr>
                <w:sz w:val="18"/>
                <w:szCs w:val="18"/>
              </w:rPr>
              <w:t>5.9%</w:t>
            </w:r>
          </w:p>
        </w:tc>
        <w:tc>
          <w:tcPr>
            <w:tcW w:w="10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5055F0CC" w14:textId="77777777" w:rsidR="00DB7155" w:rsidRPr="00543450" w:rsidRDefault="00000000">
            <w:pPr>
              <w:jc w:val="right"/>
            </w:pPr>
            <w:r>
              <w:rPr>
                <w:sz w:val="18"/>
                <w:szCs w:val="18"/>
              </w:rPr>
              <w:t>1.1%</w:t>
            </w:r>
          </w:p>
        </w:tc>
        <w:tc>
          <w:tcPr>
            <w:tcW w:w="880" w:type="dxa"/>
            <w:tcBorders>
              <w:top w:val="single" w:sz="4" w:space="0" w:color="BFBFBF"/>
              <w:left w:val="single" w:sz="4" w:space="0" w:color="BFBFBF"/>
              <w:bottom w:val="single" w:sz="4" w:space="0" w:color="BFBFBF"/>
              <w:right w:val="single" w:sz="4" w:space="0" w:color="BFBFBF"/>
            </w:tcBorders>
            <w:shd w:val="clear" w:color="auto" w:fill="FFE0E0"/>
            <w:tcMar>
              <w:top w:w="80" w:type="dxa"/>
              <w:left w:w="120" w:type="dxa"/>
              <w:bottom w:w="80" w:type="dxa"/>
              <w:right w:w="120" w:type="dxa"/>
            </w:tcMar>
            <w:vAlign w:val="center"/>
          </w:tcPr>
          <w:p w14:paraId="0C039655" w14:textId="77777777" w:rsidR="00DB7155" w:rsidRPr="00543450" w:rsidRDefault="00000000">
            <w:pPr>
              <w:jc w:val="right"/>
            </w:pPr>
            <w:r>
              <w:rPr>
                <w:b/>
                <w:bCs/>
                <w:sz w:val="18"/>
                <w:szCs w:val="18"/>
              </w:rPr>
              <w:t>-17.3%</w:t>
            </w:r>
          </w:p>
        </w:tc>
        <w:tc>
          <w:tcPr>
            <w:tcW w:w="880" w:type="dxa"/>
            <w:tcBorders>
              <w:top w:val="single" w:sz="4" w:space="0" w:color="BFBFBF"/>
              <w:left w:val="single" w:sz="4" w:space="0" w:color="BFBFBF"/>
              <w:bottom w:val="single" w:sz="4" w:space="0" w:color="BFBFBF"/>
              <w:right w:val="single" w:sz="4" w:space="0" w:color="BFBFBF"/>
            </w:tcBorders>
            <w:shd w:val="clear" w:color="auto" w:fill="FFE0E0"/>
            <w:tcMar>
              <w:top w:w="80" w:type="dxa"/>
              <w:left w:w="120" w:type="dxa"/>
              <w:bottom w:w="80" w:type="dxa"/>
              <w:right w:w="120" w:type="dxa"/>
            </w:tcMar>
            <w:vAlign w:val="center"/>
          </w:tcPr>
          <w:p w14:paraId="00AAF4A7" w14:textId="77777777" w:rsidR="00DB7155" w:rsidRPr="00543450" w:rsidRDefault="00000000">
            <w:pPr>
              <w:jc w:val="right"/>
            </w:pPr>
            <w:r>
              <w:rPr>
                <w:b/>
                <w:bCs/>
                <w:sz w:val="18"/>
                <w:szCs w:val="18"/>
              </w:rPr>
              <w:t>-17.9%</w:t>
            </w:r>
          </w:p>
        </w:tc>
        <w:tc>
          <w:tcPr>
            <w:tcW w:w="900" w:type="dxa"/>
            <w:tcBorders>
              <w:top w:val="single" w:sz="4" w:space="0" w:color="BFBFBF"/>
              <w:left w:val="single" w:sz="4" w:space="0" w:color="BFBFBF"/>
              <w:bottom w:val="single" w:sz="4" w:space="0" w:color="BFBFBF"/>
              <w:right w:val="single" w:sz="4" w:space="0" w:color="BFBFBF"/>
            </w:tcBorders>
            <w:shd w:val="clear" w:color="auto" w:fill="FFE0E0"/>
            <w:tcMar>
              <w:top w:w="80" w:type="dxa"/>
              <w:left w:w="120" w:type="dxa"/>
              <w:bottom w:w="80" w:type="dxa"/>
              <w:right w:w="120" w:type="dxa"/>
            </w:tcMar>
            <w:vAlign w:val="center"/>
          </w:tcPr>
          <w:p w14:paraId="39785FDE" w14:textId="77777777" w:rsidR="00DB7155" w:rsidRPr="00543450" w:rsidRDefault="00000000">
            <w:pPr>
              <w:jc w:val="right"/>
            </w:pPr>
            <w:r>
              <w:rPr>
                <w:b/>
                <w:bCs/>
                <w:sz w:val="18"/>
                <w:szCs w:val="18"/>
              </w:rPr>
              <w:t>-17.3%</w:t>
            </w:r>
          </w:p>
        </w:tc>
      </w:tr>
      <w:tr w:rsidR="004E69CD" w:rsidRPr="00543450" w14:paraId="30FA20BC" w14:textId="77777777">
        <w:tc>
          <w:tcPr>
            <w:tcW w:w="20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31C657E0" w14:textId="77777777" w:rsidR="00DB7155" w:rsidRPr="00543450" w:rsidRDefault="00000000">
            <w:r>
              <w:rPr>
                <w:sz w:val="18"/>
                <w:szCs w:val="18"/>
              </w:rPr>
              <w:t>T.C. % importaciones totales</w:t>
            </w:r>
          </w:p>
        </w:tc>
        <w:tc>
          <w:tcPr>
            <w:tcW w:w="7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2125FB34" w14:textId="77777777" w:rsidR="00DB7155" w:rsidRPr="00543450" w:rsidRDefault="00000000">
            <w:pPr>
              <w:jc w:val="center"/>
            </w:pPr>
            <w:r>
              <w:rPr>
                <w:sz w:val="18"/>
                <w:szCs w:val="18"/>
              </w:rPr>
              <w:t>%</w:t>
            </w:r>
          </w:p>
        </w:tc>
        <w:tc>
          <w:tcPr>
            <w:tcW w:w="10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4922B0AA" w14:textId="77777777" w:rsidR="00DB7155" w:rsidRPr="00543450" w:rsidRDefault="00DB7155">
            <w:pPr>
              <w:jc w:val="right"/>
            </w:pPr>
          </w:p>
        </w:tc>
        <w:tc>
          <w:tcPr>
            <w:tcW w:w="10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52E03B21" w14:textId="77777777" w:rsidR="00DB7155" w:rsidRPr="00543450" w:rsidRDefault="00000000">
            <w:pPr>
              <w:jc w:val="right"/>
            </w:pPr>
            <w:r>
              <w:rPr>
                <w:sz w:val="18"/>
                <w:szCs w:val="18"/>
              </w:rPr>
              <w:t>1.7%</w:t>
            </w:r>
          </w:p>
        </w:tc>
        <w:tc>
          <w:tcPr>
            <w:tcW w:w="10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7F4944DD" w14:textId="77777777" w:rsidR="00DB7155" w:rsidRPr="00543450" w:rsidRDefault="00000000">
            <w:pPr>
              <w:jc w:val="right"/>
            </w:pPr>
            <w:r>
              <w:rPr>
                <w:sz w:val="18"/>
                <w:szCs w:val="18"/>
              </w:rPr>
              <w:t>-7.8%</w:t>
            </w:r>
          </w:p>
        </w:tc>
        <w:tc>
          <w:tcPr>
            <w:tcW w:w="10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38E3D75C" w14:textId="77777777" w:rsidR="00DB7155" w:rsidRPr="00543450" w:rsidRDefault="00000000">
            <w:pPr>
              <w:jc w:val="right"/>
            </w:pPr>
            <w:r>
              <w:rPr>
                <w:sz w:val="18"/>
                <w:szCs w:val="18"/>
              </w:rPr>
              <w:t>29.6%</w:t>
            </w:r>
          </w:p>
        </w:tc>
        <w:tc>
          <w:tcPr>
            <w:tcW w:w="88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17C9AEAE" w14:textId="77777777" w:rsidR="00DB7155" w:rsidRPr="00543450" w:rsidRDefault="00000000">
            <w:pPr>
              <w:jc w:val="right"/>
            </w:pPr>
            <w:r>
              <w:rPr>
                <w:sz w:val="18"/>
                <w:szCs w:val="18"/>
              </w:rPr>
              <w:t>95%</w:t>
            </w:r>
          </w:p>
        </w:tc>
        <w:tc>
          <w:tcPr>
            <w:tcW w:w="88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2F3EFCEA" w14:textId="77777777" w:rsidR="00DB7155" w:rsidRPr="00543450" w:rsidRDefault="00000000">
            <w:pPr>
              <w:jc w:val="right"/>
            </w:pPr>
            <w:r>
              <w:rPr>
                <w:sz w:val="18"/>
                <w:szCs w:val="18"/>
              </w:rPr>
              <w:t>43%</w:t>
            </w:r>
          </w:p>
        </w:tc>
        <w:tc>
          <w:tcPr>
            <w:tcW w:w="9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1E795D39" w14:textId="77777777" w:rsidR="00DB7155" w:rsidRPr="00543450" w:rsidRDefault="00000000">
            <w:pPr>
              <w:jc w:val="right"/>
            </w:pPr>
            <w:r>
              <w:rPr>
                <w:sz w:val="18"/>
                <w:szCs w:val="18"/>
              </w:rPr>
              <w:t>25%</w:t>
            </w:r>
          </w:p>
        </w:tc>
      </w:tr>
      <w:tr w:rsidR="004E69CD" w:rsidRPr="00543450" w14:paraId="62F04093" w14:textId="77777777">
        <w:tc>
          <w:tcPr>
            <w:tcW w:w="20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06C69BA6" w14:textId="77777777" w:rsidR="00DB7155" w:rsidRPr="00543450" w:rsidRDefault="00000000">
            <w:r>
              <w:rPr>
                <w:sz w:val="18"/>
                <w:szCs w:val="18"/>
              </w:rPr>
              <w:t>T.C. % importaciones China</w:t>
            </w:r>
          </w:p>
        </w:tc>
        <w:tc>
          <w:tcPr>
            <w:tcW w:w="7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0C4DF07F" w14:textId="77777777" w:rsidR="00DB7155" w:rsidRPr="00543450" w:rsidRDefault="00000000">
            <w:pPr>
              <w:jc w:val="center"/>
            </w:pPr>
            <w:r>
              <w:rPr>
                <w:sz w:val="18"/>
                <w:szCs w:val="18"/>
              </w:rPr>
              <w:t>%</w:t>
            </w:r>
          </w:p>
        </w:tc>
        <w:tc>
          <w:tcPr>
            <w:tcW w:w="10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250FECAA" w14:textId="77777777" w:rsidR="00DB7155" w:rsidRPr="00543450" w:rsidRDefault="00DB7155">
            <w:pPr>
              <w:jc w:val="right"/>
            </w:pPr>
          </w:p>
        </w:tc>
        <w:tc>
          <w:tcPr>
            <w:tcW w:w="10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6EF6F5E5" w14:textId="77777777" w:rsidR="00DB7155" w:rsidRPr="00543450" w:rsidRDefault="00000000">
            <w:pPr>
              <w:jc w:val="right"/>
            </w:pPr>
            <w:r>
              <w:rPr>
                <w:sz w:val="18"/>
                <w:szCs w:val="18"/>
              </w:rPr>
              <w:t>0%</w:t>
            </w:r>
          </w:p>
        </w:tc>
        <w:tc>
          <w:tcPr>
            <w:tcW w:w="10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13443E9E" w14:textId="77777777" w:rsidR="00DB7155" w:rsidRPr="00543450" w:rsidRDefault="00000000">
            <w:pPr>
              <w:jc w:val="right"/>
            </w:pPr>
            <w:r>
              <w:rPr>
                <w:sz w:val="18"/>
                <w:szCs w:val="18"/>
              </w:rPr>
              <w:t>0%</w:t>
            </w:r>
          </w:p>
        </w:tc>
        <w:tc>
          <w:tcPr>
            <w:tcW w:w="10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3C22E095" w14:textId="77777777" w:rsidR="00DB7155" w:rsidRPr="00543450" w:rsidRDefault="00000000">
            <w:pPr>
              <w:jc w:val="right"/>
            </w:pPr>
            <w:r>
              <w:rPr>
                <w:sz w:val="18"/>
                <w:szCs w:val="18"/>
              </w:rPr>
              <w:t>-100%</w:t>
            </w:r>
          </w:p>
        </w:tc>
        <w:tc>
          <w:tcPr>
            <w:tcW w:w="88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210E7BEA" w14:textId="45088030" w:rsidR="00DB7155" w:rsidRPr="00543450" w:rsidRDefault="00DB7155">
            <w:pPr>
              <w:jc w:val="right"/>
            </w:pPr>
          </w:p>
        </w:tc>
        <w:tc>
          <w:tcPr>
            <w:tcW w:w="88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43B473EF" w14:textId="77777777" w:rsidR="00DB7155" w:rsidRPr="00543450" w:rsidRDefault="00000000">
            <w:pPr>
              <w:jc w:val="right"/>
            </w:pPr>
            <w:r>
              <w:rPr>
                <w:sz w:val="18"/>
                <w:szCs w:val="18"/>
              </w:rPr>
              <w:t>75%</w:t>
            </w:r>
          </w:p>
        </w:tc>
        <w:tc>
          <w:tcPr>
            <w:tcW w:w="9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7CD06CF0" w14:textId="77777777" w:rsidR="00DB7155" w:rsidRPr="00543450" w:rsidRDefault="00000000">
            <w:pPr>
              <w:jc w:val="right"/>
            </w:pPr>
            <w:r>
              <w:rPr>
                <w:sz w:val="18"/>
                <w:szCs w:val="18"/>
              </w:rPr>
              <w:t>33%</w:t>
            </w:r>
          </w:p>
        </w:tc>
      </w:tr>
    </w:tbl>
    <w:p w14:paraId="35EA3E51" w14:textId="40DEE3B7" w:rsidR="00DB7155" w:rsidRPr="00543450" w:rsidRDefault="00000000">
      <w:pPr>
        <w:spacing w:before="60" w:after="160"/>
        <w:jc w:val="center"/>
      </w:pPr>
      <w:r>
        <w:rPr>
          <w:i/>
          <w:iCs/>
          <w:sz w:val="18"/>
          <w:szCs w:val="18"/>
        </w:rPr>
        <w:t>Fuente: Elaboración propia con base en datos de la RPN (Anexo 2) y modelo de absorción de mercado. Valores de volumen en toneladas métricas (TM) y participación en porcentaje.</w:t>
      </w:r>
    </w:p>
    <w:p w14:paraId="76656704" w14:textId="77777777" w:rsidR="00DB7155" w:rsidRPr="00543450" w:rsidRDefault="00DB7155">
      <w:pPr>
        <w:spacing w:before="80" w:after="80"/>
      </w:pPr>
    </w:p>
    <w:p w14:paraId="53DFA96F" w14:textId="77777777" w:rsidR="004E69CD" w:rsidRPr="00543450" w:rsidRDefault="004E69CD" w:rsidP="004E69CD">
      <w:pPr>
        <w:rPr>
          <w:b/>
          <w:bCs/>
          <w:u w:val="single"/>
        </w:rPr>
      </w:pPr>
    </w:p>
    <w:p w14:paraId="2ACD4B29" w14:textId="77777777" w:rsidR="004E69CD" w:rsidRPr="00543450" w:rsidRDefault="004E69CD" w:rsidP="004E69CD">
      <w:pPr>
        <w:rPr>
          <w:b/>
          <w:bCs/>
          <w:u w:val="single"/>
        </w:rPr>
      </w:pPr>
    </w:p>
    <w:p w14:paraId="2B2DEA22" w14:textId="36F2C312" w:rsidR="00DB7155" w:rsidRPr="00543450" w:rsidRDefault="00000000" w:rsidP="004E69CD">
      <w:pPr>
        <w:rPr>
          <w:b/>
          <w:bCs/>
          <w:u w:val="single"/>
        </w:rPr>
      </w:pPr>
      <w:r>
        <w:rPr>
          <w:b/>
          <w:bCs/>
          <w:u w:val="single"/>
        </w:rPr>
        <w:t>Impacto sobre la participación de mercado y el volumen de la RPN</w:t>
      </w:r>
      <w:r w:rsidR="00AE73BE">
        <w:rPr>
          <w:rStyle w:val="FootnoteReference"/>
          <w:b/>
          <w:bCs/>
          <w:u w:val="single"/>
        </w:rPr>
        <w:footnoteReference w:id="7"/>
      </w:r>
    </w:p>
    <w:p w14:paraId="1B7BE090" w14:textId="77777777" w:rsidR="00DB7155" w:rsidRPr="00543450" w:rsidRDefault="00000000">
      <w:pPr>
        <w:spacing w:before="100" w:after="100" w:line="276" w:lineRule="auto"/>
        <w:jc w:val="both"/>
      </w:pPr>
      <w:r>
        <w:t>Los resultados del Escenario B evidencian un deterioro acelerado de la posición competitiva de la RPN en el mercado nacional:</w:t>
      </w:r>
    </w:p>
    <w:p w14:paraId="7A62AF5A" w14:textId="77777777" w:rsidR="00DB7155" w:rsidRPr="00543450" w:rsidRDefault="00DB7155">
      <w:pPr>
        <w:spacing w:before="80" w:after="80"/>
      </w:pPr>
    </w:p>
    <w:p w14:paraId="36EE14FE" w14:textId="77777777" w:rsidR="00DB7155" w:rsidRPr="00543450" w:rsidRDefault="00000000">
      <w:pPr>
        <w:pStyle w:val="ListParagraph"/>
        <w:numPr>
          <w:ilvl w:val="0"/>
          <w:numId w:val="2"/>
        </w:numPr>
        <w:spacing w:before="80" w:after="80"/>
        <w:rPr>
          <w:lang w:val="es-DO"/>
        </w:rPr>
      </w:pPr>
      <w:r>
        <w:rPr>
          <w:lang w:val="es-DO"/>
        </w:rPr>
        <w:t xml:space="preserve">El volumen de ventas de la RPN al mercado nacional cae de 109.7 TM en 2025 a 90.7 TM en el Año 1 (-17.3%), 74.4 TM en el Año 2 (-17.9%) y 61.6 TM en el Año 3 (-17.3%). En el horizonte de tres años, la RPN perdería aproximadamente </w:t>
      </w:r>
      <w:r>
        <w:rPr>
          <w:b/>
          <w:bCs/>
          <w:lang w:val="es-DO"/>
        </w:rPr>
        <w:t>48.1</w:t>
      </w:r>
      <w:r>
        <w:rPr>
          <w:lang w:val="es-DO"/>
        </w:rPr>
        <w:t xml:space="preserve"> toneladas de ventas, equivalentes al </w:t>
      </w:r>
      <w:r>
        <w:rPr>
          <w:b/>
          <w:bCs/>
          <w:lang w:val="es-DO"/>
        </w:rPr>
        <w:t>44%</w:t>
      </w:r>
      <w:r>
        <w:rPr>
          <w:lang w:val="es-DO"/>
        </w:rPr>
        <w:t xml:space="preserve"> de su volumen de 2025.</w:t>
      </w:r>
    </w:p>
    <w:p w14:paraId="66A83381" w14:textId="77777777" w:rsidR="00DB7155" w:rsidRPr="00543450" w:rsidRDefault="00000000">
      <w:pPr>
        <w:pStyle w:val="ListParagraph"/>
        <w:numPr>
          <w:ilvl w:val="0"/>
          <w:numId w:val="2"/>
        </w:numPr>
        <w:spacing w:before="80" w:after="80"/>
        <w:rPr>
          <w:lang w:val="es-DO"/>
        </w:rPr>
      </w:pPr>
      <w:r>
        <w:rPr>
          <w:lang w:val="es-DO"/>
        </w:rPr>
        <w:t xml:space="preserve">La participación de mercado de la RPN se reduce de </w:t>
      </w:r>
      <w:r>
        <w:rPr>
          <w:b/>
          <w:bCs/>
          <w:lang w:val="es-DO"/>
        </w:rPr>
        <w:t>81.9%</w:t>
      </w:r>
      <w:r>
        <w:rPr>
          <w:lang w:val="es-DO"/>
        </w:rPr>
        <w:t xml:space="preserve"> en 2025 a </w:t>
      </w:r>
      <w:r>
        <w:rPr>
          <w:b/>
          <w:bCs/>
          <w:lang w:val="es-DO"/>
        </w:rPr>
        <w:t>66%</w:t>
      </w:r>
      <w:r>
        <w:rPr>
          <w:lang w:val="es-DO"/>
        </w:rPr>
        <w:t xml:space="preserve"> en el Año 1, </w:t>
      </w:r>
      <w:r>
        <w:rPr>
          <w:b/>
          <w:bCs/>
          <w:lang w:val="es-DO"/>
        </w:rPr>
        <w:t>52%</w:t>
      </w:r>
      <w:r>
        <w:rPr>
          <w:lang w:val="es-DO"/>
        </w:rPr>
        <w:t xml:space="preserve"> en el Año 2 y </w:t>
      </w:r>
      <w:r>
        <w:rPr>
          <w:b/>
          <w:bCs/>
          <w:lang w:val="es-DO"/>
        </w:rPr>
        <w:t>42%</w:t>
      </w:r>
      <w:r>
        <w:rPr>
          <w:lang w:val="es-DO"/>
        </w:rPr>
        <w:t xml:space="preserve"> en el Año 3. En contraste, la participación de China aumenta de </w:t>
      </w:r>
      <w:r>
        <w:rPr>
          <w:b/>
          <w:bCs/>
          <w:lang w:val="es-DO"/>
        </w:rPr>
        <w:t>0% a 26%, 43% y 56%</w:t>
      </w:r>
      <w:r>
        <w:rPr>
          <w:lang w:val="es-DO"/>
        </w:rPr>
        <w:t xml:space="preserve"> respectivamente, superando a la RPN como primer proveedor del mercado antes del cierre del tercer año proyectado.</w:t>
      </w:r>
    </w:p>
    <w:p w14:paraId="5DCCD6E5" w14:textId="23B3F8DF" w:rsidR="00DB7155" w:rsidRPr="00543450" w:rsidRDefault="00000000">
      <w:pPr>
        <w:pStyle w:val="ListParagraph"/>
        <w:numPr>
          <w:ilvl w:val="0"/>
          <w:numId w:val="2"/>
        </w:numPr>
        <w:spacing w:before="80" w:after="80"/>
        <w:rPr>
          <w:lang w:val="es-DO"/>
        </w:rPr>
      </w:pPr>
      <w:r>
        <w:rPr>
          <w:lang w:val="es-DO"/>
        </w:rPr>
        <w:t xml:space="preserve">LaLas importaciones originarias de China pasan de una presencia nula a 172,323 TM, 302,086 TM y 400,765 TM en los tres años proyectados. </w:t>
      </w:r>
    </w:p>
    <w:p w14:paraId="165CF2C6" w14:textId="77777777" w:rsidR="00DB7155" w:rsidRPr="00543450" w:rsidRDefault="00DB7155">
      <w:pPr>
        <w:spacing w:before="80" w:after="80"/>
      </w:pPr>
    </w:p>
    <w:p w14:paraId="06DA58C5" w14:textId="5E5BA021" w:rsidR="00DB7155" w:rsidRPr="00543450" w:rsidRDefault="00000000">
      <w:pPr>
        <w:spacing w:before="100" w:after="100" w:line="276" w:lineRule="auto"/>
        <w:jc w:val="both"/>
      </w:pPr>
      <w:r>
        <w:t xml:space="preserve">La dinámica descrita es consistente con las condiciones estructurales del mercado: dado que las varillas de acero son un bien homogéneo donde la competencia se define principalmente por precio, una ventaja de costo sostenida por parte del proveedor importador se traduce, de manera sistemática, en una transferencia progresiva de participación de mercado desde el productor </w:t>
      </w:r>
      <w:r>
        <w:lastRenderedPageBreak/>
        <w:t>domestico hacia las importaciones. El ritmo de esta transferencia está determinado por las elasticidades de sustitución y por las fricciones de mercado (contratos vigentes, plazos logísticos, preferencias de proveedor), que es lo que el modelo de ajuste parcial captura.</w:t>
      </w:r>
    </w:p>
    <w:p w14:paraId="7A64C31D" w14:textId="77777777" w:rsidR="00DB7155" w:rsidRPr="00543450" w:rsidRDefault="00000000">
      <w:pPr>
        <w:pStyle w:val="Heading1"/>
        <w:rPr>
          <w:color w:val="auto"/>
          <w:lang w:val="es-DO"/>
        </w:rPr>
      </w:pPr>
      <w:r>
        <w:rPr>
          <w:color w:val="auto"/>
          <w:lang w:val="es-DO"/>
        </w:rPr>
        <w:t>IV. Análisis Comparativo de Escenarios</w:t>
      </w:r>
    </w:p>
    <w:p w14:paraId="069E2434" w14:textId="77777777" w:rsidR="00DB7155" w:rsidRPr="00543450" w:rsidRDefault="00000000">
      <w:pPr>
        <w:spacing w:before="100" w:after="100" w:line="276" w:lineRule="auto"/>
        <w:jc w:val="both"/>
      </w:pPr>
      <w:r>
        <w:t>La siguiente tabla sintetiza los indicadores clave de los tres escenarios al final del horizonte proyectado (Año 3), permitiendo evaluar de manera conjunta la magnitud del deterioro bajo cada hipótesis de supresión de la medida:</w:t>
      </w:r>
    </w:p>
    <w:p w14:paraId="7BDF96DC" w14:textId="77777777" w:rsidR="00DB7155" w:rsidRPr="00543450" w:rsidRDefault="00DB7155">
      <w:pPr>
        <w:spacing w:before="80" w:after="80"/>
      </w:pPr>
    </w:p>
    <w:p w14:paraId="4BAB6A0F" w14:textId="1790CAB9" w:rsidR="00DB7155" w:rsidRPr="00543450" w:rsidRDefault="00000000">
      <w:pPr>
        <w:spacing w:before="160" w:after="60"/>
        <w:jc w:val="center"/>
      </w:pPr>
      <w:r>
        <w:rPr>
          <w:b/>
          <w:bCs/>
          <w:sz w:val="20"/>
          <w:szCs w:val="20"/>
        </w:rPr>
        <w:t>Tabla 3. Cuadro comparativo de indicadores clave al Año 3 proyectado</w:t>
      </w:r>
      <w:r w:rsidR="00AE73BE">
        <w:rPr>
          <w:rStyle w:val="FootnoteReference"/>
          <w:b/>
          <w:bCs/>
          <w:sz w:val="20"/>
          <w:szCs w:val="20"/>
        </w:rPr>
        <w:footnoteReference w:id="8"/>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200"/>
        <w:gridCol w:w="2080"/>
        <w:gridCol w:w="2080"/>
        <w:gridCol w:w="2000"/>
      </w:tblGrid>
      <w:tr w:rsidR="004E69CD" w:rsidRPr="00543450" w14:paraId="44896B6E" w14:textId="77777777">
        <w:trPr>
          <w:tblHeader/>
        </w:trPr>
        <w:tc>
          <w:tcPr>
            <w:tcW w:w="3200" w:type="dxa"/>
            <w:tcBorders>
              <w:top w:val="single" w:sz="4" w:space="0" w:color="BFBFBF"/>
              <w:left w:val="single" w:sz="4" w:space="0" w:color="BFBFBF"/>
              <w:bottom w:val="single" w:sz="4" w:space="0" w:color="BFBFBF"/>
              <w:right w:val="single" w:sz="4" w:space="0" w:color="BFBFBF"/>
            </w:tcBorders>
            <w:shd w:val="clear" w:color="auto" w:fill="1F3864"/>
            <w:tcMar>
              <w:top w:w="80" w:type="dxa"/>
              <w:left w:w="120" w:type="dxa"/>
              <w:bottom w:w="80" w:type="dxa"/>
              <w:right w:w="120" w:type="dxa"/>
            </w:tcMar>
            <w:vAlign w:val="center"/>
          </w:tcPr>
          <w:p w14:paraId="0A10B046" w14:textId="77777777" w:rsidR="00DB7155" w:rsidRPr="00543450" w:rsidRDefault="00000000">
            <w:r>
              <w:rPr>
                <w:b/>
                <w:bCs/>
                <w:sz w:val="20"/>
                <w:szCs w:val="20"/>
              </w:rPr>
              <w:t>Indicador clave (Año 3 proyectado)</w:t>
            </w:r>
          </w:p>
        </w:tc>
        <w:tc>
          <w:tcPr>
            <w:tcW w:w="2080" w:type="dxa"/>
            <w:tcBorders>
              <w:top w:val="single" w:sz="4" w:space="0" w:color="BFBFBF"/>
              <w:left w:val="single" w:sz="4" w:space="0" w:color="BFBFBF"/>
              <w:bottom w:val="single" w:sz="4" w:space="0" w:color="BFBFBF"/>
              <w:right w:val="single" w:sz="4" w:space="0" w:color="BFBFBF"/>
            </w:tcBorders>
            <w:shd w:val="clear" w:color="auto" w:fill="1F3864"/>
            <w:tcMar>
              <w:top w:w="80" w:type="dxa"/>
              <w:left w:w="120" w:type="dxa"/>
              <w:bottom w:w="80" w:type="dxa"/>
              <w:right w:w="120" w:type="dxa"/>
            </w:tcMar>
            <w:vAlign w:val="center"/>
          </w:tcPr>
          <w:p w14:paraId="3D471358" w14:textId="77777777" w:rsidR="00DB7155" w:rsidRPr="00543450" w:rsidRDefault="00000000">
            <w:pPr>
              <w:jc w:val="center"/>
            </w:pPr>
            <w:r>
              <w:rPr>
                <w:b/>
                <w:bCs/>
                <w:sz w:val="20"/>
                <w:szCs w:val="20"/>
              </w:rPr>
              <w:t>Escenario Base</w:t>
            </w:r>
          </w:p>
        </w:tc>
        <w:tc>
          <w:tcPr>
            <w:tcW w:w="2080" w:type="dxa"/>
            <w:tcBorders>
              <w:top w:val="single" w:sz="4" w:space="0" w:color="BFBFBF"/>
              <w:left w:val="single" w:sz="4" w:space="0" w:color="BFBFBF"/>
              <w:bottom w:val="single" w:sz="4" w:space="0" w:color="BFBFBF"/>
              <w:right w:val="single" w:sz="4" w:space="0" w:color="BFBFBF"/>
            </w:tcBorders>
            <w:shd w:val="clear" w:color="auto" w:fill="1F3864"/>
            <w:tcMar>
              <w:top w:w="80" w:type="dxa"/>
              <w:left w:w="120" w:type="dxa"/>
              <w:bottom w:w="80" w:type="dxa"/>
              <w:right w:w="120" w:type="dxa"/>
            </w:tcMar>
            <w:vAlign w:val="center"/>
          </w:tcPr>
          <w:p w14:paraId="6ABDED5C" w14:textId="77777777" w:rsidR="00DB7155" w:rsidRPr="00543450" w:rsidRDefault="00000000">
            <w:pPr>
              <w:jc w:val="center"/>
            </w:pPr>
            <w:r>
              <w:rPr>
                <w:b/>
                <w:bCs/>
                <w:sz w:val="20"/>
                <w:szCs w:val="20"/>
              </w:rPr>
              <w:t>Escenario A</w:t>
            </w:r>
          </w:p>
        </w:tc>
        <w:tc>
          <w:tcPr>
            <w:tcW w:w="2000" w:type="dxa"/>
            <w:tcBorders>
              <w:top w:val="single" w:sz="4" w:space="0" w:color="BFBFBF"/>
              <w:left w:val="single" w:sz="4" w:space="0" w:color="BFBFBF"/>
              <w:bottom w:val="single" w:sz="4" w:space="0" w:color="BFBFBF"/>
              <w:right w:val="single" w:sz="4" w:space="0" w:color="BFBFBF"/>
            </w:tcBorders>
            <w:shd w:val="clear" w:color="auto" w:fill="1F3864"/>
            <w:tcMar>
              <w:top w:w="80" w:type="dxa"/>
              <w:left w:w="120" w:type="dxa"/>
              <w:bottom w:w="80" w:type="dxa"/>
              <w:right w:w="120" w:type="dxa"/>
            </w:tcMar>
            <w:vAlign w:val="center"/>
          </w:tcPr>
          <w:p w14:paraId="1347CCD3" w14:textId="77777777" w:rsidR="00DB7155" w:rsidRPr="00543450" w:rsidRDefault="00000000">
            <w:pPr>
              <w:jc w:val="center"/>
            </w:pPr>
            <w:r>
              <w:rPr>
                <w:b/>
                <w:bCs/>
                <w:sz w:val="20"/>
                <w:szCs w:val="20"/>
              </w:rPr>
              <w:t>Escenario B</w:t>
            </w:r>
          </w:p>
        </w:tc>
      </w:tr>
      <w:tr w:rsidR="004E69CD" w:rsidRPr="00543450" w14:paraId="4A83BCEC" w14:textId="77777777">
        <w:tc>
          <w:tcPr>
            <w:tcW w:w="32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66EB3E50" w14:textId="77777777" w:rsidR="00DB7155" w:rsidRPr="00543450" w:rsidRDefault="00000000">
            <w:r>
              <w:rPr>
                <w:sz w:val="18"/>
                <w:szCs w:val="18"/>
              </w:rPr>
              <w:t>Volumen de ventas RPN (TM)</w:t>
            </w:r>
          </w:p>
        </w:tc>
        <w:tc>
          <w:tcPr>
            <w:tcW w:w="208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69C27DB8" w14:textId="77777777" w:rsidR="00DB7155" w:rsidRPr="00543450" w:rsidRDefault="00000000">
            <w:pPr>
              <w:jc w:val="center"/>
            </w:pPr>
            <w:r>
              <w:rPr>
                <w:sz w:val="18"/>
                <w:szCs w:val="18"/>
              </w:rPr>
              <w:t>119.9</w:t>
            </w:r>
          </w:p>
        </w:tc>
        <w:tc>
          <w:tcPr>
            <w:tcW w:w="208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655DE2F1" w14:textId="77777777" w:rsidR="00DB7155" w:rsidRPr="00543450" w:rsidRDefault="00000000">
            <w:pPr>
              <w:jc w:val="center"/>
            </w:pPr>
            <w:r>
              <w:rPr>
                <w:sz w:val="18"/>
                <w:szCs w:val="18"/>
              </w:rPr>
              <w:t>119.9</w:t>
            </w:r>
          </w:p>
        </w:tc>
        <w:tc>
          <w:tcPr>
            <w:tcW w:w="2000" w:type="dxa"/>
            <w:tcBorders>
              <w:top w:val="single" w:sz="4" w:space="0" w:color="BFBFBF"/>
              <w:left w:val="single" w:sz="4" w:space="0" w:color="BFBFBF"/>
              <w:bottom w:val="single" w:sz="4" w:space="0" w:color="BFBFBF"/>
              <w:right w:val="single" w:sz="4" w:space="0" w:color="BFBFBF"/>
            </w:tcBorders>
            <w:shd w:val="clear" w:color="auto" w:fill="FFE0E0"/>
            <w:tcMar>
              <w:top w:w="80" w:type="dxa"/>
              <w:left w:w="120" w:type="dxa"/>
              <w:bottom w:w="80" w:type="dxa"/>
              <w:right w:w="120" w:type="dxa"/>
            </w:tcMar>
            <w:vAlign w:val="center"/>
          </w:tcPr>
          <w:p w14:paraId="5DD8355B" w14:textId="77777777" w:rsidR="00DB7155" w:rsidRPr="00543450" w:rsidRDefault="00000000">
            <w:pPr>
              <w:jc w:val="center"/>
            </w:pPr>
            <w:r>
              <w:rPr>
                <w:sz w:val="18"/>
                <w:szCs w:val="18"/>
              </w:rPr>
              <w:t>61.6</w:t>
            </w:r>
          </w:p>
        </w:tc>
      </w:tr>
      <w:tr w:rsidR="004E69CD" w:rsidRPr="00543450" w14:paraId="63EA4526" w14:textId="77777777">
        <w:tc>
          <w:tcPr>
            <w:tcW w:w="3200" w:type="dxa"/>
            <w:tcBorders>
              <w:top w:val="single" w:sz="4" w:space="0" w:color="BFBFBF"/>
              <w:left w:val="single" w:sz="4" w:space="0" w:color="BFBFBF"/>
              <w:bottom w:val="single" w:sz="4" w:space="0" w:color="BFBFBF"/>
              <w:right w:val="single" w:sz="4" w:space="0" w:color="BFBFBF"/>
            </w:tcBorders>
            <w:shd w:val="clear" w:color="auto" w:fill="D9E2F3"/>
            <w:tcMar>
              <w:top w:w="80" w:type="dxa"/>
              <w:left w:w="120" w:type="dxa"/>
              <w:bottom w:w="80" w:type="dxa"/>
              <w:right w:w="120" w:type="dxa"/>
            </w:tcMar>
            <w:vAlign w:val="center"/>
          </w:tcPr>
          <w:p w14:paraId="3AF393E9" w14:textId="7D1E3A7E" w:rsidR="00DB7155" w:rsidRPr="00543450" w:rsidRDefault="004E69CD">
            <w:r>
              <w:rPr>
                <w:sz w:val="18"/>
                <w:szCs w:val="18"/>
              </w:rPr>
              <w:t>Reducción de Precios (%)</w:t>
            </w:r>
          </w:p>
        </w:tc>
        <w:tc>
          <w:tcPr>
            <w:tcW w:w="2080" w:type="dxa"/>
            <w:tcBorders>
              <w:top w:val="single" w:sz="4" w:space="0" w:color="BFBFBF"/>
              <w:left w:val="single" w:sz="4" w:space="0" w:color="BFBFBF"/>
              <w:bottom w:val="single" w:sz="4" w:space="0" w:color="BFBFBF"/>
              <w:right w:val="single" w:sz="4" w:space="0" w:color="BFBFBF"/>
            </w:tcBorders>
            <w:shd w:val="clear" w:color="auto" w:fill="D9E2F3"/>
            <w:tcMar>
              <w:top w:w="80" w:type="dxa"/>
              <w:left w:w="120" w:type="dxa"/>
              <w:bottom w:w="80" w:type="dxa"/>
              <w:right w:w="120" w:type="dxa"/>
            </w:tcMar>
            <w:vAlign w:val="center"/>
          </w:tcPr>
          <w:p w14:paraId="2D7E13E2" w14:textId="221F4847" w:rsidR="00DB7155" w:rsidRPr="00543450" w:rsidRDefault="004E69CD">
            <w:pPr>
              <w:jc w:val="center"/>
            </w:pPr>
            <w:r>
              <w:rPr>
                <w:sz w:val="18"/>
                <w:szCs w:val="18"/>
              </w:rPr>
              <w:t>0%</w:t>
            </w:r>
          </w:p>
        </w:tc>
        <w:tc>
          <w:tcPr>
            <w:tcW w:w="2080" w:type="dxa"/>
            <w:tcBorders>
              <w:top w:val="single" w:sz="4" w:space="0" w:color="BFBFBF"/>
              <w:left w:val="single" w:sz="4" w:space="0" w:color="BFBFBF"/>
              <w:bottom w:val="single" w:sz="4" w:space="0" w:color="BFBFBF"/>
              <w:right w:val="single" w:sz="4" w:space="0" w:color="BFBFBF"/>
            </w:tcBorders>
            <w:shd w:val="clear" w:color="auto" w:fill="FFE0E0"/>
            <w:tcMar>
              <w:top w:w="80" w:type="dxa"/>
              <w:left w:w="120" w:type="dxa"/>
              <w:bottom w:w="80" w:type="dxa"/>
              <w:right w:w="120" w:type="dxa"/>
            </w:tcMar>
            <w:vAlign w:val="center"/>
          </w:tcPr>
          <w:p w14:paraId="58CD8E75" w14:textId="5B846BC0" w:rsidR="00DB7155" w:rsidRPr="00543450" w:rsidRDefault="004E69CD">
            <w:pPr>
              <w:jc w:val="center"/>
            </w:pPr>
            <w:r>
              <w:rPr>
                <w:sz w:val="18"/>
                <w:szCs w:val="18"/>
              </w:rPr>
              <w:t>-20%</w:t>
            </w:r>
          </w:p>
        </w:tc>
        <w:tc>
          <w:tcPr>
            <w:tcW w:w="2000" w:type="dxa"/>
            <w:tcBorders>
              <w:top w:val="single" w:sz="4" w:space="0" w:color="BFBFBF"/>
              <w:left w:val="single" w:sz="4" w:space="0" w:color="BFBFBF"/>
              <w:bottom w:val="single" w:sz="4" w:space="0" w:color="BFBFBF"/>
              <w:right w:val="single" w:sz="4" w:space="0" w:color="BFBFBF"/>
            </w:tcBorders>
            <w:shd w:val="clear" w:color="auto" w:fill="D9E2F3"/>
            <w:tcMar>
              <w:top w:w="80" w:type="dxa"/>
              <w:left w:w="120" w:type="dxa"/>
              <w:bottom w:w="80" w:type="dxa"/>
              <w:right w:w="120" w:type="dxa"/>
            </w:tcMar>
            <w:vAlign w:val="center"/>
          </w:tcPr>
          <w:p w14:paraId="60DEF1AC" w14:textId="2737E1DF" w:rsidR="00DB7155" w:rsidRPr="00543450" w:rsidRDefault="004E69CD">
            <w:pPr>
              <w:jc w:val="center"/>
            </w:pPr>
            <w:r>
              <w:rPr>
                <w:sz w:val="18"/>
                <w:szCs w:val="18"/>
              </w:rPr>
              <w:t>0%</w:t>
            </w:r>
          </w:p>
        </w:tc>
      </w:tr>
      <w:tr w:rsidR="004E69CD" w:rsidRPr="00543450" w14:paraId="26E1FB18" w14:textId="77777777">
        <w:tc>
          <w:tcPr>
            <w:tcW w:w="32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2D6BB1B3" w14:textId="77777777" w:rsidR="00DB7155" w:rsidRPr="00543450" w:rsidRDefault="00000000">
            <w:r>
              <w:rPr>
                <w:sz w:val="18"/>
                <w:szCs w:val="18"/>
              </w:rPr>
              <w:t>Utilidad bruta (RD$M)</w:t>
            </w:r>
          </w:p>
        </w:tc>
        <w:tc>
          <w:tcPr>
            <w:tcW w:w="208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178CF347" w14:textId="77777777" w:rsidR="00DB7155" w:rsidRPr="00543450" w:rsidRDefault="00000000">
            <w:pPr>
              <w:jc w:val="center"/>
            </w:pPr>
            <w:r>
              <w:rPr>
                <w:sz w:val="18"/>
                <w:szCs w:val="18"/>
              </w:rPr>
              <w:t>123.0</w:t>
            </w:r>
          </w:p>
        </w:tc>
        <w:tc>
          <w:tcPr>
            <w:tcW w:w="2080" w:type="dxa"/>
            <w:tcBorders>
              <w:top w:val="single" w:sz="4" w:space="0" w:color="BFBFBF"/>
              <w:left w:val="single" w:sz="4" w:space="0" w:color="BFBFBF"/>
              <w:bottom w:val="single" w:sz="4" w:space="0" w:color="BFBFBF"/>
              <w:right w:val="single" w:sz="4" w:space="0" w:color="BFBFBF"/>
            </w:tcBorders>
            <w:shd w:val="clear" w:color="auto" w:fill="FFE0E0"/>
            <w:tcMar>
              <w:top w:w="80" w:type="dxa"/>
              <w:left w:w="120" w:type="dxa"/>
              <w:bottom w:w="80" w:type="dxa"/>
              <w:right w:w="120" w:type="dxa"/>
            </w:tcMar>
            <w:vAlign w:val="center"/>
          </w:tcPr>
          <w:p w14:paraId="155D96B4" w14:textId="77777777" w:rsidR="00DB7155" w:rsidRPr="00543450" w:rsidRDefault="00000000">
            <w:pPr>
              <w:jc w:val="center"/>
            </w:pPr>
            <w:r>
              <w:rPr>
                <w:sz w:val="18"/>
                <w:szCs w:val="18"/>
              </w:rPr>
              <w:t>(16.5)</w:t>
            </w:r>
          </w:p>
        </w:tc>
        <w:tc>
          <w:tcPr>
            <w:tcW w:w="20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426B3BCD" w14:textId="3287D6A7" w:rsidR="00DB7155" w:rsidRPr="00543450" w:rsidRDefault="00DB7155">
            <w:pPr>
              <w:jc w:val="center"/>
            </w:pPr>
          </w:p>
        </w:tc>
      </w:tr>
      <w:tr w:rsidR="004E69CD" w:rsidRPr="00543450" w14:paraId="10C651EA" w14:textId="77777777">
        <w:tc>
          <w:tcPr>
            <w:tcW w:w="3200" w:type="dxa"/>
            <w:tcBorders>
              <w:top w:val="single" w:sz="4" w:space="0" w:color="BFBFBF"/>
              <w:left w:val="single" w:sz="4" w:space="0" w:color="BFBFBF"/>
              <w:bottom w:val="single" w:sz="4" w:space="0" w:color="BFBFBF"/>
              <w:right w:val="single" w:sz="4" w:space="0" w:color="BFBFBF"/>
            </w:tcBorders>
            <w:shd w:val="clear" w:color="auto" w:fill="D9E2F3"/>
            <w:tcMar>
              <w:top w:w="80" w:type="dxa"/>
              <w:left w:w="120" w:type="dxa"/>
              <w:bottom w:w="80" w:type="dxa"/>
              <w:right w:w="120" w:type="dxa"/>
            </w:tcMar>
            <w:vAlign w:val="center"/>
          </w:tcPr>
          <w:p w14:paraId="466A9678" w14:textId="77777777" w:rsidR="00DB7155" w:rsidRPr="00543450" w:rsidRDefault="00000000">
            <w:r>
              <w:rPr>
                <w:sz w:val="18"/>
                <w:szCs w:val="18"/>
              </w:rPr>
              <w:t>EBIT (RD$M)</w:t>
            </w:r>
          </w:p>
        </w:tc>
        <w:tc>
          <w:tcPr>
            <w:tcW w:w="2080" w:type="dxa"/>
            <w:tcBorders>
              <w:top w:val="single" w:sz="4" w:space="0" w:color="BFBFBF"/>
              <w:left w:val="single" w:sz="4" w:space="0" w:color="BFBFBF"/>
              <w:bottom w:val="single" w:sz="4" w:space="0" w:color="BFBFBF"/>
              <w:right w:val="single" w:sz="4" w:space="0" w:color="BFBFBF"/>
            </w:tcBorders>
            <w:shd w:val="clear" w:color="auto" w:fill="D9E2F3"/>
            <w:tcMar>
              <w:top w:w="80" w:type="dxa"/>
              <w:left w:w="120" w:type="dxa"/>
              <w:bottom w:w="80" w:type="dxa"/>
              <w:right w:w="120" w:type="dxa"/>
            </w:tcMar>
            <w:vAlign w:val="center"/>
          </w:tcPr>
          <w:p w14:paraId="021B4FC4" w14:textId="77777777" w:rsidR="00DB7155" w:rsidRPr="00543450" w:rsidRDefault="00000000">
            <w:pPr>
              <w:jc w:val="center"/>
            </w:pPr>
            <w:r>
              <w:rPr>
                <w:sz w:val="18"/>
                <w:szCs w:val="18"/>
              </w:rPr>
              <w:t>123.0</w:t>
            </w:r>
          </w:p>
        </w:tc>
        <w:tc>
          <w:tcPr>
            <w:tcW w:w="2080" w:type="dxa"/>
            <w:tcBorders>
              <w:top w:val="single" w:sz="4" w:space="0" w:color="BFBFBF"/>
              <w:left w:val="single" w:sz="4" w:space="0" w:color="BFBFBF"/>
              <w:bottom w:val="single" w:sz="4" w:space="0" w:color="BFBFBF"/>
              <w:right w:val="single" w:sz="4" w:space="0" w:color="BFBFBF"/>
            </w:tcBorders>
            <w:shd w:val="clear" w:color="auto" w:fill="FFE0E0"/>
            <w:tcMar>
              <w:top w:w="80" w:type="dxa"/>
              <w:left w:w="120" w:type="dxa"/>
              <w:bottom w:w="80" w:type="dxa"/>
              <w:right w:w="120" w:type="dxa"/>
            </w:tcMar>
            <w:vAlign w:val="center"/>
          </w:tcPr>
          <w:p w14:paraId="6CCFC155" w14:textId="77777777" w:rsidR="00DB7155" w:rsidRPr="00543450" w:rsidRDefault="00000000">
            <w:pPr>
              <w:jc w:val="center"/>
            </w:pPr>
            <w:r>
              <w:rPr>
                <w:sz w:val="18"/>
                <w:szCs w:val="18"/>
              </w:rPr>
              <w:t>(41.4)</w:t>
            </w:r>
          </w:p>
        </w:tc>
        <w:tc>
          <w:tcPr>
            <w:tcW w:w="2000" w:type="dxa"/>
            <w:tcBorders>
              <w:top w:val="single" w:sz="4" w:space="0" w:color="BFBFBF"/>
              <w:left w:val="single" w:sz="4" w:space="0" w:color="BFBFBF"/>
              <w:bottom w:val="single" w:sz="4" w:space="0" w:color="BFBFBF"/>
              <w:right w:val="single" w:sz="4" w:space="0" w:color="BFBFBF"/>
            </w:tcBorders>
            <w:shd w:val="clear" w:color="auto" w:fill="D9E2F3"/>
            <w:tcMar>
              <w:top w:w="80" w:type="dxa"/>
              <w:left w:w="120" w:type="dxa"/>
              <w:bottom w:w="80" w:type="dxa"/>
              <w:right w:w="120" w:type="dxa"/>
            </w:tcMar>
            <w:vAlign w:val="center"/>
          </w:tcPr>
          <w:p w14:paraId="7938BD62" w14:textId="2042803D" w:rsidR="00DB7155" w:rsidRPr="00543450" w:rsidRDefault="00DB7155">
            <w:pPr>
              <w:jc w:val="center"/>
            </w:pPr>
          </w:p>
        </w:tc>
      </w:tr>
      <w:tr w:rsidR="004E69CD" w:rsidRPr="00543450" w14:paraId="3A183FB1" w14:textId="77777777">
        <w:tc>
          <w:tcPr>
            <w:tcW w:w="32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2341347C" w14:textId="77777777" w:rsidR="00DB7155" w:rsidRPr="00543450" w:rsidRDefault="00000000">
            <w:r>
              <w:rPr>
                <w:sz w:val="18"/>
                <w:szCs w:val="18"/>
              </w:rPr>
              <w:t>Participación de mercado RPN</w:t>
            </w:r>
          </w:p>
        </w:tc>
        <w:tc>
          <w:tcPr>
            <w:tcW w:w="208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17872E8C" w14:textId="77777777" w:rsidR="00DB7155" w:rsidRPr="00543450" w:rsidRDefault="00000000">
            <w:pPr>
              <w:jc w:val="center"/>
            </w:pPr>
            <w:r>
              <w:rPr>
                <w:sz w:val="18"/>
                <w:szCs w:val="18"/>
              </w:rPr>
              <w:t>81.9% (2025)</w:t>
            </w:r>
          </w:p>
        </w:tc>
        <w:tc>
          <w:tcPr>
            <w:tcW w:w="2080" w:type="dxa"/>
            <w:tcBorders>
              <w:top w:val="single" w:sz="4" w:space="0" w:color="BFBFBF"/>
              <w:left w:val="single" w:sz="4" w:space="0" w:color="BFBFBF"/>
              <w:bottom w:val="single" w:sz="4" w:space="0" w:color="BFBFBF"/>
              <w:right w:val="single" w:sz="4" w:space="0" w:color="BFBFBF"/>
            </w:tcBorders>
            <w:shd w:val="clear" w:color="auto" w:fill="FFE0E0"/>
            <w:tcMar>
              <w:top w:w="80" w:type="dxa"/>
              <w:left w:w="120" w:type="dxa"/>
              <w:bottom w:w="80" w:type="dxa"/>
              <w:right w:w="120" w:type="dxa"/>
            </w:tcMar>
            <w:vAlign w:val="center"/>
          </w:tcPr>
          <w:p w14:paraId="38117EDC" w14:textId="77777777" w:rsidR="00DB7155" w:rsidRPr="00543450" w:rsidRDefault="00000000">
            <w:pPr>
              <w:jc w:val="center"/>
            </w:pPr>
            <w:r>
              <w:rPr>
                <w:sz w:val="18"/>
                <w:szCs w:val="18"/>
              </w:rPr>
              <w:t>Sostenida a costo de pérdidas</w:t>
            </w:r>
          </w:p>
        </w:tc>
        <w:tc>
          <w:tcPr>
            <w:tcW w:w="2000" w:type="dxa"/>
            <w:tcBorders>
              <w:top w:val="single" w:sz="4" w:space="0" w:color="BFBFBF"/>
              <w:left w:val="single" w:sz="4" w:space="0" w:color="BFBFBF"/>
              <w:bottom w:val="single" w:sz="4" w:space="0" w:color="BFBFBF"/>
              <w:right w:val="single" w:sz="4" w:space="0" w:color="BFBFBF"/>
            </w:tcBorders>
            <w:shd w:val="clear" w:color="auto" w:fill="FFE0E0"/>
            <w:tcMar>
              <w:top w:w="80" w:type="dxa"/>
              <w:left w:w="120" w:type="dxa"/>
              <w:bottom w:w="80" w:type="dxa"/>
              <w:right w:w="120" w:type="dxa"/>
            </w:tcMar>
            <w:vAlign w:val="center"/>
          </w:tcPr>
          <w:p w14:paraId="123C9B23" w14:textId="77777777" w:rsidR="00DB7155" w:rsidRPr="00543450" w:rsidRDefault="00000000">
            <w:pPr>
              <w:jc w:val="center"/>
            </w:pPr>
            <w:r>
              <w:rPr>
                <w:sz w:val="18"/>
                <w:szCs w:val="18"/>
              </w:rPr>
              <w:t>42%</w:t>
            </w:r>
          </w:p>
        </w:tc>
      </w:tr>
      <w:tr w:rsidR="004E69CD" w:rsidRPr="00543450" w14:paraId="0E01113E" w14:textId="77777777">
        <w:tc>
          <w:tcPr>
            <w:tcW w:w="3200" w:type="dxa"/>
            <w:tcBorders>
              <w:top w:val="single" w:sz="4" w:space="0" w:color="BFBFBF"/>
              <w:left w:val="single" w:sz="4" w:space="0" w:color="BFBFBF"/>
              <w:bottom w:val="single" w:sz="4" w:space="0" w:color="BFBFBF"/>
              <w:right w:val="single" w:sz="4" w:space="0" w:color="BFBFBF"/>
            </w:tcBorders>
            <w:shd w:val="clear" w:color="auto" w:fill="D9E2F3"/>
            <w:tcMar>
              <w:top w:w="80" w:type="dxa"/>
              <w:left w:w="120" w:type="dxa"/>
              <w:bottom w:w="80" w:type="dxa"/>
              <w:right w:w="120" w:type="dxa"/>
            </w:tcMar>
            <w:vAlign w:val="center"/>
          </w:tcPr>
          <w:p w14:paraId="4F50490F" w14:textId="77777777" w:rsidR="00DB7155" w:rsidRPr="00543450" w:rsidRDefault="00000000">
            <w:r>
              <w:rPr>
                <w:sz w:val="18"/>
                <w:szCs w:val="18"/>
              </w:rPr>
              <w:t>Participación de mercado China</w:t>
            </w:r>
          </w:p>
        </w:tc>
        <w:tc>
          <w:tcPr>
            <w:tcW w:w="2080" w:type="dxa"/>
            <w:tcBorders>
              <w:top w:val="single" w:sz="4" w:space="0" w:color="BFBFBF"/>
              <w:left w:val="single" w:sz="4" w:space="0" w:color="BFBFBF"/>
              <w:bottom w:val="single" w:sz="4" w:space="0" w:color="BFBFBF"/>
              <w:right w:val="single" w:sz="4" w:space="0" w:color="BFBFBF"/>
            </w:tcBorders>
            <w:shd w:val="clear" w:color="auto" w:fill="D9E2F3"/>
            <w:tcMar>
              <w:top w:w="80" w:type="dxa"/>
              <w:left w:w="120" w:type="dxa"/>
              <w:bottom w:w="80" w:type="dxa"/>
              <w:right w:w="120" w:type="dxa"/>
            </w:tcMar>
            <w:vAlign w:val="center"/>
          </w:tcPr>
          <w:p w14:paraId="560FA388" w14:textId="77777777" w:rsidR="00DB7155" w:rsidRPr="00543450" w:rsidRDefault="00000000">
            <w:pPr>
              <w:jc w:val="center"/>
            </w:pPr>
            <w:r>
              <w:rPr>
                <w:sz w:val="18"/>
                <w:szCs w:val="18"/>
              </w:rPr>
              <w:t>0%</w:t>
            </w:r>
          </w:p>
        </w:tc>
        <w:tc>
          <w:tcPr>
            <w:tcW w:w="2080" w:type="dxa"/>
            <w:tcBorders>
              <w:top w:val="single" w:sz="4" w:space="0" w:color="BFBFBF"/>
              <w:left w:val="single" w:sz="4" w:space="0" w:color="BFBFBF"/>
              <w:bottom w:val="single" w:sz="4" w:space="0" w:color="BFBFBF"/>
              <w:right w:val="single" w:sz="4" w:space="0" w:color="BFBFBF"/>
            </w:tcBorders>
            <w:shd w:val="clear" w:color="auto" w:fill="D9E2F3"/>
            <w:tcMar>
              <w:top w:w="80" w:type="dxa"/>
              <w:left w:w="120" w:type="dxa"/>
              <w:bottom w:w="80" w:type="dxa"/>
              <w:right w:w="120" w:type="dxa"/>
            </w:tcMar>
            <w:vAlign w:val="center"/>
          </w:tcPr>
          <w:p w14:paraId="31018581" w14:textId="7C1AFDCF" w:rsidR="00DB7155" w:rsidRPr="00543450" w:rsidRDefault="00DB7155">
            <w:pPr>
              <w:jc w:val="center"/>
            </w:pPr>
          </w:p>
        </w:tc>
        <w:tc>
          <w:tcPr>
            <w:tcW w:w="2000" w:type="dxa"/>
            <w:tcBorders>
              <w:top w:val="single" w:sz="4" w:space="0" w:color="BFBFBF"/>
              <w:left w:val="single" w:sz="4" w:space="0" w:color="BFBFBF"/>
              <w:bottom w:val="single" w:sz="4" w:space="0" w:color="BFBFBF"/>
              <w:right w:val="single" w:sz="4" w:space="0" w:color="BFBFBF"/>
            </w:tcBorders>
            <w:shd w:val="clear" w:color="auto" w:fill="FFE0E0"/>
            <w:tcMar>
              <w:top w:w="80" w:type="dxa"/>
              <w:left w:w="120" w:type="dxa"/>
              <w:bottom w:w="80" w:type="dxa"/>
              <w:right w:w="120" w:type="dxa"/>
            </w:tcMar>
            <w:vAlign w:val="center"/>
          </w:tcPr>
          <w:p w14:paraId="226B6B53" w14:textId="77777777" w:rsidR="00DB7155" w:rsidRPr="00543450" w:rsidRDefault="00000000">
            <w:pPr>
              <w:jc w:val="center"/>
            </w:pPr>
            <w:r>
              <w:rPr>
                <w:sz w:val="18"/>
                <w:szCs w:val="18"/>
              </w:rPr>
              <w:t>56%</w:t>
            </w:r>
          </w:p>
        </w:tc>
      </w:tr>
    </w:tbl>
    <w:p w14:paraId="59FF32F1" w14:textId="73619979" w:rsidR="00DB7155" w:rsidRPr="00543450" w:rsidRDefault="00000000">
      <w:pPr>
        <w:spacing w:before="60" w:after="160"/>
        <w:jc w:val="center"/>
      </w:pPr>
      <w:r>
        <w:rPr>
          <w:i/>
          <w:iCs/>
          <w:sz w:val="18"/>
          <w:szCs w:val="18"/>
        </w:rPr>
        <w:t>Fuente: Elaboración propia con datos del Anexo 2 y Anexo 3. Valores en RD$ millones y participaciones en porcentaje.</w:t>
      </w:r>
    </w:p>
    <w:p w14:paraId="2E5222F7" w14:textId="77777777" w:rsidR="00DB7155" w:rsidRPr="00543450" w:rsidRDefault="00DB7155">
      <w:pPr>
        <w:spacing w:before="80" w:after="80"/>
      </w:pPr>
    </w:p>
    <w:p w14:paraId="20142849" w14:textId="77777777" w:rsidR="00DB7155" w:rsidRPr="00543450" w:rsidRDefault="00000000">
      <w:pPr>
        <w:spacing w:before="100" w:after="100" w:line="276" w:lineRule="auto"/>
        <w:jc w:val="both"/>
      </w:pPr>
      <w:r>
        <w:t>El cuadro comparativo permite identificar con claridad el dilema estructural al que se enfrenta la RPN ante la supresión de la medida: independientemente de la estrategia que adopte, su posición competitiva y financiera se deteriora de manera significativa.</w:t>
      </w:r>
    </w:p>
    <w:p w14:paraId="405A4818" w14:textId="77777777" w:rsidR="00DB7155" w:rsidRPr="00543450" w:rsidRDefault="00DB7155">
      <w:pPr>
        <w:spacing w:before="80" w:after="80"/>
      </w:pPr>
    </w:p>
    <w:p w14:paraId="628C96CF" w14:textId="400E6209" w:rsidR="00DB7155" w:rsidRPr="00543450" w:rsidRDefault="00000000">
      <w:pPr>
        <w:pStyle w:val="ListParagraph"/>
        <w:numPr>
          <w:ilvl w:val="0"/>
          <w:numId w:val="2"/>
        </w:numPr>
        <w:spacing w:before="80" w:after="80"/>
        <w:rPr>
          <w:lang w:val="es-DO"/>
        </w:rPr>
      </w:pPr>
      <w:r>
        <w:rPr>
          <w:lang w:val="es-DO"/>
        </w:rPr>
        <w:t>Si opta por defender su participación de mercado (Escenario A), mantiene el volumen de ventas, pero incurre en pérdidas operativas de (41.4) en el tercer año, con una utilidad bruta negativa de (16.5). La empresa pasa de una situación de plena rentabilidad a una de pérdida estructural, lo que compromete su viabilidad en el mediano plazo.</w:t>
      </w:r>
    </w:p>
    <w:p w14:paraId="46827816" w14:textId="759E663E" w:rsidR="00DB7155" w:rsidRPr="00543450" w:rsidRDefault="00000000">
      <w:pPr>
        <w:pStyle w:val="ListParagraph"/>
        <w:numPr>
          <w:ilvl w:val="0"/>
          <w:numId w:val="2"/>
        </w:numPr>
        <w:spacing w:before="80" w:after="80"/>
        <w:rPr>
          <w:lang w:val="es-DO"/>
        </w:rPr>
      </w:pPr>
      <w:r>
        <w:rPr>
          <w:lang w:val="es-DO"/>
        </w:rPr>
        <w:t xml:space="preserve">Si opta por mantener sus precios sin ajuste (Escenario B), preserva sus márgenes unitarios, pero pierde más del 40% de su participación de mercado en tres años, con una reducción de volumen de aproximadamente 48.1 toneladas. China desplaza a la RPN como primer proveedor del mercado dominicano antes del cierre del tercer año. </w:t>
      </w:r>
    </w:p>
    <w:p w14:paraId="1645CB9F" w14:textId="77777777" w:rsidR="00DB7155" w:rsidRPr="00543450" w:rsidRDefault="00000000">
      <w:pPr>
        <w:pStyle w:val="ListParagraph"/>
        <w:numPr>
          <w:ilvl w:val="0"/>
          <w:numId w:val="2"/>
        </w:numPr>
        <w:spacing w:before="80" w:after="80"/>
        <w:rPr>
          <w:lang w:val="es-DO"/>
        </w:rPr>
      </w:pPr>
      <w:r>
        <w:rPr>
          <w:lang w:val="es-DO"/>
        </w:rPr>
        <w:t>En ambos casos, el resultado final es un daño material a la industria nacional: en el Escenario A, el daño se manifiesta como pérdida financiera severa; en el Escenario B, como pérdida masiva de volumen y participación de mercado con potencial efecto en el empleo, la inversión y la viabilidad de largo plazo de la RPN.</w:t>
      </w:r>
    </w:p>
    <w:p w14:paraId="0EA14E42" w14:textId="77777777" w:rsidR="00DB7155" w:rsidRPr="00543450" w:rsidRDefault="00DB7155">
      <w:pPr>
        <w:spacing w:before="80" w:after="80"/>
      </w:pPr>
    </w:p>
    <w:p w14:paraId="5D43F5FE" w14:textId="7D31918D" w:rsidR="00DB7155" w:rsidRPr="00543450" w:rsidRDefault="00000000">
      <w:pPr>
        <w:spacing w:before="100" w:after="100" w:line="276" w:lineRule="auto"/>
        <w:jc w:val="both"/>
      </w:pPr>
      <w:r>
        <w:lastRenderedPageBreak/>
        <w:t>Esta convergencia de resultados adversos bajo hipótesis alternativas refuerza la solidez del análisis: la conclusión de que la supresión de la medida probablemente daría lugar a daño a la RPN no depende de un único supuesto de comportamiento del mercado, sino que es robusta a distintas hipótesis sobre la respuesta competitiva de la empresa.</w:t>
      </w:r>
    </w:p>
    <w:p w14:paraId="1340FE13" w14:textId="77777777" w:rsidR="00DB7155" w:rsidRPr="00543450" w:rsidRDefault="00DB7155">
      <w:pPr>
        <w:spacing w:before="80" w:after="80"/>
      </w:pPr>
    </w:p>
    <w:p w14:paraId="3F5FC87D" w14:textId="77777777" w:rsidR="00DB7155" w:rsidRPr="00543450" w:rsidRDefault="00000000">
      <w:pPr>
        <w:pStyle w:val="Heading1"/>
        <w:rPr>
          <w:color w:val="auto"/>
          <w:lang w:val="es-DO"/>
        </w:rPr>
      </w:pPr>
      <w:r>
        <w:rPr>
          <w:color w:val="auto"/>
          <w:lang w:val="es-DO"/>
        </w:rPr>
        <w:t>V. Capacidad de Absorción del Mercado por China</w:t>
      </w:r>
    </w:p>
    <w:p w14:paraId="589B35FB" w14:textId="6A0441B3" w:rsidR="00DB7155" w:rsidRPr="00543450" w:rsidRDefault="00000000">
      <w:pPr>
        <w:spacing w:before="100" w:after="100" w:line="276" w:lineRule="auto"/>
        <w:jc w:val="both"/>
      </w:pPr>
      <w:r>
        <w:t>Los escenarios presentados en la sección anterior se sustentan en un conjunto de condiciones estructurales que hacen plausible la rápida expansión de las importaciones chinas en el mercado dominicano. El documento de capacidad de absorción elaborado en el marco de esta investigación formaliza estas condiciones mediante un modelo de ajuste parcial calibrado con parámetros empíricos de la literatura sobre mercados de varilla de acero.</w:t>
      </w:r>
    </w:p>
    <w:p w14:paraId="2E01C4BB" w14:textId="7F9D7149" w:rsidR="00DB7155" w:rsidRPr="00543450" w:rsidRDefault="00000000">
      <w:pPr>
        <w:spacing w:before="100" w:after="100" w:line="276" w:lineRule="auto"/>
        <w:jc w:val="both"/>
      </w:pPr>
      <w:r>
        <w:t>El modelo parte de la condición de que las varillas de acero corrugado constituyen un bien homogéneo, donde la competencia entre orígenes se define principalmente por precio. Bajo esta condición, la teoría económica establece que el proveedor con el menor precio puede capturar una proporción significativa del mercado en un horizonte relativamente corto, condicionado por la velocidad de ajuste de los compradores (elasticidad de sustitución) y la respuesta de la demanda total a la reducción de precios (elasti</w:t>
      </w:r>
      <w:r>
        <w:t>cidad-precio de la demanda).</w:t>
      </w:r>
    </w:p>
    <w:p w14:paraId="6A6A5336" w14:textId="77777777" w:rsidR="004E69CD" w:rsidRPr="00543450" w:rsidRDefault="004E69CD">
      <w:pPr>
        <w:spacing w:before="80" w:after="80"/>
      </w:pPr>
    </w:p>
    <w:p w14:paraId="31C47528" w14:textId="77777777" w:rsidR="00DB7155" w:rsidRPr="00543450" w:rsidRDefault="00000000">
      <w:pPr>
        <w:spacing w:before="160" w:after="60"/>
        <w:jc w:val="center"/>
      </w:pPr>
      <w:r>
        <w:rPr>
          <w:b/>
          <w:bCs/>
          <w:sz w:val="20"/>
          <w:szCs w:val="20"/>
        </w:rPr>
        <w:t>Tabla 4. Escenarios de absorción de mercado por China bajo diferentes supuestos de elasticidad</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67"/>
        <w:gridCol w:w="892"/>
        <w:gridCol w:w="892"/>
        <w:gridCol w:w="1052"/>
        <w:gridCol w:w="771"/>
        <w:gridCol w:w="1059"/>
        <w:gridCol w:w="1059"/>
        <w:gridCol w:w="1168"/>
      </w:tblGrid>
      <w:tr w:rsidR="004E69CD" w:rsidRPr="00543450" w14:paraId="1ECED734" w14:textId="77777777">
        <w:trPr>
          <w:tblHeader/>
        </w:trPr>
        <w:tc>
          <w:tcPr>
            <w:tcW w:w="2600" w:type="dxa"/>
            <w:tcBorders>
              <w:top w:val="single" w:sz="4" w:space="0" w:color="BFBFBF"/>
              <w:left w:val="single" w:sz="4" w:space="0" w:color="BFBFBF"/>
              <w:bottom w:val="single" w:sz="4" w:space="0" w:color="BFBFBF"/>
              <w:right w:val="single" w:sz="4" w:space="0" w:color="BFBFBF"/>
            </w:tcBorders>
            <w:shd w:val="clear" w:color="auto" w:fill="1F3864"/>
            <w:tcMar>
              <w:top w:w="80" w:type="dxa"/>
              <w:left w:w="120" w:type="dxa"/>
              <w:bottom w:w="80" w:type="dxa"/>
              <w:right w:w="120" w:type="dxa"/>
            </w:tcMar>
            <w:vAlign w:val="center"/>
          </w:tcPr>
          <w:p w14:paraId="58CF4F54" w14:textId="77777777" w:rsidR="00DB7155" w:rsidRPr="00543450" w:rsidRDefault="00000000">
            <w:r>
              <w:rPr>
                <w:b/>
                <w:bCs/>
                <w:sz w:val="20"/>
                <w:szCs w:val="20"/>
              </w:rPr>
              <w:t>Escenario</w:t>
            </w:r>
          </w:p>
        </w:tc>
        <w:tc>
          <w:tcPr>
            <w:tcW w:w="900" w:type="dxa"/>
            <w:tcBorders>
              <w:top w:val="single" w:sz="4" w:space="0" w:color="BFBFBF"/>
              <w:left w:val="single" w:sz="4" w:space="0" w:color="BFBFBF"/>
              <w:bottom w:val="single" w:sz="4" w:space="0" w:color="BFBFBF"/>
              <w:right w:val="single" w:sz="4" w:space="0" w:color="BFBFBF"/>
            </w:tcBorders>
            <w:shd w:val="clear" w:color="auto" w:fill="1F3864"/>
            <w:tcMar>
              <w:top w:w="80" w:type="dxa"/>
              <w:left w:w="120" w:type="dxa"/>
              <w:bottom w:w="80" w:type="dxa"/>
              <w:right w:w="120" w:type="dxa"/>
            </w:tcMar>
            <w:vAlign w:val="center"/>
          </w:tcPr>
          <w:p w14:paraId="24233484" w14:textId="77777777" w:rsidR="00DB7155" w:rsidRPr="00543450" w:rsidRDefault="00000000">
            <w:pPr>
              <w:jc w:val="center"/>
            </w:pPr>
            <w:r>
              <w:rPr>
                <w:b/>
                <w:bCs/>
                <w:sz w:val="20"/>
                <w:szCs w:val="20"/>
              </w:rPr>
              <w:t>s0 (2025)</w:t>
            </w:r>
          </w:p>
        </w:tc>
        <w:tc>
          <w:tcPr>
            <w:tcW w:w="900" w:type="dxa"/>
            <w:tcBorders>
              <w:top w:val="single" w:sz="4" w:space="0" w:color="BFBFBF"/>
              <w:left w:val="single" w:sz="4" w:space="0" w:color="BFBFBF"/>
              <w:bottom w:val="single" w:sz="4" w:space="0" w:color="BFBFBF"/>
              <w:right w:val="single" w:sz="4" w:space="0" w:color="BFBFBF"/>
            </w:tcBorders>
            <w:shd w:val="clear" w:color="auto" w:fill="1F3864"/>
            <w:tcMar>
              <w:top w:w="80" w:type="dxa"/>
              <w:left w:w="120" w:type="dxa"/>
              <w:bottom w:w="80" w:type="dxa"/>
              <w:right w:w="120" w:type="dxa"/>
            </w:tcMar>
            <w:vAlign w:val="center"/>
          </w:tcPr>
          <w:p w14:paraId="75A26E1D" w14:textId="77777777" w:rsidR="00DB7155" w:rsidRPr="00543450" w:rsidRDefault="00000000">
            <w:pPr>
              <w:jc w:val="center"/>
            </w:pPr>
            <w:r>
              <w:rPr>
                <w:b/>
                <w:bCs/>
                <w:sz w:val="20"/>
                <w:szCs w:val="20"/>
              </w:rPr>
              <w:t>s* (largo plazo)</w:t>
            </w:r>
          </w:p>
        </w:tc>
        <w:tc>
          <w:tcPr>
            <w:tcW w:w="800" w:type="dxa"/>
            <w:tcBorders>
              <w:top w:val="single" w:sz="4" w:space="0" w:color="BFBFBF"/>
              <w:left w:val="single" w:sz="4" w:space="0" w:color="BFBFBF"/>
              <w:bottom w:val="single" w:sz="4" w:space="0" w:color="BFBFBF"/>
              <w:right w:val="single" w:sz="4" w:space="0" w:color="BFBFBF"/>
            </w:tcBorders>
            <w:shd w:val="clear" w:color="auto" w:fill="1F3864"/>
            <w:tcMar>
              <w:top w:w="80" w:type="dxa"/>
              <w:left w:w="120" w:type="dxa"/>
              <w:bottom w:w="80" w:type="dxa"/>
              <w:right w:w="120" w:type="dxa"/>
            </w:tcMar>
            <w:vAlign w:val="center"/>
          </w:tcPr>
          <w:p w14:paraId="73673748" w14:textId="77777777" w:rsidR="00DB7155" w:rsidRPr="00543450" w:rsidRDefault="00000000">
            <w:pPr>
              <w:jc w:val="center"/>
            </w:pPr>
            <w:r>
              <w:rPr>
                <w:b/>
                <w:bCs/>
                <w:sz w:val="20"/>
                <w:szCs w:val="20"/>
              </w:rPr>
              <w:t>λ mensual</w:t>
            </w:r>
          </w:p>
        </w:tc>
        <w:tc>
          <w:tcPr>
            <w:tcW w:w="800" w:type="dxa"/>
            <w:tcBorders>
              <w:top w:val="single" w:sz="4" w:space="0" w:color="BFBFBF"/>
              <w:left w:val="single" w:sz="4" w:space="0" w:color="BFBFBF"/>
              <w:bottom w:val="single" w:sz="4" w:space="0" w:color="BFBFBF"/>
              <w:right w:val="single" w:sz="4" w:space="0" w:color="BFBFBF"/>
            </w:tcBorders>
            <w:shd w:val="clear" w:color="auto" w:fill="1F3864"/>
            <w:tcMar>
              <w:top w:w="80" w:type="dxa"/>
              <w:left w:w="120" w:type="dxa"/>
              <w:bottom w:w="80" w:type="dxa"/>
              <w:right w:w="120" w:type="dxa"/>
            </w:tcMar>
            <w:vAlign w:val="center"/>
          </w:tcPr>
          <w:p w14:paraId="59C0C2F6" w14:textId="77777777" w:rsidR="00DB7155" w:rsidRPr="00543450" w:rsidRDefault="00000000">
            <w:pPr>
              <w:jc w:val="center"/>
            </w:pPr>
            <w:r>
              <w:rPr>
                <w:b/>
                <w:bCs/>
                <w:sz w:val="20"/>
                <w:szCs w:val="20"/>
              </w:rPr>
              <w:t>ε</w:t>
            </w:r>
          </w:p>
        </w:tc>
        <w:tc>
          <w:tcPr>
            <w:tcW w:w="1080" w:type="dxa"/>
            <w:tcBorders>
              <w:top w:val="single" w:sz="4" w:space="0" w:color="BFBFBF"/>
              <w:left w:val="single" w:sz="4" w:space="0" w:color="BFBFBF"/>
              <w:bottom w:val="single" w:sz="4" w:space="0" w:color="BFBFBF"/>
              <w:right w:val="single" w:sz="4" w:space="0" w:color="BFBFBF"/>
            </w:tcBorders>
            <w:shd w:val="clear" w:color="auto" w:fill="1F3864"/>
            <w:tcMar>
              <w:top w:w="80" w:type="dxa"/>
              <w:left w:w="120" w:type="dxa"/>
              <w:bottom w:w="80" w:type="dxa"/>
              <w:right w:w="120" w:type="dxa"/>
            </w:tcMar>
            <w:vAlign w:val="center"/>
          </w:tcPr>
          <w:p w14:paraId="5304304E" w14:textId="77777777" w:rsidR="00DB7155" w:rsidRPr="00543450" w:rsidRDefault="00000000">
            <w:pPr>
              <w:jc w:val="center"/>
            </w:pPr>
            <w:r>
              <w:rPr>
                <w:b/>
                <w:bCs/>
                <w:sz w:val="20"/>
                <w:szCs w:val="20"/>
              </w:rPr>
              <w:t>12 meses</w:t>
            </w:r>
          </w:p>
        </w:tc>
        <w:tc>
          <w:tcPr>
            <w:tcW w:w="1080" w:type="dxa"/>
            <w:tcBorders>
              <w:top w:val="single" w:sz="4" w:space="0" w:color="BFBFBF"/>
              <w:left w:val="single" w:sz="4" w:space="0" w:color="BFBFBF"/>
              <w:bottom w:val="single" w:sz="4" w:space="0" w:color="BFBFBF"/>
              <w:right w:val="single" w:sz="4" w:space="0" w:color="BFBFBF"/>
            </w:tcBorders>
            <w:shd w:val="clear" w:color="auto" w:fill="1F3864"/>
            <w:tcMar>
              <w:top w:w="80" w:type="dxa"/>
              <w:left w:w="120" w:type="dxa"/>
              <w:bottom w:w="80" w:type="dxa"/>
              <w:right w:w="120" w:type="dxa"/>
            </w:tcMar>
            <w:vAlign w:val="center"/>
          </w:tcPr>
          <w:p w14:paraId="62BE117A" w14:textId="77777777" w:rsidR="00DB7155" w:rsidRPr="00543450" w:rsidRDefault="00000000">
            <w:pPr>
              <w:jc w:val="center"/>
            </w:pPr>
            <w:r>
              <w:rPr>
                <w:b/>
                <w:bCs/>
                <w:sz w:val="20"/>
                <w:szCs w:val="20"/>
              </w:rPr>
              <w:t>24 meses</w:t>
            </w:r>
          </w:p>
        </w:tc>
        <w:tc>
          <w:tcPr>
            <w:tcW w:w="1200" w:type="dxa"/>
            <w:tcBorders>
              <w:top w:val="single" w:sz="4" w:space="0" w:color="BFBFBF"/>
              <w:left w:val="single" w:sz="4" w:space="0" w:color="BFBFBF"/>
              <w:bottom w:val="single" w:sz="4" w:space="0" w:color="BFBFBF"/>
              <w:right w:val="single" w:sz="4" w:space="0" w:color="BFBFBF"/>
            </w:tcBorders>
            <w:shd w:val="clear" w:color="auto" w:fill="1F3864"/>
            <w:tcMar>
              <w:top w:w="80" w:type="dxa"/>
              <w:left w:w="120" w:type="dxa"/>
              <w:bottom w:w="80" w:type="dxa"/>
              <w:right w:w="120" w:type="dxa"/>
            </w:tcMar>
            <w:vAlign w:val="center"/>
          </w:tcPr>
          <w:p w14:paraId="30B159CD" w14:textId="77777777" w:rsidR="00DB7155" w:rsidRPr="00543450" w:rsidRDefault="00000000">
            <w:pPr>
              <w:jc w:val="center"/>
            </w:pPr>
            <w:r>
              <w:rPr>
                <w:b/>
                <w:bCs/>
                <w:sz w:val="20"/>
                <w:szCs w:val="20"/>
              </w:rPr>
              <w:t>36 meses</w:t>
            </w:r>
          </w:p>
        </w:tc>
      </w:tr>
      <w:tr w:rsidR="004E69CD" w:rsidRPr="00543450" w14:paraId="7E063A8F" w14:textId="77777777">
        <w:tc>
          <w:tcPr>
            <w:tcW w:w="2600" w:type="dxa"/>
            <w:tcBorders>
              <w:top w:val="single" w:sz="4" w:space="0" w:color="BFBFBF"/>
              <w:left w:val="single" w:sz="4" w:space="0" w:color="BFBFBF"/>
              <w:bottom w:val="single" w:sz="4" w:space="0" w:color="BFBFBF"/>
              <w:right w:val="single" w:sz="4" w:space="0" w:color="BFBFBF"/>
            </w:tcBorders>
            <w:shd w:val="clear" w:color="auto" w:fill="D9E2F3"/>
            <w:tcMar>
              <w:top w:w="80" w:type="dxa"/>
              <w:left w:w="120" w:type="dxa"/>
              <w:bottom w:w="80" w:type="dxa"/>
              <w:right w:w="120" w:type="dxa"/>
            </w:tcMar>
            <w:vAlign w:val="center"/>
          </w:tcPr>
          <w:p w14:paraId="0022B58B" w14:textId="77777777" w:rsidR="00DB7155" w:rsidRPr="00543450" w:rsidRDefault="00000000">
            <w:r>
              <w:rPr>
                <w:sz w:val="18"/>
                <w:szCs w:val="18"/>
              </w:rPr>
              <w:t>Base (referencia)</w:t>
            </w:r>
          </w:p>
        </w:tc>
        <w:tc>
          <w:tcPr>
            <w:tcW w:w="900" w:type="dxa"/>
            <w:tcBorders>
              <w:top w:val="single" w:sz="4" w:space="0" w:color="BFBFBF"/>
              <w:left w:val="single" w:sz="4" w:space="0" w:color="BFBFBF"/>
              <w:bottom w:val="single" w:sz="4" w:space="0" w:color="BFBFBF"/>
              <w:right w:val="single" w:sz="4" w:space="0" w:color="BFBFBF"/>
            </w:tcBorders>
            <w:shd w:val="clear" w:color="auto" w:fill="D9E2F3"/>
            <w:tcMar>
              <w:top w:w="80" w:type="dxa"/>
              <w:left w:w="120" w:type="dxa"/>
              <w:bottom w:w="80" w:type="dxa"/>
              <w:right w:w="120" w:type="dxa"/>
            </w:tcMar>
            <w:vAlign w:val="center"/>
          </w:tcPr>
          <w:p w14:paraId="4E9B4C31" w14:textId="77777777" w:rsidR="00DB7155" w:rsidRPr="00543450" w:rsidRDefault="00000000">
            <w:pPr>
              <w:jc w:val="center"/>
            </w:pPr>
            <w:r>
              <w:rPr>
                <w:sz w:val="18"/>
                <w:szCs w:val="18"/>
              </w:rPr>
              <w:t>0.0%</w:t>
            </w:r>
          </w:p>
        </w:tc>
        <w:tc>
          <w:tcPr>
            <w:tcW w:w="900" w:type="dxa"/>
            <w:tcBorders>
              <w:top w:val="single" w:sz="4" w:space="0" w:color="BFBFBF"/>
              <w:left w:val="single" w:sz="4" w:space="0" w:color="BFBFBF"/>
              <w:bottom w:val="single" w:sz="4" w:space="0" w:color="BFBFBF"/>
              <w:right w:val="single" w:sz="4" w:space="0" w:color="BFBFBF"/>
            </w:tcBorders>
            <w:shd w:val="clear" w:color="auto" w:fill="D9E2F3"/>
            <w:tcMar>
              <w:top w:w="80" w:type="dxa"/>
              <w:left w:w="120" w:type="dxa"/>
              <w:bottom w:w="80" w:type="dxa"/>
              <w:right w:w="120" w:type="dxa"/>
            </w:tcMar>
            <w:vAlign w:val="center"/>
          </w:tcPr>
          <w:p w14:paraId="36C6E492" w14:textId="77777777" w:rsidR="00DB7155" w:rsidRPr="00543450" w:rsidRDefault="00000000">
            <w:pPr>
              <w:jc w:val="center"/>
            </w:pPr>
            <w:r>
              <w:rPr>
                <w:sz w:val="18"/>
                <w:szCs w:val="18"/>
              </w:rPr>
              <w:t>90%</w:t>
            </w:r>
          </w:p>
        </w:tc>
        <w:tc>
          <w:tcPr>
            <w:tcW w:w="800" w:type="dxa"/>
            <w:tcBorders>
              <w:top w:val="single" w:sz="4" w:space="0" w:color="BFBFBF"/>
              <w:left w:val="single" w:sz="4" w:space="0" w:color="BFBFBF"/>
              <w:bottom w:val="single" w:sz="4" w:space="0" w:color="BFBFBF"/>
              <w:right w:val="single" w:sz="4" w:space="0" w:color="BFBFBF"/>
            </w:tcBorders>
            <w:shd w:val="clear" w:color="auto" w:fill="D9E2F3"/>
            <w:tcMar>
              <w:top w:w="80" w:type="dxa"/>
              <w:left w:w="120" w:type="dxa"/>
              <w:bottom w:w="80" w:type="dxa"/>
              <w:right w:w="120" w:type="dxa"/>
            </w:tcMar>
            <w:vAlign w:val="center"/>
          </w:tcPr>
          <w:p w14:paraId="073B8511" w14:textId="77777777" w:rsidR="00DB7155" w:rsidRPr="00543450" w:rsidRDefault="00000000">
            <w:pPr>
              <w:jc w:val="center"/>
            </w:pPr>
            <w:r>
              <w:rPr>
                <w:sz w:val="18"/>
                <w:szCs w:val="18"/>
              </w:rPr>
              <w:t>0.056</w:t>
            </w:r>
          </w:p>
        </w:tc>
        <w:tc>
          <w:tcPr>
            <w:tcW w:w="800" w:type="dxa"/>
            <w:tcBorders>
              <w:top w:val="single" w:sz="4" w:space="0" w:color="BFBFBF"/>
              <w:left w:val="single" w:sz="4" w:space="0" w:color="BFBFBF"/>
              <w:bottom w:val="single" w:sz="4" w:space="0" w:color="BFBFBF"/>
              <w:right w:val="single" w:sz="4" w:space="0" w:color="BFBFBF"/>
            </w:tcBorders>
            <w:shd w:val="clear" w:color="auto" w:fill="D9E2F3"/>
            <w:tcMar>
              <w:top w:w="80" w:type="dxa"/>
              <w:left w:w="120" w:type="dxa"/>
              <w:bottom w:w="80" w:type="dxa"/>
              <w:right w:w="120" w:type="dxa"/>
            </w:tcMar>
            <w:vAlign w:val="center"/>
          </w:tcPr>
          <w:p w14:paraId="116C905B" w14:textId="77777777" w:rsidR="00DB7155" w:rsidRPr="00543450" w:rsidRDefault="00000000">
            <w:pPr>
              <w:jc w:val="center"/>
            </w:pPr>
            <w:r>
              <w:rPr>
                <w:sz w:val="18"/>
                <w:szCs w:val="18"/>
              </w:rPr>
              <w:t>-0.5</w:t>
            </w:r>
          </w:p>
        </w:tc>
        <w:tc>
          <w:tcPr>
            <w:tcW w:w="1080" w:type="dxa"/>
            <w:tcBorders>
              <w:top w:val="single" w:sz="4" w:space="0" w:color="BFBFBF"/>
              <w:left w:val="single" w:sz="4" w:space="0" w:color="BFBFBF"/>
              <w:bottom w:val="single" w:sz="4" w:space="0" w:color="BFBFBF"/>
              <w:right w:val="single" w:sz="4" w:space="0" w:color="BFBFBF"/>
            </w:tcBorders>
            <w:shd w:val="clear" w:color="auto" w:fill="D9E2F3"/>
            <w:tcMar>
              <w:top w:w="80" w:type="dxa"/>
              <w:left w:w="120" w:type="dxa"/>
              <w:bottom w:w="80" w:type="dxa"/>
              <w:right w:w="120" w:type="dxa"/>
            </w:tcMar>
            <w:vAlign w:val="center"/>
          </w:tcPr>
          <w:p w14:paraId="0CEAA8DC" w14:textId="77777777" w:rsidR="00DB7155" w:rsidRPr="00543450" w:rsidRDefault="00000000">
            <w:pPr>
              <w:jc w:val="center"/>
            </w:pPr>
            <w:r>
              <w:rPr>
                <w:sz w:val="18"/>
                <w:szCs w:val="18"/>
              </w:rPr>
              <w:t>45.0%</w:t>
            </w:r>
          </w:p>
        </w:tc>
        <w:tc>
          <w:tcPr>
            <w:tcW w:w="1080" w:type="dxa"/>
            <w:tcBorders>
              <w:top w:val="single" w:sz="4" w:space="0" w:color="BFBFBF"/>
              <w:left w:val="single" w:sz="4" w:space="0" w:color="BFBFBF"/>
              <w:bottom w:val="single" w:sz="4" w:space="0" w:color="BFBFBF"/>
              <w:right w:val="single" w:sz="4" w:space="0" w:color="BFBFBF"/>
            </w:tcBorders>
            <w:shd w:val="clear" w:color="auto" w:fill="D9E2F3"/>
            <w:tcMar>
              <w:top w:w="80" w:type="dxa"/>
              <w:left w:w="120" w:type="dxa"/>
              <w:bottom w:w="80" w:type="dxa"/>
              <w:right w:w="120" w:type="dxa"/>
            </w:tcMar>
            <w:vAlign w:val="center"/>
          </w:tcPr>
          <w:p w14:paraId="215CC36F" w14:textId="77777777" w:rsidR="00DB7155" w:rsidRPr="00543450" w:rsidRDefault="00000000">
            <w:pPr>
              <w:jc w:val="center"/>
            </w:pPr>
            <w:r>
              <w:rPr>
                <w:sz w:val="18"/>
                <w:szCs w:val="18"/>
              </w:rPr>
              <w:t>67.5%</w:t>
            </w:r>
          </w:p>
        </w:tc>
        <w:tc>
          <w:tcPr>
            <w:tcW w:w="1200" w:type="dxa"/>
            <w:tcBorders>
              <w:top w:val="single" w:sz="4" w:space="0" w:color="BFBFBF"/>
              <w:left w:val="single" w:sz="4" w:space="0" w:color="BFBFBF"/>
              <w:bottom w:val="single" w:sz="4" w:space="0" w:color="BFBFBF"/>
              <w:right w:val="single" w:sz="4" w:space="0" w:color="BFBFBF"/>
            </w:tcBorders>
            <w:shd w:val="clear" w:color="auto" w:fill="D9E2F3"/>
            <w:tcMar>
              <w:top w:w="80" w:type="dxa"/>
              <w:left w:w="120" w:type="dxa"/>
              <w:bottom w:w="80" w:type="dxa"/>
              <w:right w:w="120" w:type="dxa"/>
            </w:tcMar>
            <w:vAlign w:val="center"/>
          </w:tcPr>
          <w:p w14:paraId="7EC2460C" w14:textId="77777777" w:rsidR="00DB7155" w:rsidRPr="00543450" w:rsidRDefault="00000000">
            <w:pPr>
              <w:jc w:val="center"/>
            </w:pPr>
            <w:r>
              <w:rPr>
                <w:sz w:val="18"/>
                <w:szCs w:val="18"/>
              </w:rPr>
              <w:t>78.8%</w:t>
            </w:r>
          </w:p>
        </w:tc>
      </w:tr>
      <w:tr w:rsidR="004E69CD" w:rsidRPr="00543450" w14:paraId="4D8AFFB5" w14:textId="77777777">
        <w:tc>
          <w:tcPr>
            <w:tcW w:w="26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5001780F" w14:textId="77777777" w:rsidR="00DB7155" w:rsidRPr="00543450" w:rsidRDefault="00000000">
            <w:r>
              <w:rPr>
                <w:sz w:val="18"/>
                <w:szCs w:val="18"/>
              </w:rPr>
              <w:t>Baja sustitución (s↓)</w:t>
            </w:r>
          </w:p>
        </w:tc>
        <w:tc>
          <w:tcPr>
            <w:tcW w:w="9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6367B7E1" w14:textId="77777777" w:rsidR="00DB7155" w:rsidRPr="00543450" w:rsidRDefault="00000000">
            <w:pPr>
              <w:jc w:val="center"/>
            </w:pPr>
            <w:r>
              <w:rPr>
                <w:sz w:val="18"/>
                <w:szCs w:val="18"/>
              </w:rPr>
              <w:t>0.0%</w:t>
            </w:r>
          </w:p>
        </w:tc>
        <w:tc>
          <w:tcPr>
            <w:tcW w:w="9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1D062A2D" w14:textId="77777777" w:rsidR="00DB7155" w:rsidRPr="00543450" w:rsidRDefault="00000000">
            <w:pPr>
              <w:jc w:val="center"/>
            </w:pPr>
            <w:r>
              <w:rPr>
                <w:sz w:val="18"/>
                <w:szCs w:val="18"/>
              </w:rPr>
              <w:t>85%</w:t>
            </w:r>
          </w:p>
        </w:tc>
        <w:tc>
          <w:tcPr>
            <w:tcW w:w="8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108CC85B" w14:textId="77777777" w:rsidR="00DB7155" w:rsidRPr="00543450" w:rsidRDefault="00000000">
            <w:pPr>
              <w:jc w:val="center"/>
            </w:pPr>
            <w:r>
              <w:rPr>
                <w:sz w:val="18"/>
                <w:szCs w:val="18"/>
              </w:rPr>
              <w:t>0.029</w:t>
            </w:r>
          </w:p>
        </w:tc>
        <w:tc>
          <w:tcPr>
            <w:tcW w:w="8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03EF13E5" w14:textId="77777777" w:rsidR="00DB7155" w:rsidRPr="00543450" w:rsidRDefault="00000000">
            <w:pPr>
              <w:jc w:val="center"/>
            </w:pPr>
            <w:r>
              <w:rPr>
                <w:sz w:val="18"/>
                <w:szCs w:val="18"/>
              </w:rPr>
              <w:t>-0.5</w:t>
            </w:r>
          </w:p>
        </w:tc>
        <w:tc>
          <w:tcPr>
            <w:tcW w:w="108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05DADA96" w14:textId="77777777" w:rsidR="00DB7155" w:rsidRPr="00543450" w:rsidRDefault="00000000">
            <w:pPr>
              <w:jc w:val="center"/>
            </w:pPr>
            <w:r>
              <w:rPr>
                <w:sz w:val="18"/>
                <w:szCs w:val="18"/>
              </w:rPr>
              <w:t>25.5%</w:t>
            </w:r>
          </w:p>
        </w:tc>
        <w:tc>
          <w:tcPr>
            <w:tcW w:w="108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38006E48" w14:textId="77777777" w:rsidR="00DB7155" w:rsidRPr="00543450" w:rsidRDefault="00000000">
            <w:pPr>
              <w:jc w:val="center"/>
            </w:pPr>
            <w:r>
              <w:rPr>
                <w:sz w:val="18"/>
                <w:szCs w:val="18"/>
              </w:rPr>
              <w:t>43.4%</w:t>
            </w:r>
          </w:p>
        </w:tc>
        <w:tc>
          <w:tcPr>
            <w:tcW w:w="12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03938612" w14:textId="77777777" w:rsidR="00DB7155" w:rsidRPr="00543450" w:rsidRDefault="00000000">
            <w:pPr>
              <w:jc w:val="center"/>
            </w:pPr>
            <w:r>
              <w:rPr>
                <w:sz w:val="18"/>
                <w:szCs w:val="18"/>
              </w:rPr>
              <w:t>55.9%</w:t>
            </w:r>
          </w:p>
        </w:tc>
      </w:tr>
      <w:tr w:rsidR="004E69CD" w:rsidRPr="00543450" w14:paraId="6C6805CA" w14:textId="77777777">
        <w:tc>
          <w:tcPr>
            <w:tcW w:w="2600" w:type="dxa"/>
            <w:tcBorders>
              <w:top w:val="single" w:sz="4" w:space="0" w:color="BFBFBF"/>
              <w:left w:val="single" w:sz="4" w:space="0" w:color="BFBFBF"/>
              <w:bottom w:val="single" w:sz="4" w:space="0" w:color="BFBFBF"/>
              <w:right w:val="single" w:sz="4" w:space="0" w:color="BFBFBF"/>
            </w:tcBorders>
            <w:shd w:val="clear" w:color="auto" w:fill="D9E2F3"/>
            <w:tcMar>
              <w:top w:w="80" w:type="dxa"/>
              <w:left w:w="120" w:type="dxa"/>
              <w:bottom w:w="80" w:type="dxa"/>
              <w:right w:w="120" w:type="dxa"/>
            </w:tcMar>
            <w:vAlign w:val="center"/>
          </w:tcPr>
          <w:p w14:paraId="6880B22C" w14:textId="77777777" w:rsidR="00DB7155" w:rsidRPr="00543450" w:rsidRDefault="00000000">
            <w:r>
              <w:rPr>
                <w:sz w:val="18"/>
                <w:szCs w:val="18"/>
              </w:rPr>
              <w:t>Alta sustitución (s↑)</w:t>
            </w:r>
          </w:p>
        </w:tc>
        <w:tc>
          <w:tcPr>
            <w:tcW w:w="900" w:type="dxa"/>
            <w:tcBorders>
              <w:top w:val="single" w:sz="4" w:space="0" w:color="BFBFBF"/>
              <w:left w:val="single" w:sz="4" w:space="0" w:color="BFBFBF"/>
              <w:bottom w:val="single" w:sz="4" w:space="0" w:color="BFBFBF"/>
              <w:right w:val="single" w:sz="4" w:space="0" w:color="BFBFBF"/>
            </w:tcBorders>
            <w:shd w:val="clear" w:color="auto" w:fill="D9E2F3"/>
            <w:tcMar>
              <w:top w:w="80" w:type="dxa"/>
              <w:left w:w="120" w:type="dxa"/>
              <w:bottom w:w="80" w:type="dxa"/>
              <w:right w:w="120" w:type="dxa"/>
            </w:tcMar>
            <w:vAlign w:val="center"/>
          </w:tcPr>
          <w:p w14:paraId="2C401FA5" w14:textId="77777777" w:rsidR="00DB7155" w:rsidRPr="00543450" w:rsidRDefault="00000000">
            <w:pPr>
              <w:jc w:val="center"/>
            </w:pPr>
            <w:r>
              <w:rPr>
                <w:sz w:val="18"/>
                <w:szCs w:val="18"/>
              </w:rPr>
              <w:t>0.0%</w:t>
            </w:r>
          </w:p>
        </w:tc>
        <w:tc>
          <w:tcPr>
            <w:tcW w:w="900" w:type="dxa"/>
            <w:tcBorders>
              <w:top w:val="single" w:sz="4" w:space="0" w:color="BFBFBF"/>
              <w:left w:val="single" w:sz="4" w:space="0" w:color="BFBFBF"/>
              <w:bottom w:val="single" w:sz="4" w:space="0" w:color="BFBFBF"/>
              <w:right w:val="single" w:sz="4" w:space="0" w:color="BFBFBF"/>
            </w:tcBorders>
            <w:shd w:val="clear" w:color="auto" w:fill="D9E2F3"/>
            <w:tcMar>
              <w:top w:w="80" w:type="dxa"/>
              <w:left w:w="120" w:type="dxa"/>
              <w:bottom w:w="80" w:type="dxa"/>
              <w:right w:w="120" w:type="dxa"/>
            </w:tcMar>
            <w:vAlign w:val="center"/>
          </w:tcPr>
          <w:p w14:paraId="330AD8BB" w14:textId="77777777" w:rsidR="00DB7155" w:rsidRPr="00543450" w:rsidRDefault="00000000">
            <w:pPr>
              <w:jc w:val="center"/>
            </w:pPr>
            <w:r>
              <w:rPr>
                <w:sz w:val="18"/>
                <w:szCs w:val="18"/>
              </w:rPr>
              <w:t>100%</w:t>
            </w:r>
          </w:p>
        </w:tc>
        <w:tc>
          <w:tcPr>
            <w:tcW w:w="800" w:type="dxa"/>
            <w:tcBorders>
              <w:top w:val="single" w:sz="4" w:space="0" w:color="BFBFBF"/>
              <w:left w:val="single" w:sz="4" w:space="0" w:color="BFBFBF"/>
              <w:bottom w:val="single" w:sz="4" w:space="0" w:color="BFBFBF"/>
              <w:right w:val="single" w:sz="4" w:space="0" w:color="BFBFBF"/>
            </w:tcBorders>
            <w:shd w:val="clear" w:color="auto" w:fill="D9E2F3"/>
            <w:tcMar>
              <w:top w:w="80" w:type="dxa"/>
              <w:left w:w="120" w:type="dxa"/>
              <w:bottom w:w="80" w:type="dxa"/>
              <w:right w:w="120" w:type="dxa"/>
            </w:tcMar>
            <w:vAlign w:val="center"/>
          </w:tcPr>
          <w:p w14:paraId="422944F7" w14:textId="77777777" w:rsidR="00DB7155" w:rsidRPr="00543450" w:rsidRDefault="00000000">
            <w:pPr>
              <w:jc w:val="center"/>
            </w:pPr>
            <w:r>
              <w:rPr>
                <w:sz w:val="18"/>
                <w:szCs w:val="18"/>
              </w:rPr>
              <w:t>0.126</w:t>
            </w:r>
          </w:p>
        </w:tc>
        <w:tc>
          <w:tcPr>
            <w:tcW w:w="800" w:type="dxa"/>
            <w:tcBorders>
              <w:top w:val="single" w:sz="4" w:space="0" w:color="BFBFBF"/>
              <w:left w:val="single" w:sz="4" w:space="0" w:color="BFBFBF"/>
              <w:bottom w:val="single" w:sz="4" w:space="0" w:color="BFBFBF"/>
              <w:right w:val="single" w:sz="4" w:space="0" w:color="BFBFBF"/>
            </w:tcBorders>
            <w:shd w:val="clear" w:color="auto" w:fill="D9E2F3"/>
            <w:tcMar>
              <w:top w:w="80" w:type="dxa"/>
              <w:left w:w="120" w:type="dxa"/>
              <w:bottom w:w="80" w:type="dxa"/>
              <w:right w:w="120" w:type="dxa"/>
            </w:tcMar>
            <w:vAlign w:val="center"/>
          </w:tcPr>
          <w:p w14:paraId="44479910" w14:textId="77777777" w:rsidR="00DB7155" w:rsidRPr="00543450" w:rsidRDefault="00000000">
            <w:pPr>
              <w:jc w:val="center"/>
            </w:pPr>
            <w:r>
              <w:rPr>
                <w:sz w:val="18"/>
                <w:szCs w:val="18"/>
              </w:rPr>
              <w:t>-0.5</w:t>
            </w:r>
          </w:p>
        </w:tc>
        <w:tc>
          <w:tcPr>
            <w:tcW w:w="1080" w:type="dxa"/>
            <w:tcBorders>
              <w:top w:val="single" w:sz="4" w:space="0" w:color="BFBFBF"/>
              <w:left w:val="single" w:sz="4" w:space="0" w:color="BFBFBF"/>
              <w:bottom w:val="single" w:sz="4" w:space="0" w:color="BFBFBF"/>
              <w:right w:val="single" w:sz="4" w:space="0" w:color="BFBFBF"/>
            </w:tcBorders>
            <w:shd w:val="clear" w:color="auto" w:fill="D9E2F3"/>
            <w:tcMar>
              <w:top w:w="80" w:type="dxa"/>
              <w:left w:w="120" w:type="dxa"/>
              <w:bottom w:w="80" w:type="dxa"/>
              <w:right w:w="120" w:type="dxa"/>
            </w:tcMar>
            <w:vAlign w:val="center"/>
          </w:tcPr>
          <w:p w14:paraId="09C7D2C8" w14:textId="77777777" w:rsidR="00DB7155" w:rsidRPr="00543450" w:rsidRDefault="00000000">
            <w:pPr>
              <w:jc w:val="center"/>
            </w:pPr>
            <w:r>
              <w:rPr>
                <w:sz w:val="18"/>
                <w:szCs w:val="18"/>
              </w:rPr>
              <w:t>80.0%</w:t>
            </w:r>
          </w:p>
        </w:tc>
        <w:tc>
          <w:tcPr>
            <w:tcW w:w="1080" w:type="dxa"/>
            <w:tcBorders>
              <w:top w:val="single" w:sz="4" w:space="0" w:color="BFBFBF"/>
              <w:left w:val="single" w:sz="4" w:space="0" w:color="BFBFBF"/>
              <w:bottom w:val="single" w:sz="4" w:space="0" w:color="BFBFBF"/>
              <w:right w:val="single" w:sz="4" w:space="0" w:color="BFBFBF"/>
            </w:tcBorders>
            <w:shd w:val="clear" w:color="auto" w:fill="D9E2F3"/>
            <w:tcMar>
              <w:top w:w="80" w:type="dxa"/>
              <w:left w:w="120" w:type="dxa"/>
              <w:bottom w:w="80" w:type="dxa"/>
              <w:right w:w="120" w:type="dxa"/>
            </w:tcMar>
            <w:vAlign w:val="center"/>
          </w:tcPr>
          <w:p w14:paraId="51EDFF92" w14:textId="77777777" w:rsidR="00DB7155" w:rsidRPr="00543450" w:rsidRDefault="00000000">
            <w:pPr>
              <w:jc w:val="center"/>
            </w:pPr>
            <w:r>
              <w:rPr>
                <w:sz w:val="18"/>
                <w:szCs w:val="18"/>
              </w:rPr>
              <w:t>96.0%</w:t>
            </w:r>
          </w:p>
        </w:tc>
        <w:tc>
          <w:tcPr>
            <w:tcW w:w="1200" w:type="dxa"/>
            <w:tcBorders>
              <w:top w:val="single" w:sz="4" w:space="0" w:color="BFBFBF"/>
              <w:left w:val="single" w:sz="4" w:space="0" w:color="BFBFBF"/>
              <w:bottom w:val="single" w:sz="4" w:space="0" w:color="BFBFBF"/>
              <w:right w:val="single" w:sz="4" w:space="0" w:color="BFBFBF"/>
            </w:tcBorders>
            <w:shd w:val="clear" w:color="auto" w:fill="D9E2F3"/>
            <w:tcMar>
              <w:top w:w="80" w:type="dxa"/>
              <w:left w:w="120" w:type="dxa"/>
              <w:bottom w:w="80" w:type="dxa"/>
              <w:right w:w="120" w:type="dxa"/>
            </w:tcMar>
            <w:vAlign w:val="center"/>
          </w:tcPr>
          <w:p w14:paraId="327277BB" w14:textId="77777777" w:rsidR="00DB7155" w:rsidRPr="00543450" w:rsidRDefault="00000000">
            <w:pPr>
              <w:jc w:val="center"/>
            </w:pPr>
            <w:r>
              <w:rPr>
                <w:sz w:val="18"/>
                <w:szCs w:val="18"/>
              </w:rPr>
              <w:t>99.2%</w:t>
            </w:r>
          </w:p>
        </w:tc>
      </w:tr>
      <w:tr w:rsidR="004E69CD" w:rsidRPr="00543450" w14:paraId="083D0649" w14:textId="77777777">
        <w:tc>
          <w:tcPr>
            <w:tcW w:w="26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6DB313CF" w14:textId="77777777" w:rsidR="00DB7155" w:rsidRPr="00543450" w:rsidRDefault="00000000">
            <w:r>
              <w:rPr>
                <w:sz w:val="18"/>
                <w:szCs w:val="18"/>
              </w:rPr>
              <w:t>Demanda muy inelástica</w:t>
            </w:r>
          </w:p>
        </w:tc>
        <w:tc>
          <w:tcPr>
            <w:tcW w:w="9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0A0BEF1A" w14:textId="77777777" w:rsidR="00DB7155" w:rsidRPr="00543450" w:rsidRDefault="00000000">
            <w:pPr>
              <w:jc w:val="center"/>
            </w:pPr>
            <w:r>
              <w:rPr>
                <w:sz w:val="18"/>
                <w:szCs w:val="18"/>
              </w:rPr>
              <w:t>0.0%</w:t>
            </w:r>
          </w:p>
        </w:tc>
        <w:tc>
          <w:tcPr>
            <w:tcW w:w="9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06E07883" w14:textId="77777777" w:rsidR="00DB7155" w:rsidRPr="00543450" w:rsidRDefault="00000000">
            <w:pPr>
              <w:jc w:val="center"/>
            </w:pPr>
            <w:r>
              <w:rPr>
                <w:sz w:val="18"/>
                <w:szCs w:val="18"/>
              </w:rPr>
              <w:t>95%</w:t>
            </w:r>
          </w:p>
        </w:tc>
        <w:tc>
          <w:tcPr>
            <w:tcW w:w="8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6C7BF8AD" w14:textId="77777777" w:rsidR="00DB7155" w:rsidRPr="00543450" w:rsidRDefault="00000000">
            <w:pPr>
              <w:jc w:val="center"/>
            </w:pPr>
            <w:r>
              <w:rPr>
                <w:sz w:val="18"/>
                <w:szCs w:val="18"/>
              </w:rPr>
              <w:t>0.056</w:t>
            </w:r>
          </w:p>
        </w:tc>
        <w:tc>
          <w:tcPr>
            <w:tcW w:w="8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6B0002CD" w14:textId="77777777" w:rsidR="00DB7155" w:rsidRPr="00543450" w:rsidRDefault="00000000">
            <w:pPr>
              <w:jc w:val="center"/>
            </w:pPr>
            <w:r>
              <w:rPr>
                <w:sz w:val="18"/>
                <w:szCs w:val="18"/>
              </w:rPr>
              <w:t>-0.2</w:t>
            </w:r>
          </w:p>
        </w:tc>
        <w:tc>
          <w:tcPr>
            <w:tcW w:w="108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7A785959" w14:textId="77777777" w:rsidR="00DB7155" w:rsidRPr="00543450" w:rsidRDefault="00000000">
            <w:pPr>
              <w:jc w:val="center"/>
            </w:pPr>
            <w:r>
              <w:rPr>
                <w:sz w:val="18"/>
                <w:szCs w:val="18"/>
              </w:rPr>
              <w:t>47.5%</w:t>
            </w:r>
          </w:p>
        </w:tc>
        <w:tc>
          <w:tcPr>
            <w:tcW w:w="108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7608944E" w14:textId="77777777" w:rsidR="00DB7155" w:rsidRPr="00543450" w:rsidRDefault="00000000">
            <w:pPr>
              <w:jc w:val="center"/>
            </w:pPr>
            <w:r>
              <w:rPr>
                <w:sz w:val="18"/>
                <w:szCs w:val="18"/>
              </w:rPr>
              <w:t>71.3%</w:t>
            </w:r>
          </w:p>
        </w:tc>
        <w:tc>
          <w:tcPr>
            <w:tcW w:w="12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422E609C" w14:textId="77777777" w:rsidR="00DB7155" w:rsidRPr="00543450" w:rsidRDefault="00000000">
            <w:pPr>
              <w:jc w:val="center"/>
            </w:pPr>
            <w:r>
              <w:rPr>
                <w:sz w:val="18"/>
                <w:szCs w:val="18"/>
              </w:rPr>
              <w:t>83.1%</w:t>
            </w:r>
          </w:p>
        </w:tc>
      </w:tr>
      <w:tr w:rsidR="004E69CD" w:rsidRPr="00543450" w14:paraId="6B8DEC2A" w14:textId="77777777">
        <w:tc>
          <w:tcPr>
            <w:tcW w:w="2600" w:type="dxa"/>
            <w:tcBorders>
              <w:top w:val="single" w:sz="4" w:space="0" w:color="BFBFBF"/>
              <w:left w:val="single" w:sz="4" w:space="0" w:color="BFBFBF"/>
              <w:bottom w:val="single" w:sz="4" w:space="0" w:color="BFBFBF"/>
              <w:right w:val="single" w:sz="4" w:space="0" w:color="BFBFBF"/>
            </w:tcBorders>
            <w:shd w:val="clear" w:color="auto" w:fill="D9E2F3"/>
            <w:tcMar>
              <w:top w:w="80" w:type="dxa"/>
              <w:left w:w="120" w:type="dxa"/>
              <w:bottom w:w="80" w:type="dxa"/>
              <w:right w:w="120" w:type="dxa"/>
            </w:tcMar>
            <w:vAlign w:val="center"/>
          </w:tcPr>
          <w:p w14:paraId="2826C82E" w14:textId="77777777" w:rsidR="00DB7155" w:rsidRPr="00543450" w:rsidRDefault="00000000">
            <w:r>
              <w:rPr>
                <w:sz w:val="18"/>
                <w:szCs w:val="18"/>
              </w:rPr>
              <w:t>Demanda elástica</w:t>
            </w:r>
          </w:p>
        </w:tc>
        <w:tc>
          <w:tcPr>
            <w:tcW w:w="900" w:type="dxa"/>
            <w:tcBorders>
              <w:top w:val="single" w:sz="4" w:space="0" w:color="BFBFBF"/>
              <w:left w:val="single" w:sz="4" w:space="0" w:color="BFBFBF"/>
              <w:bottom w:val="single" w:sz="4" w:space="0" w:color="BFBFBF"/>
              <w:right w:val="single" w:sz="4" w:space="0" w:color="BFBFBF"/>
            </w:tcBorders>
            <w:shd w:val="clear" w:color="auto" w:fill="D9E2F3"/>
            <w:tcMar>
              <w:top w:w="80" w:type="dxa"/>
              <w:left w:w="120" w:type="dxa"/>
              <w:bottom w:w="80" w:type="dxa"/>
              <w:right w:w="120" w:type="dxa"/>
            </w:tcMar>
            <w:vAlign w:val="center"/>
          </w:tcPr>
          <w:p w14:paraId="72DA663F" w14:textId="77777777" w:rsidR="00DB7155" w:rsidRPr="00543450" w:rsidRDefault="00000000">
            <w:pPr>
              <w:jc w:val="center"/>
            </w:pPr>
            <w:r>
              <w:rPr>
                <w:sz w:val="18"/>
                <w:szCs w:val="18"/>
              </w:rPr>
              <w:t>0.0%</w:t>
            </w:r>
          </w:p>
        </w:tc>
        <w:tc>
          <w:tcPr>
            <w:tcW w:w="900" w:type="dxa"/>
            <w:tcBorders>
              <w:top w:val="single" w:sz="4" w:space="0" w:color="BFBFBF"/>
              <w:left w:val="single" w:sz="4" w:space="0" w:color="BFBFBF"/>
              <w:bottom w:val="single" w:sz="4" w:space="0" w:color="BFBFBF"/>
              <w:right w:val="single" w:sz="4" w:space="0" w:color="BFBFBF"/>
            </w:tcBorders>
            <w:shd w:val="clear" w:color="auto" w:fill="D9E2F3"/>
            <w:tcMar>
              <w:top w:w="80" w:type="dxa"/>
              <w:left w:w="120" w:type="dxa"/>
              <w:bottom w:w="80" w:type="dxa"/>
              <w:right w:w="120" w:type="dxa"/>
            </w:tcMar>
            <w:vAlign w:val="center"/>
          </w:tcPr>
          <w:p w14:paraId="3F91816A" w14:textId="77777777" w:rsidR="00DB7155" w:rsidRPr="00543450" w:rsidRDefault="00000000">
            <w:pPr>
              <w:jc w:val="center"/>
            </w:pPr>
            <w:r>
              <w:rPr>
                <w:sz w:val="18"/>
                <w:szCs w:val="18"/>
              </w:rPr>
              <w:t>85%</w:t>
            </w:r>
          </w:p>
        </w:tc>
        <w:tc>
          <w:tcPr>
            <w:tcW w:w="800" w:type="dxa"/>
            <w:tcBorders>
              <w:top w:val="single" w:sz="4" w:space="0" w:color="BFBFBF"/>
              <w:left w:val="single" w:sz="4" w:space="0" w:color="BFBFBF"/>
              <w:bottom w:val="single" w:sz="4" w:space="0" w:color="BFBFBF"/>
              <w:right w:val="single" w:sz="4" w:space="0" w:color="BFBFBF"/>
            </w:tcBorders>
            <w:shd w:val="clear" w:color="auto" w:fill="D9E2F3"/>
            <w:tcMar>
              <w:top w:w="80" w:type="dxa"/>
              <w:left w:w="120" w:type="dxa"/>
              <w:bottom w:w="80" w:type="dxa"/>
              <w:right w:w="120" w:type="dxa"/>
            </w:tcMar>
            <w:vAlign w:val="center"/>
          </w:tcPr>
          <w:p w14:paraId="4C1E832B" w14:textId="77777777" w:rsidR="00DB7155" w:rsidRPr="00543450" w:rsidRDefault="00000000">
            <w:pPr>
              <w:jc w:val="center"/>
            </w:pPr>
            <w:r>
              <w:rPr>
                <w:sz w:val="18"/>
                <w:szCs w:val="18"/>
              </w:rPr>
              <w:t>0.056</w:t>
            </w:r>
          </w:p>
        </w:tc>
        <w:tc>
          <w:tcPr>
            <w:tcW w:w="800" w:type="dxa"/>
            <w:tcBorders>
              <w:top w:val="single" w:sz="4" w:space="0" w:color="BFBFBF"/>
              <w:left w:val="single" w:sz="4" w:space="0" w:color="BFBFBF"/>
              <w:bottom w:val="single" w:sz="4" w:space="0" w:color="BFBFBF"/>
              <w:right w:val="single" w:sz="4" w:space="0" w:color="BFBFBF"/>
            </w:tcBorders>
            <w:shd w:val="clear" w:color="auto" w:fill="D9E2F3"/>
            <w:tcMar>
              <w:top w:w="80" w:type="dxa"/>
              <w:left w:w="120" w:type="dxa"/>
              <w:bottom w:w="80" w:type="dxa"/>
              <w:right w:w="120" w:type="dxa"/>
            </w:tcMar>
            <w:vAlign w:val="center"/>
          </w:tcPr>
          <w:p w14:paraId="499AE349" w14:textId="77777777" w:rsidR="00DB7155" w:rsidRPr="00543450" w:rsidRDefault="00000000">
            <w:pPr>
              <w:jc w:val="center"/>
            </w:pPr>
            <w:r>
              <w:rPr>
                <w:sz w:val="18"/>
                <w:szCs w:val="18"/>
              </w:rPr>
              <w:t>-1.0</w:t>
            </w:r>
          </w:p>
        </w:tc>
        <w:tc>
          <w:tcPr>
            <w:tcW w:w="1080" w:type="dxa"/>
            <w:tcBorders>
              <w:top w:val="single" w:sz="4" w:space="0" w:color="BFBFBF"/>
              <w:left w:val="single" w:sz="4" w:space="0" w:color="BFBFBF"/>
              <w:bottom w:val="single" w:sz="4" w:space="0" w:color="BFBFBF"/>
              <w:right w:val="single" w:sz="4" w:space="0" w:color="BFBFBF"/>
            </w:tcBorders>
            <w:shd w:val="clear" w:color="auto" w:fill="D9E2F3"/>
            <w:tcMar>
              <w:top w:w="80" w:type="dxa"/>
              <w:left w:w="120" w:type="dxa"/>
              <w:bottom w:w="80" w:type="dxa"/>
              <w:right w:w="120" w:type="dxa"/>
            </w:tcMar>
            <w:vAlign w:val="center"/>
          </w:tcPr>
          <w:p w14:paraId="560E391E" w14:textId="77777777" w:rsidR="00DB7155" w:rsidRPr="00543450" w:rsidRDefault="00000000">
            <w:pPr>
              <w:jc w:val="center"/>
            </w:pPr>
            <w:r>
              <w:rPr>
                <w:sz w:val="18"/>
                <w:szCs w:val="18"/>
              </w:rPr>
              <w:t>42.5%</w:t>
            </w:r>
          </w:p>
        </w:tc>
        <w:tc>
          <w:tcPr>
            <w:tcW w:w="1080" w:type="dxa"/>
            <w:tcBorders>
              <w:top w:val="single" w:sz="4" w:space="0" w:color="BFBFBF"/>
              <w:left w:val="single" w:sz="4" w:space="0" w:color="BFBFBF"/>
              <w:bottom w:val="single" w:sz="4" w:space="0" w:color="BFBFBF"/>
              <w:right w:val="single" w:sz="4" w:space="0" w:color="BFBFBF"/>
            </w:tcBorders>
            <w:shd w:val="clear" w:color="auto" w:fill="D9E2F3"/>
            <w:tcMar>
              <w:top w:w="80" w:type="dxa"/>
              <w:left w:w="120" w:type="dxa"/>
              <w:bottom w:w="80" w:type="dxa"/>
              <w:right w:w="120" w:type="dxa"/>
            </w:tcMar>
            <w:vAlign w:val="center"/>
          </w:tcPr>
          <w:p w14:paraId="7AB20651" w14:textId="77777777" w:rsidR="00DB7155" w:rsidRPr="00543450" w:rsidRDefault="00000000">
            <w:pPr>
              <w:jc w:val="center"/>
            </w:pPr>
            <w:r>
              <w:rPr>
                <w:sz w:val="18"/>
                <w:szCs w:val="18"/>
              </w:rPr>
              <w:t>63.8%</w:t>
            </w:r>
          </w:p>
        </w:tc>
        <w:tc>
          <w:tcPr>
            <w:tcW w:w="1200" w:type="dxa"/>
            <w:tcBorders>
              <w:top w:val="single" w:sz="4" w:space="0" w:color="BFBFBF"/>
              <w:left w:val="single" w:sz="4" w:space="0" w:color="BFBFBF"/>
              <w:bottom w:val="single" w:sz="4" w:space="0" w:color="BFBFBF"/>
              <w:right w:val="single" w:sz="4" w:space="0" w:color="BFBFBF"/>
            </w:tcBorders>
            <w:shd w:val="clear" w:color="auto" w:fill="D9E2F3"/>
            <w:tcMar>
              <w:top w:w="80" w:type="dxa"/>
              <w:left w:w="120" w:type="dxa"/>
              <w:bottom w:w="80" w:type="dxa"/>
              <w:right w:w="120" w:type="dxa"/>
            </w:tcMar>
            <w:vAlign w:val="center"/>
          </w:tcPr>
          <w:p w14:paraId="1AA94A23" w14:textId="77777777" w:rsidR="00DB7155" w:rsidRPr="00543450" w:rsidRDefault="00000000">
            <w:pPr>
              <w:jc w:val="center"/>
            </w:pPr>
            <w:r>
              <w:rPr>
                <w:sz w:val="18"/>
                <w:szCs w:val="18"/>
              </w:rPr>
              <w:t>74.4%</w:t>
            </w:r>
          </w:p>
        </w:tc>
      </w:tr>
    </w:tbl>
    <w:p w14:paraId="3EAA0417" w14:textId="77777777" w:rsidR="00DB7155" w:rsidRPr="00543450" w:rsidRDefault="00000000">
      <w:pPr>
        <w:spacing w:before="60" w:after="160"/>
        <w:jc w:val="center"/>
      </w:pPr>
      <w:r>
        <w:rPr>
          <w:i/>
          <w:iCs/>
          <w:sz w:val="18"/>
          <w:szCs w:val="18"/>
        </w:rPr>
        <w:t>Fuente: Modelo de absorción de mercado. Elaboración propia.</w:t>
      </w:r>
    </w:p>
    <w:p w14:paraId="1B6BB183" w14:textId="77777777" w:rsidR="00DB7155" w:rsidRPr="00543450" w:rsidRDefault="00DB7155">
      <w:pPr>
        <w:spacing w:before="80" w:after="80"/>
      </w:pPr>
    </w:p>
    <w:p w14:paraId="0D85A930" w14:textId="77777777" w:rsidR="00DB7155" w:rsidRPr="00543450" w:rsidRDefault="00000000">
      <w:pPr>
        <w:spacing w:before="100" w:after="100" w:line="276" w:lineRule="auto"/>
        <w:jc w:val="both"/>
      </w:pPr>
      <w:r>
        <w:t>Los resultados del modelo, bajo cinco escenarios de sensibilidad con diferentes supuestos de elasticidad, arrojan los siguientes hallazgos:</w:t>
      </w:r>
    </w:p>
    <w:p w14:paraId="5BB84B8F" w14:textId="77777777" w:rsidR="00DB7155" w:rsidRPr="00543450" w:rsidRDefault="00DB7155">
      <w:pPr>
        <w:spacing w:before="80" w:after="80"/>
      </w:pPr>
    </w:p>
    <w:p w14:paraId="4837A4D6" w14:textId="77777777" w:rsidR="00DB7155" w:rsidRPr="00543450" w:rsidRDefault="00000000">
      <w:pPr>
        <w:pStyle w:val="ListParagraph"/>
        <w:numPr>
          <w:ilvl w:val="0"/>
          <w:numId w:val="2"/>
        </w:numPr>
        <w:spacing w:before="80" w:after="80"/>
        <w:rPr>
          <w:lang w:val="es-DO"/>
        </w:rPr>
      </w:pPr>
      <w:r>
        <w:rPr>
          <w:lang w:val="es-DO"/>
        </w:rPr>
        <w:t xml:space="preserve">En el </w:t>
      </w:r>
      <w:r>
        <w:rPr>
          <w:b/>
          <w:bCs/>
          <w:lang w:val="es-DO"/>
        </w:rPr>
        <w:t>escenario base (referencia),</w:t>
      </w:r>
      <w:r>
        <w:rPr>
          <w:lang w:val="es-DO"/>
        </w:rPr>
        <w:t xml:space="preserve"> China alcanzaría aproximadamente 45% del mercado en 12 meses, 67.5% en 24 meses y 78.8% en 36 meses, partiendo de una participación inicial de 0% en 2025.</w:t>
      </w:r>
    </w:p>
    <w:p w14:paraId="19BB7133" w14:textId="65CC1ECA" w:rsidR="00DB7155" w:rsidRPr="00543450" w:rsidRDefault="00000000">
      <w:pPr>
        <w:pStyle w:val="ListParagraph"/>
        <w:numPr>
          <w:ilvl w:val="0"/>
          <w:numId w:val="2"/>
        </w:numPr>
        <w:spacing w:before="80" w:after="80"/>
        <w:rPr>
          <w:lang w:val="es-DO"/>
        </w:rPr>
      </w:pPr>
      <w:r>
        <w:rPr>
          <w:lang w:val="es-DO"/>
        </w:rPr>
        <w:t xml:space="preserve">En el </w:t>
      </w:r>
      <w:r>
        <w:rPr>
          <w:b/>
          <w:bCs/>
          <w:lang w:val="es-DO"/>
        </w:rPr>
        <w:t>escenario conservador de baja sustitución</w:t>
      </w:r>
      <w:r>
        <w:rPr>
          <w:lang w:val="es-DO"/>
        </w:rPr>
        <w:t>, que refleja mayores fricciones en el cambio de proveedor, la penetración es más gradual pero igualmente significativa: 25.5% en 12 meses, 43.4% en 24 meses y 55.9% en 36 meses. Este es el supuesto utilizado en el Escenario B de la sección anterior.</w:t>
      </w:r>
    </w:p>
    <w:p w14:paraId="46F261A2" w14:textId="61CEACDC" w:rsidR="00DB7155" w:rsidRPr="00543450" w:rsidRDefault="00000000">
      <w:pPr>
        <w:pStyle w:val="ListParagraph"/>
        <w:numPr>
          <w:ilvl w:val="0"/>
          <w:numId w:val="2"/>
        </w:numPr>
        <w:spacing w:before="80" w:after="80"/>
        <w:rPr>
          <w:lang w:val="es-DO"/>
        </w:rPr>
      </w:pPr>
      <w:r>
        <w:rPr>
          <w:lang w:val="es-DO"/>
        </w:rPr>
        <w:lastRenderedPageBreak/>
        <w:t xml:space="preserve">En el </w:t>
      </w:r>
      <w:r>
        <w:rPr>
          <w:b/>
          <w:bCs/>
          <w:lang w:val="es-DO"/>
        </w:rPr>
        <w:t>escenario de alta sustitución</w:t>
      </w:r>
      <w:r>
        <w:rPr>
          <w:lang w:val="es-DO"/>
        </w:rPr>
        <w:t>, que refleja la elevada intercambiabilidad del producto documentada en la literatura (elasticidad de sustitución entre 4 y 6 según la USITC), China alcanzaría una participación de 80% en 12 meses y prácticamente la totalidad del mercado en 36 meses.</w:t>
      </w:r>
    </w:p>
    <w:p w14:paraId="7D15FA93" w14:textId="08E09519" w:rsidR="00DB7155" w:rsidRPr="00543450" w:rsidRDefault="00000000" w:rsidP="004E69CD">
      <w:pPr>
        <w:pStyle w:val="ListParagraph"/>
        <w:numPr>
          <w:ilvl w:val="0"/>
          <w:numId w:val="2"/>
        </w:numPr>
        <w:spacing w:before="80" w:after="80"/>
        <w:rPr>
          <w:lang w:val="es-DO"/>
        </w:rPr>
      </w:pPr>
      <w:r>
        <w:rPr>
          <w:lang w:val="es-DO"/>
        </w:rPr>
        <w:t>Las variaciones en la elasticidad-precio de la demanda (inelástica vs. elástica) tienen un efecto más moderado sobre la velocidad de penetración, confirmando que el principal mecanismo de desplazamiento es la sustitución entre orígenes y no el crecimiento del mercado total.</w:t>
      </w:r>
    </w:p>
    <w:p w14:paraId="4F3AE37F" w14:textId="77777777" w:rsidR="00DB7155" w:rsidRPr="00543450" w:rsidRDefault="00000000">
      <w:pPr>
        <w:spacing w:before="100" w:after="100" w:line="276" w:lineRule="auto"/>
        <w:jc w:val="both"/>
      </w:pPr>
      <w:r>
        <w:t>En todos los escenarios analizados, China alcanzaría una participación dominante del mercado dominicano en un horizonte de tres años, lo que confirma la plausibilidad de los impactos proyectados sobre la RPN en los Escenarios A y B. Es importante subrayar que este modelo no constituye una proyección puntual del comportamiento futuro del mercado, sino un ejercicio de capacidad potencial de absorción orientado a evaluar la magnitud del riesgo ante la supresión de la medida.</w:t>
      </w:r>
    </w:p>
    <w:p w14:paraId="21364FFD" w14:textId="77777777" w:rsidR="00DB7155" w:rsidRPr="00543450" w:rsidRDefault="00DB7155">
      <w:pPr>
        <w:spacing w:before="80" w:after="80"/>
      </w:pPr>
    </w:p>
    <w:p w14:paraId="672BC2C7" w14:textId="77777777" w:rsidR="004E69CD" w:rsidRPr="00543450" w:rsidRDefault="004E69CD">
      <w:pPr>
        <w:rPr>
          <w:b/>
          <w:bCs/>
          <w:sz w:val="28"/>
          <w:szCs w:val="28"/>
        </w:rPr>
      </w:pPr>
      <w:r>
        <w:br w:type="page"/>
      </w:r>
    </w:p>
    <w:p w14:paraId="3BA75003" w14:textId="3D8D0CAB" w:rsidR="00DB7155" w:rsidRPr="00543450" w:rsidRDefault="00000000">
      <w:pPr>
        <w:pStyle w:val="Heading1"/>
        <w:rPr>
          <w:color w:val="auto"/>
          <w:lang w:val="es-DO"/>
        </w:rPr>
      </w:pPr>
      <w:r>
        <w:rPr>
          <w:color w:val="auto"/>
          <w:lang w:val="es-DO"/>
        </w:rPr>
        <w:lastRenderedPageBreak/>
        <w:t>VI. Conclusión: Determinación de Amenaza de Daño</w:t>
      </w:r>
    </w:p>
    <w:p w14:paraId="7408B026" w14:textId="0F02C9B4" w:rsidR="00DB7155" w:rsidRPr="00543450" w:rsidRDefault="00000000" w:rsidP="004E69CD">
      <w:pPr>
        <w:spacing w:before="100" w:after="100" w:line="276" w:lineRule="auto"/>
        <w:jc w:val="both"/>
      </w:pPr>
      <w:r>
        <w:t>El análisis desarrollado en las secciones precedentes permite formular una conclusión fundada sobre la existencia de una amenaza de daño real e inminente a la Rama de Producción Nacional en caso de supresión de las medidas antidumping vigentes sobre las importaciones de varillas de acero originarias de la República Popular China.</w:t>
      </w:r>
    </w:p>
    <w:p w14:paraId="0A008FC1" w14:textId="7900A5BA" w:rsidR="00DB7155" w:rsidRPr="00543450" w:rsidRDefault="00000000" w:rsidP="004E69CD">
      <w:pPr>
        <w:spacing w:before="100" w:after="100" w:line="276" w:lineRule="auto"/>
        <w:jc w:val="both"/>
      </w:pPr>
      <w:r>
        <w:t>Los elementos que sustentan esta conclusión son los siguientes:</w:t>
      </w:r>
    </w:p>
    <w:p w14:paraId="5297A5FF" w14:textId="3CA3CB40" w:rsidR="00DB7155" w:rsidRPr="00543450" w:rsidRDefault="00000000">
      <w:pPr>
        <w:pStyle w:val="ListParagraph"/>
        <w:numPr>
          <w:ilvl w:val="0"/>
          <w:numId w:val="2"/>
        </w:numPr>
        <w:spacing w:before="80" w:after="80"/>
        <w:rPr>
          <w:lang w:val="es-DO"/>
        </w:rPr>
      </w:pPr>
      <w:r>
        <w:rPr>
          <w:lang w:val="es-DO"/>
        </w:rPr>
        <w:t>La supresión de las medidas generaría, bajo cualquiera de los dos escenarios alternativos analizados, un deterioro significativo y estructural de los indicadores económicos de la RPN. Bajo el Escenario A, la empresa incurriría en pérdidas operativas, incompatibles con su viabilidad financiera. Bajo el Escenario B, perdería más del 40% de su participación de mercado en tres años, siendo desplazada como primer proveedor del mercado dominicano.</w:t>
      </w:r>
    </w:p>
    <w:p w14:paraId="1EC7FB09" w14:textId="6AF285F1" w:rsidR="00DB7155" w:rsidRPr="00543450" w:rsidRDefault="00000000">
      <w:pPr>
        <w:pStyle w:val="ListParagraph"/>
        <w:numPr>
          <w:ilvl w:val="0"/>
          <w:numId w:val="2"/>
        </w:numPr>
        <w:spacing w:before="80" w:after="80"/>
        <w:rPr>
          <w:lang w:val="es-DO"/>
        </w:rPr>
      </w:pPr>
      <w:r>
        <w:rPr>
          <w:lang w:val="es-DO"/>
        </w:rPr>
        <w:t xml:space="preserve">La ventaja de precio de las importaciones chinas, estimada en aproximadamente 25% por debajo del precio de la producción nacional, combinada con la naturaleza homogénea del producto, crea condiciones estructurales para que el impacto sea rápido y de gran magnitud. El modelo de absorción confirma que, incluso bajo el supuesto más conservador (baja sustitución), </w:t>
      </w:r>
      <w:r>
        <w:rPr>
          <w:b/>
          <w:bCs/>
          <w:lang w:val="es-DO"/>
        </w:rPr>
        <w:t>China superaría el 55%</w:t>
      </w:r>
      <w:r>
        <w:rPr>
          <w:lang w:val="es-DO"/>
        </w:rPr>
        <w:t xml:space="preserve"> del mercado en tres años.</w:t>
      </w:r>
    </w:p>
    <w:p w14:paraId="78F6421C" w14:textId="77777777" w:rsidR="00DB7155" w:rsidRPr="00543450" w:rsidRDefault="00000000">
      <w:pPr>
        <w:pStyle w:val="ListParagraph"/>
        <w:numPr>
          <w:ilvl w:val="0"/>
          <w:numId w:val="2"/>
        </w:numPr>
        <w:spacing w:before="80" w:after="80"/>
        <w:rPr>
          <w:lang w:val="es-DO"/>
        </w:rPr>
      </w:pPr>
      <w:r>
        <w:rPr>
          <w:lang w:val="es-DO"/>
        </w:rPr>
        <w:t>La magnitud del cambio proyectado es claramente previsible e inminente, dado que responde a factores estructurales ya presentes: la ventaja de precio de China, su capacidad exportadora en expansión acelerada y la ausencia de diferenciación significativa en el producto.</w:t>
      </w:r>
    </w:p>
    <w:p w14:paraId="1A533512" w14:textId="77777777" w:rsidR="00DB7155" w:rsidRPr="00543450" w:rsidRDefault="00000000">
      <w:pPr>
        <w:pStyle w:val="ListParagraph"/>
        <w:numPr>
          <w:ilvl w:val="0"/>
          <w:numId w:val="2"/>
        </w:numPr>
        <w:spacing w:before="80" w:after="80"/>
        <w:rPr>
          <w:lang w:val="es-DO"/>
        </w:rPr>
      </w:pPr>
      <w:r>
        <w:rPr>
          <w:lang w:val="es-DO"/>
        </w:rPr>
        <w:t>La convergencia de resultados adversos bajo hipótesis de comportamiento alternativas refuerza la solidez de la determinación: la amenaza de daño no depende de un escenario especifico, sino que es robusta a distintas respuestas competitivas de la RPN.</w:t>
      </w:r>
    </w:p>
    <w:sectPr w:rsidR="00DB7155" w:rsidRPr="00543450">
      <w:pgSz w:w="12240" w:h="15840"/>
      <w:pgMar w:top="1440" w:right="126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3AD6D" w14:textId="77777777" w:rsidR="007648AB" w:rsidRDefault="007648AB" w:rsidP="00AE73BE">
      <w:r>
        <w:separator/>
      </w:r>
    </w:p>
  </w:endnote>
  <w:endnote w:type="continuationSeparator" w:id="0">
    <w:p w14:paraId="76D1C8B6" w14:textId="77777777" w:rsidR="007648AB" w:rsidRDefault="007648AB" w:rsidP="00AE7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D9764" w14:textId="77777777" w:rsidR="007648AB" w:rsidRDefault="007648AB" w:rsidP="00AE73BE">
      <w:r>
        <w:separator/>
      </w:r>
    </w:p>
  </w:footnote>
  <w:footnote w:type="continuationSeparator" w:id="0">
    <w:p w14:paraId="502D4F0E" w14:textId="77777777" w:rsidR="007648AB" w:rsidRDefault="007648AB" w:rsidP="00AE73BE">
      <w:r>
        <w:continuationSeparator/>
      </w:r>
    </w:p>
  </w:footnote>
  <w:footnote w:id="1">
    <w:p w14:paraId="0DC17DB8" w14:textId="77777777" w:rsidR="00AE73BE" w:rsidRDefault="00AE73BE" w:rsidP="00AE73BE">
      <w:pPr>
        <w:rPr>
          <w:sz w:val="16"/>
          <w:szCs w:val="16"/>
          <w:lang w:val="es-MX"/>
        </w:rPr>
      </w:pPr>
      <w:r>
        <w:rPr>
          <w:rStyle w:val="FootnoteReference"/>
        </w:rPr>
        <w:footnoteRef/>
      </w:r>
      <w:r>
        <w:t xml:space="preserve"> </w:t>
      </w:r>
      <w:r w:rsidRPr="00483AA4">
        <w:rPr>
          <w:sz w:val="16"/>
          <w:szCs w:val="16"/>
          <w:lang w:val="es-MX"/>
        </w:rPr>
        <w:t>DECLARACION DE CONFIDENCIALIDAD</w:t>
      </w:r>
    </w:p>
    <w:p w14:paraId="5300A5A7" w14:textId="77777777" w:rsidR="00AE73BE" w:rsidRPr="00483AA4" w:rsidRDefault="00AE73BE" w:rsidP="00AE73BE">
      <w:pPr>
        <w:rPr>
          <w:sz w:val="16"/>
          <w:szCs w:val="16"/>
          <w:lang w:val="es-MX"/>
        </w:rPr>
      </w:pPr>
    </w:p>
    <w:p w14:paraId="5ADFDF25" w14:textId="77777777" w:rsidR="00AE73BE" w:rsidRDefault="00AE73BE" w:rsidP="00AE73BE">
      <w:pPr>
        <w:rPr>
          <w:sz w:val="16"/>
          <w:szCs w:val="16"/>
          <w:lang w:val="es-MX"/>
        </w:rPr>
      </w:pPr>
      <w:r w:rsidRPr="00483AA4">
        <w:rPr>
          <w:sz w:val="16"/>
          <w:szCs w:val="16"/>
          <w:lang w:val="es-MX"/>
        </w:rPr>
        <w:t>De conformidad con los Artículos 18 inciso 14) del Reglamento la información de carácter confidencial es aquella cuya divulgación implicaría una ventaja significativa para un competidor o tendría un efecto significativamente desfavorable para la persona que proporcione la información o para un tercero del que esta última la haya recibido</w:t>
      </w:r>
    </w:p>
    <w:p w14:paraId="5980625C" w14:textId="77777777" w:rsidR="00AE73BE" w:rsidRPr="00483AA4" w:rsidRDefault="00AE73BE" w:rsidP="00AE73BE">
      <w:pPr>
        <w:rPr>
          <w:sz w:val="16"/>
          <w:szCs w:val="16"/>
          <w:lang w:val="es-MX"/>
        </w:rPr>
      </w:pPr>
    </w:p>
    <w:p w14:paraId="2D4A4E0C" w14:textId="77777777" w:rsidR="00AE73BE" w:rsidRPr="00AE73BE" w:rsidRDefault="00AE73BE" w:rsidP="00AE73BE">
      <w:pPr>
        <w:pStyle w:val="FootnoteText"/>
        <w:rPr>
          <w:lang w:val="es-DO"/>
        </w:rPr>
      </w:pPr>
      <w:r w:rsidRPr="00483AA4">
        <w:rPr>
          <w:sz w:val="16"/>
          <w:szCs w:val="16"/>
          <w:lang w:val="es-ES"/>
        </w:rPr>
        <w:t>LA INFORMACION CONTENIDA EN ESTE DATO/ANEXO ES CONSIDERADA INFORMACION CONFIDENCIAL DE ACUERDO AL ARTICULO 6.5 DEL ACUERDO ANTIDUMPING 12.4 DEL ACUERDO DE SUBVENCIONES Y MEDIDAS COMPENSATORIAS, DEBIDO A QUE SU DIVULGACION IMPLICARIA UNA VENTAJA SIGNIFICATIVA PARA UN COMPETIDOR, ADEMAS DE CAUSAR UN DAŇO FINANCIERO SUSTANCIAL E IRREVERSIBLE PARA NUESTRA EMPRESA. SE HA MULTIPLICADO POR UN NUMERO MENOR O IGUAL A 100 PARA FACILITAR LA LECTURA.</w:t>
      </w:r>
    </w:p>
  </w:footnote>
  <w:footnote w:id="2">
    <w:p w14:paraId="76629E19" w14:textId="77777777" w:rsidR="00AE73BE" w:rsidRDefault="00AE73BE" w:rsidP="00AE73BE">
      <w:pPr>
        <w:rPr>
          <w:sz w:val="16"/>
          <w:szCs w:val="16"/>
          <w:lang w:val="es-MX"/>
        </w:rPr>
      </w:pPr>
      <w:r>
        <w:rPr>
          <w:rStyle w:val="FootnoteReference"/>
        </w:rPr>
        <w:footnoteRef/>
      </w:r>
      <w:r>
        <w:t xml:space="preserve"> </w:t>
      </w:r>
      <w:r w:rsidRPr="00483AA4">
        <w:rPr>
          <w:sz w:val="16"/>
          <w:szCs w:val="16"/>
          <w:lang w:val="es-MX"/>
        </w:rPr>
        <w:t>DECLARACION DE CONFIDENCIALIDAD</w:t>
      </w:r>
    </w:p>
    <w:p w14:paraId="2AF15F16" w14:textId="77777777" w:rsidR="00AE73BE" w:rsidRPr="00483AA4" w:rsidRDefault="00AE73BE" w:rsidP="00AE73BE">
      <w:pPr>
        <w:rPr>
          <w:sz w:val="16"/>
          <w:szCs w:val="16"/>
          <w:lang w:val="es-MX"/>
        </w:rPr>
      </w:pPr>
    </w:p>
    <w:p w14:paraId="40582D60" w14:textId="77777777" w:rsidR="00AE73BE" w:rsidRDefault="00AE73BE" w:rsidP="00AE73BE">
      <w:pPr>
        <w:rPr>
          <w:sz w:val="16"/>
          <w:szCs w:val="16"/>
          <w:lang w:val="es-MX"/>
        </w:rPr>
      </w:pPr>
      <w:r w:rsidRPr="00483AA4">
        <w:rPr>
          <w:sz w:val="16"/>
          <w:szCs w:val="16"/>
          <w:lang w:val="es-MX"/>
        </w:rPr>
        <w:t>De conformidad con los Artículos 18 inciso 14) del Reglamento la información de carácter confidencial es aquella cuya divulgación implicaría una ventaja significativa para un competidor o tendría un efecto significativamente desfavorable para la persona que proporcione la información o para un tercero del que esta última la haya recibido</w:t>
      </w:r>
    </w:p>
    <w:p w14:paraId="1D8B6EF4" w14:textId="77777777" w:rsidR="00AE73BE" w:rsidRPr="00483AA4" w:rsidRDefault="00AE73BE" w:rsidP="00AE73BE">
      <w:pPr>
        <w:rPr>
          <w:sz w:val="16"/>
          <w:szCs w:val="16"/>
          <w:lang w:val="es-MX"/>
        </w:rPr>
      </w:pPr>
    </w:p>
    <w:p w14:paraId="35F2C4FD" w14:textId="092C588A" w:rsidR="00AE73BE" w:rsidRPr="00AE73BE" w:rsidRDefault="00AE73BE" w:rsidP="00AE73BE">
      <w:pPr>
        <w:pStyle w:val="FootnoteText"/>
        <w:rPr>
          <w:lang w:val="es-DO"/>
        </w:rPr>
      </w:pPr>
      <w:r w:rsidRPr="00483AA4">
        <w:rPr>
          <w:sz w:val="16"/>
          <w:szCs w:val="16"/>
          <w:lang w:val="es-ES"/>
        </w:rPr>
        <w:t>LA INFORMACION CONTENIDA EN ESTE DATO/ANEXO ES CONSIDERADA INFORMACION CONFIDENCIAL DE ACUERDO AL ARTICULO 6.5 DEL ACUERDO ANTIDUMPING 12.4 DEL ACUERDO DE SUBVENCIONES Y MEDIDAS COMPENSATORIAS, DEBIDO A QUE SU DIVULGACION IMPLICARIA UNA VENTAJA SIGNIFICATIVA PARA UN COMPETIDOR, ADEMAS DE CAUSAR UN DAŇO FINANCIERO SUSTANCIAL E IRREVERSIBLE PARA NUESTRA EMPRESA.</w:t>
      </w:r>
    </w:p>
  </w:footnote>
  <w:footnote w:id="3">
    <w:p w14:paraId="0684440B" w14:textId="596DDCD2" w:rsidR="00AE73BE" w:rsidRDefault="00AE73BE">
      <w:pPr>
        <w:pStyle w:val="FootnoteText"/>
      </w:pPr>
      <w:r>
        <w:rPr>
          <w:rStyle w:val="FootnoteReference"/>
        </w:rPr>
        <w:footnoteRef/>
      </w:r>
      <w:r>
        <w:t xml:space="preserve"> Ver nota 1</w:t>
      </w:r>
    </w:p>
  </w:footnote>
  <w:footnote w:id="4">
    <w:p w14:paraId="07CE2997" w14:textId="58CD8008" w:rsidR="00AE73BE" w:rsidRDefault="00AE73BE">
      <w:pPr>
        <w:pStyle w:val="FootnoteText"/>
      </w:pPr>
      <w:r>
        <w:rPr>
          <w:rStyle w:val="FootnoteReference"/>
        </w:rPr>
        <w:footnoteRef/>
      </w:r>
      <w:r>
        <w:t xml:space="preserve"> Ver nota 1</w:t>
      </w:r>
    </w:p>
  </w:footnote>
  <w:footnote w:id="5">
    <w:p w14:paraId="7524B5B8" w14:textId="1C5C5634" w:rsidR="00AE73BE" w:rsidRDefault="00AE73BE">
      <w:pPr>
        <w:pStyle w:val="FootnoteText"/>
      </w:pPr>
      <w:r>
        <w:rPr>
          <w:rStyle w:val="FootnoteReference"/>
        </w:rPr>
        <w:footnoteRef/>
      </w:r>
      <w:r>
        <w:t xml:space="preserve"> Ver nota 1</w:t>
      </w:r>
    </w:p>
  </w:footnote>
  <w:footnote w:id="6">
    <w:p w14:paraId="1A3D85C8" w14:textId="3D38611F" w:rsidR="00AE73BE" w:rsidRDefault="00AE73BE">
      <w:pPr>
        <w:pStyle w:val="FootnoteText"/>
      </w:pPr>
      <w:r>
        <w:rPr>
          <w:rStyle w:val="FootnoteReference"/>
        </w:rPr>
        <w:footnoteRef/>
      </w:r>
      <w:r>
        <w:t xml:space="preserve"> Ver nota 1</w:t>
      </w:r>
    </w:p>
  </w:footnote>
  <w:footnote w:id="7">
    <w:p w14:paraId="1A325718" w14:textId="3C515759" w:rsidR="00AE73BE" w:rsidRDefault="00AE73BE">
      <w:pPr>
        <w:pStyle w:val="FootnoteText"/>
      </w:pPr>
      <w:r>
        <w:rPr>
          <w:rStyle w:val="FootnoteReference"/>
        </w:rPr>
        <w:footnoteRef/>
      </w:r>
      <w:r>
        <w:t xml:space="preserve"> Ver nota 1</w:t>
      </w:r>
    </w:p>
  </w:footnote>
  <w:footnote w:id="8">
    <w:p w14:paraId="28BDE96F" w14:textId="6E6281B8" w:rsidR="00AE73BE" w:rsidRDefault="00AE73BE">
      <w:pPr>
        <w:pStyle w:val="FootnoteText"/>
      </w:pPr>
      <w:r>
        <w:rPr>
          <w:rStyle w:val="FootnoteReference"/>
        </w:rPr>
        <w:footnoteRef/>
      </w:r>
      <w:r>
        <w:t xml:space="preserve"> Ver nota 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52216"/>
    <w:multiLevelType w:val="hybridMultilevel"/>
    <w:tmpl w:val="AB94C28C"/>
    <w:lvl w:ilvl="0" w:tplc="2E76AE78">
      <w:start w:val="1"/>
      <w:numFmt w:val="bullet"/>
      <w:lvlText w:val="•"/>
      <w:lvlJc w:val="left"/>
      <w:pPr>
        <w:ind w:left="720" w:hanging="360"/>
      </w:pPr>
    </w:lvl>
    <w:lvl w:ilvl="1" w:tplc="A898441E">
      <w:numFmt w:val="decimal"/>
      <w:lvlText w:val=""/>
      <w:lvlJc w:val="left"/>
    </w:lvl>
    <w:lvl w:ilvl="2" w:tplc="A128154C">
      <w:numFmt w:val="decimal"/>
      <w:lvlText w:val=""/>
      <w:lvlJc w:val="left"/>
    </w:lvl>
    <w:lvl w:ilvl="3" w:tplc="8A9CE270">
      <w:numFmt w:val="decimal"/>
      <w:lvlText w:val=""/>
      <w:lvlJc w:val="left"/>
    </w:lvl>
    <w:lvl w:ilvl="4" w:tplc="A29A5FDA">
      <w:numFmt w:val="decimal"/>
      <w:lvlText w:val=""/>
      <w:lvlJc w:val="left"/>
    </w:lvl>
    <w:lvl w:ilvl="5" w:tplc="CAC20F5C">
      <w:numFmt w:val="decimal"/>
      <w:lvlText w:val=""/>
      <w:lvlJc w:val="left"/>
    </w:lvl>
    <w:lvl w:ilvl="6" w:tplc="C276E34C">
      <w:numFmt w:val="decimal"/>
      <w:lvlText w:val=""/>
      <w:lvlJc w:val="left"/>
    </w:lvl>
    <w:lvl w:ilvl="7" w:tplc="672A269C">
      <w:numFmt w:val="decimal"/>
      <w:lvlText w:val=""/>
      <w:lvlJc w:val="left"/>
    </w:lvl>
    <w:lvl w:ilvl="8" w:tplc="B662640C">
      <w:numFmt w:val="decimal"/>
      <w:lvlText w:val=""/>
      <w:lvlJc w:val="left"/>
    </w:lvl>
  </w:abstractNum>
  <w:abstractNum w:abstractNumId="1" w15:restartNumberingAfterBreak="0">
    <w:nsid w:val="7A957BCD"/>
    <w:multiLevelType w:val="hybridMultilevel"/>
    <w:tmpl w:val="661A8CB8"/>
    <w:lvl w:ilvl="0" w:tplc="0BECE072">
      <w:start w:val="1"/>
      <w:numFmt w:val="bullet"/>
      <w:lvlText w:val="●"/>
      <w:lvlJc w:val="left"/>
      <w:pPr>
        <w:ind w:left="720" w:hanging="360"/>
      </w:pPr>
    </w:lvl>
    <w:lvl w:ilvl="1" w:tplc="29EA7770">
      <w:start w:val="1"/>
      <w:numFmt w:val="bullet"/>
      <w:lvlText w:val="○"/>
      <w:lvlJc w:val="left"/>
      <w:pPr>
        <w:ind w:left="1440" w:hanging="360"/>
      </w:pPr>
    </w:lvl>
    <w:lvl w:ilvl="2" w:tplc="7FFC685C">
      <w:start w:val="1"/>
      <w:numFmt w:val="bullet"/>
      <w:lvlText w:val="■"/>
      <w:lvlJc w:val="left"/>
      <w:pPr>
        <w:ind w:left="2160" w:hanging="360"/>
      </w:pPr>
    </w:lvl>
    <w:lvl w:ilvl="3" w:tplc="EB54737A">
      <w:start w:val="1"/>
      <w:numFmt w:val="bullet"/>
      <w:lvlText w:val="●"/>
      <w:lvlJc w:val="left"/>
      <w:pPr>
        <w:ind w:left="2880" w:hanging="360"/>
      </w:pPr>
    </w:lvl>
    <w:lvl w:ilvl="4" w:tplc="9C784CEE">
      <w:start w:val="1"/>
      <w:numFmt w:val="bullet"/>
      <w:lvlText w:val="○"/>
      <w:lvlJc w:val="left"/>
      <w:pPr>
        <w:ind w:left="3600" w:hanging="360"/>
      </w:pPr>
    </w:lvl>
    <w:lvl w:ilvl="5" w:tplc="CEB238CA">
      <w:start w:val="1"/>
      <w:numFmt w:val="bullet"/>
      <w:lvlText w:val="■"/>
      <w:lvlJc w:val="left"/>
      <w:pPr>
        <w:ind w:left="4320" w:hanging="360"/>
      </w:pPr>
    </w:lvl>
    <w:lvl w:ilvl="6" w:tplc="276CA0C8">
      <w:start w:val="1"/>
      <w:numFmt w:val="bullet"/>
      <w:lvlText w:val="●"/>
      <w:lvlJc w:val="left"/>
      <w:pPr>
        <w:ind w:left="5040" w:hanging="360"/>
      </w:pPr>
    </w:lvl>
    <w:lvl w:ilvl="7" w:tplc="808E68E4">
      <w:start w:val="1"/>
      <w:numFmt w:val="bullet"/>
      <w:lvlText w:val="●"/>
      <w:lvlJc w:val="left"/>
      <w:pPr>
        <w:ind w:left="5760" w:hanging="360"/>
      </w:pPr>
    </w:lvl>
    <w:lvl w:ilvl="8" w:tplc="725A54AE">
      <w:start w:val="1"/>
      <w:numFmt w:val="bullet"/>
      <w:lvlText w:val="●"/>
      <w:lvlJc w:val="left"/>
      <w:pPr>
        <w:ind w:left="6480" w:hanging="360"/>
      </w:pPr>
    </w:lvl>
  </w:abstractNum>
  <w:num w:numId="1" w16cid:durableId="1888176379">
    <w:abstractNumId w:val="1"/>
    <w:lvlOverride w:ilvl="0">
      <w:startOverride w:val="1"/>
    </w:lvlOverride>
  </w:num>
  <w:num w:numId="2" w16cid:durableId="186728145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155"/>
    <w:rsid w:val="00063AC9"/>
    <w:rsid w:val="0008301C"/>
    <w:rsid w:val="000B7733"/>
    <w:rsid w:val="00185AA2"/>
    <w:rsid w:val="00243DE9"/>
    <w:rsid w:val="002C05B5"/>
    <w:rsid w:val="004E69CD"/>
    <w:rsid w:val="004F4E0F"/>
    <w:rsid w:val="00543450"/>
    <w:rsid w:val="006936FB"/>
    <w:rsid w:val="007648AB"/>
    <w:rsid w:val="007D3786"/>
    <w:rsid w:val="00AE73BE"/>
    <w:rsid w:val="00B03833"/>
    <w:rsid w:val="00DB7155"/>
    <w:rsid w:val="00DD58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C6C5E"/>
  <w15:docId w15:val="{826467B4-0DDB-4EA3-9F34-D9BDB630F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DO"/>
    </w:rPr>
  </w:style>
  <w:style w:type="paragraph" w:styleId="Heading1">
    <w:name w:val="heading 1"/>
    <w:uiPriority w:val="9"/>
    <w:qFormat/>
    <w:pPr>
      <w:spacing w:before="320" w:after="160"/>
      <w:outlineLvl w:val="0"/>
    </w:pPr>
    <w:rPr>
      <w:b/>
      <w:bCs/>
      <w:color w:val="1F3864"/>
      <w:sz w:val="28"/>
      <w:szCs w:val="28"/>
    </w:rPr>
  </w:style>
  <w:style w:type="paragraph" w:styleId="Heading2">
    <w:name w:val="heading 2"/>
    <w:uiPriority w:val="9"/>
    <w:unhideWhenUsed/>
    <w:qFormat/>
    <w:pPr>
      <w:spacing w:before="240" w:after="120"/>
      <w:outlineLvl w:val="1"/>
    </w:pPr>
    <w:rPr>
      <w:b/>
      <w:bCs/>
      <w:color w:val="2F5496"/>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link w:val="Heading6Char"/>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customStyle="1" w:styleId="Heading6Char">
    <w:name w:val="Heading 6 Char"/>
    <w:basedOn w:val="DefaultParagraphFont"/>
    <w:link w:val="Heading6"/>
    <w:uiPriority w:val="9"/>
    <w:semiHidden/>
    <w:rsid w:val="00AE73BE"/>
    <w:rPr>
      <w:color w:val="1F4D7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6645D4-04B6-490F-8C78-3A3906F39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3011</Words>
  <Characters>17164</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Roberto Despradel</cp:lastModifiedBy>
  <cp:revision>2</cp:revision>
  <dcterms:created xsi:type="dcterms:W3CDTF">2026-03-19T11:14:00Z</dcterms:created>
  <dcterms:modified xsi:type="dcterms:W3CDTF">2026-03-19T11:14:00Z</dcterms:modified>
</cp:coreProperties>
</file>