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A65E21" w14:textId="5E2091EE" w:rsidR="00645B05" w:rsidRDefault="005D71C7">
      <w:pPr>
        <w:spacing w:after="120"/>
        <w:jc w:val="both"/>
        <w:rPr>
          <w:b/>
          <w:bCs/>
        </w:rPr>
      </w:pP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 xml:space="preserve">10 de </w:t>
      </w:r>
      <w:proofErr w:type="gramStart"/>
      <w:r>
        <w:rPr>
          <w:b/>
          <w:bCs/>
        </w:rPr>
        <w:t>Abril</w:t>
      </w:r>
      <w:proofErr w:type="gramEnd"/>
      <w:r>
        <w:rPr>
          <w:b/>
          <w:bCs/>
        </w:rPr>
        <w:t xml:space="preserve"> del 2025</w:t>
      </w:r>
    </w:p>
    <w:p w14:paraId="693AEAE2" w14:textId="77777777" w:rsidR="005D71C7" w:rsidRDefault="005D71C7">
      <w:pPr>
        <w:spacing w:after="120"/>
        <w:jc w:val="both"/>
        <w:rPr>
          <w:b/>
          <w:bCs/>
        </w:rPr>
      </w:pPr>
    </w:p>
    <w:p w14:paraId="204E2D98" w14:textId="77777777" w:rsidR="005D71C7" w:rsidRDefault="005D71C7">
      <w:pPr>
        <w:spacing w:after="120"/>
        <w:jc w:val="both"/>
        <w:rPr>
          <w:b/>
          <w:bCs/>
        </w:rPr>
      </w:pPr>
    </w:p>
    <w:p w14:paraId="63D7F8CA" w14:textId="4F22C63E" w:rsidR="005D71C7" w:rsidRDefault="005D71C7">
      <w:pPr>
        <w:spacing w:after="120"/>
        <w:jc w:val="both"/>
        <w:rPr>
          <w:b/>
          <w:bCs/>
        </w:rPr>
      </w:pPr>
      <w:r>
        <w:rPr>
          <w:b/>
          <w:bCs/>
        </w:rPr>
        <w:t>METALDOM, S.A.</w:t>
      </w:r>
    </w:p>
    <w:p w14:paraId="6B893BCD" w14:textId="7237DAF6" w:rsidR="00E90557" w:rsidRDefault="00645B05">
      <w:pPr>
        <w:spacing w:after="120"/>
        <w:jc w:val="both"/>
        <w:rPr>
          <w:b/>
          <w:bCs/>
        </w:rPr>
      </w:pPr>
      <w:r>
        <w:rPr>
          <w:b/>
          <w:bCs/>
        </w:rPr>
        <w:t>Documento de respuestas a solicitud de información complementaria (</w:t>
      </w:r>
      <w:r w:rsidR="00D157F1">
        <w:rPr>
          <w:b/>
          <w:bCs/>
        </w:rPr>
        <w:t>Comunicación No.193)</w:t>
      </w:r>
      <w:r w:rsidR="00000000">
        <w:rPr>
          <w:b/>
          <w:bCs/>
        </w:rPr>
        <w:t xml:space="preserve"> </w:t>
      </w:r>
      <w:r w:rsidR="00D157F1">
        <w:rPr>
          <w:b/>
          <w:bCs/>
        </w:rPr>
        <w:t xml:space="preserve">en referencia </w:t>
      </w:r>
      <w:r w:rsidR="00000000">
        <w:rPr>
          <w:b/>
          <w:bCs/>
        </w:rPr>
        <w:t>a</w:t>
      </w:r>
      <w:r w:rsidR="00D157F1">
        <w:rPr>
          <w:b/>
          <w:bCs/>
        </w:rPr>
        <w:t xml:space="preserve"> la</w:t>
      </w:r>
      <w:r w:rsidR="00000000">
        <w:rPr>
          <w:b/>
          <w:bCs/>
        </w:rPr>
        <w:t xml:space="preserve"> solicitud de examen por extinción de los derechos antidumping aplicados a las importaciones de barras o varillas de acero corrugadas o deformadas para el refuerzo de concreto u hormigón originarias de China, depositado en fecha de marzo de 2025</w:t>
      </w:r>
      <w:r w:rsidR="005D71C7">
        <w:rPr>
          <w:b/>
          <w:bCs/>
        </w:rPr>
        <w:t>.</w:t>
      </w:r>
    </w:p>
    <w:p w14:paraId="0AC8104D" w14:textId="77777777" w:rsidR="00E90557" w:rsidRDefault="00000000">
      <w:pPr>
        <w:spacing w:after="120"/>
        <w:jc w:val="both"/>
      </w:pPr>
      <w:r>
        <w:rPr>
          <w:b/>
          <w:bCs/>
        </w:rPr>
        <w:t>1.   Escrito de solicitud. –</w:t>
      </w:r>
    </w:p>
    <w:p w14:paraId="382611F2" w14:textId="77777777" w:rsidR="00E90557" w:rsidRDefault="00000000">
      <w:pPr>
        <w:numPr>
          <w:ilvl w:val="0"/>
          <w:numId w:val="1"/>
        </w:numPr>
        <w:pBdr>
          <w:top w:val="nil"/>
          <w:left w:val="nil"/>
          <w:bottom w:val="nil"/>
          <w:right w:val="nil"/>
          <w:between w:val="nil"/>
        </w:pBdr>
        <w:spacing w:after="120"/>
        <w:jc w:val="both"/>
        <w:rPr>
          <w:color w:val="000000"/>
        </w:rPr>
      </w:pPr>
      <w:r>
        <w:rPr>
          <w:color w:val="000000"/>
        </w:rPr>
        <w:t>Se requiere proporcionar una versión no confidencial del escrito de solicitud de examen por extinción en formato impreso.</w:t>
      </w:r>
    </w:p>
    <w:p w14:paraId="278B3EB1" w14:textId="77777777" w:rsidR="00E90557" w:rsidRDefault="00000000">
      <w:pPr>
        <w:spacing w:after="60"/>
      </w:pPr>
      <w:r>
        <w:t>Ver Anexo 1</w:t>
      </w:r>
    </w:p>
    <w:p w14:paraId="23F0D49C" w14:textId="77777777" w:rsidR="00E90557" w:rsidRDefault="00E90557">
      <w:pPr>
        <w:spacing w:after="60"/>
      </w:pPr>
    </w:p>
    <w:p w14:paraId="69192303" w14:textId="77777777" w:rsidR="00E90557" w:rsidRDefault="00000000">
      <w:pPr>
        <w:spacing w:after="120"/>
        <w:jc w:val="both"/>
      </w:pPr>
      <w:r>
        <w:rPr>
          <w:b/>
          <w:bCs/>
        </w:rPr>
        <w:t>2.   Formulario de solicitud. –</w:t>
      </w:r>
    </w:p>
    <w:p w14:paraId="046108BA" w14:textId="77777777" w:rsidR="00E90557" w:rsidRDefault="00E90557">
      <w:pPr>
        <w:spacing w:after="60"/>
      </w:pPr>
    </w:p>
    <w:p w14:paraId="19988ADC" w14:textId="77777777" w:rsidR="00E90557" w:rsidRDefault="00000000">
      <w:pPr>
        <w:numPr>
          <w:ilvl w:val="0"/>
          <w:numId w:val="1"/>
        </w:numPr>
        <w:pBdr>
          <w:top w:val="nil"/>
          <w:left w:val="nil"/>
          <w:bottom w:val="nil"/>
          <w:right w:val="nil"/>
          <w:between w:val="nil"/>
        </w:pBdr>
        <w:spacing w:after="120"/>
        <w:jc w:val="both"/>
        <w:rPr>
          <w:color w:val="000000"/>
        </w:rPr>
      </w:pPr>
      <w:r>
        <w:rPr>
          <w:b/>
          <w:bCs/>
          <w:color w:val="000000"/>
        </w:rPr>
        <w:t>Punto 11.-</w:t>
      </w:r>
      <w:r>
        <w:rPr>
          <w:color w:val="000000"/>
        </w:rPr>
        <w:t xml:space="preserve"> Explicar por qué se incluye dentro de la descripción del producto investigado la subpartida arancelaria 7213.20.90 la cual no corresponde al producto objeto de examen y está fuera de las subpartidas identificadas para la aplicación de la medida antidumping en vigor.</w:t>
      </w:r>
    </w:p>
    <w:p w14:paraId="0C13D1BF" w14:textId="77777777" w:rsidR="00E90557" w:rsidRDefault="00000000">
      <w:pPr>
        <w:spacing w:before="240" w:after="240"/>
      </w:pPr>
      <w:r>
        <w:t>En relación con la inclusión de la subpartida arancelaria 7213.20.90 dentro de la descripción del producto investigado, se precisa que dicha referencia responde a su incorporación en el expediente original de la investigación iniciada en el año 2016, particularmente en el informe técnico inicial y en la resolución provisional correspondiente, tal como se evidencia en los anexos aportados.</w:t>
      </w:r>
    </w:p>
    <w:p w14:paraId="6F624C39" w14:textId="77777777" w:rsidR="00E90557" w:rsidRDefault="00000000">
      <w:pPr>
        <w:spacing w:before="240" w:after="240"/>
      </w:pPr>
      <w:r>
        <w:t>En esa etapa inicial, la autoridad investigadora adoptó un criterio de cobertura amplia o precautoria, incluyendo diversas subpartidas arancelarias bajo las cuales potencialmente podía clasificarse el producto investigado, con el objetivo de evitar omisiones derivadas de posibles variaciones, errores o prácticas de reclasificación aduanera.</w:t>
      </w:r>
    </w:p>
    <w:p w14:paraId="29131D9F" w14:textId="77777777" w:rsidR="00E90557" w:rsidRDefault="00000000">
      <w:pPr>
        <w:spacing w:before="240" w:after="240"/>
      </w:pPr>
      <w:r>
        <w:t>No obstante, conforme avanzó la investigación y se realizó el análisis técnico detallado de las importaciones —incluyendo la revisión de las transacciones efectivamente registradas—, la propia autoridad fue delimitando con mayor precisión el alcance del producto investigado, centrando la medida en aquellas subpartidas que efectivamente correspondían al producto objeto de examen.</w:t>
      </w:r>
    </w:p>
    <w:p w14:paraId="5D641A6D" w14:textId="77777777" w:rsidR="00E90557" w:rsidRDefault="00000000">
      <w:pPr>
        <w:spacing w:before="240" w:after="240"/>
      </w:pPr>
      <w:r>
        <w:t xml:space="preserve">En este sentido, se observa que en la resolución final del examen por extinción (Resolución núm. CDC-RD-AD-001-2022) la medida se circunscribe a las subpartidas correspondientes a la partida </w:t>
      </w:r>
      <w:proofErr w:type="gramStart"/>
      <w:r>
        <w:t>7214.*</w:t>
      </w:r>
      <w:proofErr w:type="gramEnd"/>
      <w:r>
        <w:t>, sin que se mantenga la referencia a la subpartida 7213.20.90.</w:t>
      </w:r>
    </w:p>
    <w:p w14:paraId="6456B43E" w14:textId="77777777" w:rsidR="00E90557" w:rsidRDefault="00000000">
      <w:pPr>
        <w:spacing w:before="240" w:after="240"/>
      </w:pPr>
      <w:r>
        <w:t>Por tanto, la inclusión de dicha subpartida en la descripción del producto debe entenderse en su contexto histórico-procedimental, como parte del alcance referencial adoptado en la etapa inicial de la investigación, y no como una delimitación técnica vigente del producto objeto de examen, el cual ha sido posteriormente precisado por la propia autoridad investigadora.</w:t>
      </w:r>
    </w:p>
    <w:p w14:paraId="6D4D96E5" w14:textId="77777777" w:rsidR="00E90557" w:rsidRDefault="00E90557">
      <w:pPr>
        <w:spacing w:after="60"/>
      </w:pPr>
    </w:p>
    <w:p w14:paraId="54A2D05E" w14:textId="77777777" w:rsidR="00E90557" w:rsidRDefault="00000000">
      <w:pPr>
        <w:numPr>
          <w:ilvl w:val="0"/>
          <w:numId w:val="1"/>
        </w:numPr>
        <w:pBdr>
          <w:top w:val="nil"/>
          <w:left w:val="nil"/>
          <w:bottom w:val="nil"/>
          <w:right w:val="nil"/>
          <w:between w:val="nil"/>
        </w:pBdr>
        <w:spacing w:after="120"/>
        <w:jc w:val="both"/>
        <w:rPr>
          <w:color w:val="000000"/>
        </w:rPr>
      </w:pPr>
      <w:r>
        <w:rPr>
          <w:b/>
          <w:bCs/>
          <w:color w:val="000000"/>
        </w:rPr>
        <w:t>Punto 13.-</w:t>
      </w:r>
      <w:r>
        <w:rPr>
          <w:color w:val="000000"/>
        </w:rPr>
        <w:t xml:space="preserve"> Explicar qué otros insumos se utilizan en la fabricación del producto importado (por ejemplo, energía eléctrica, gas, entre otros) y su participación porcentual. Proporcionar las pruebas documentales de las cuales se obtuvo esta información.</w:t>
      </w:r>
    </w:p>
    <w:p w14:paraId="0A729DD8" w14:textId="77777777" w:rsidR="00C21A64" w:rsidRPr="00317B18" w:rsidRDefault="00C21A64" w:rsidP="00C21A64">
      <w:pPr>
        <w:spacing w:before="100" w:beforeAutospacing="1" w:after="100" w:afterAutospacing="1"/>
        <w:rPr>
          <w:rFonts w:eastAsia="Times New Roman"/>
        </w:rPr>
      </w:pPr>
      <w:r w:rsidRPr="00317B18">
        <w:rPr>
          <w:rFonts w:eastAsia="Times New Roman"/>
        </w:rPr>
        <w:t>En la fabricación de barras o varillas de acero corrugadas para refuerzo de concreto, el insumo material directo principal es la palanquilla de acero (</w:t>
      </w:r>
      <w:proofErr w:type="spellStart"/>
      <w:r w:rsidRPr="00317B18">
        <w:rPr>
          <w:rFonts w:eastAsia="Times New Roman"/>
        </w:rPr>
        <w:t>billet</w:t>
      </w:r>
      <w:proofErr w:type="spellEnd"/>
      <w:r w:rsidRPr="00317B18">
        <w:rPr>
          <w:rFonts w:eastAsia="Times New Roman"/>
        </w:rPr>
        <w:t>), a partir de la cual se obtiene el producto final mediante un proceso de laminación en caliente, tal como se describe en normas técnicas y documentación industrial aplicable al producto.</w:t>
      </w:r>
    </w:p>
    <w:p w14:paraId="6A1E292E" w14:textId="77777777" w:rsidR="00C21A64" w:rsidRPr="00317B18" w:rsidRDefault="00C21A64" w:rsidP="00C21A64">
      <w:pPr>
        <w:spacing w:before="100" w:beforeAutospacing="1" w:after="100" w:afterAutospacing="1"/>
        <w:rPr>
          <w:rFonts w:eastAsia="Times New Roman"/>
        </w:rPr>
      </w:pPr>
      <w:r w:rsidRPr="00317B18">
        <w:rPr>
          <w:rFonts w:eastAsia="Times New Roman"/>
        </w:rPr>
        <w:t>Adicionalmente, el proceso productivo incorpora otros insumos y consumos industriales necesarios para la transformación del acero, entre los que se incluyen:</w:t>
      </w:r>
    </w:p>
    <w:p w14:paraId="221EAF04" w14:textId="77777777" w:rsidR="00C21A64" w:rsidRPr="00317B18" w:rsidRDefault="00C21A64" w:rsidP="00C21A64">
      <w:pPr>
        <w:numPr>
          <w:ilvl w:val="0"/>
          <w:numId w:val="6"/>
        </w:numPr>
        <w:spacing w:before="100" w:beforeAutospacing="1" w:after="100" w:afterAutospacing="1"/>
        <w:rPr>
          <w:rFonts w:eastAsia="Times New Roman"/>
        </w:rPr>
      </w:pPr>
      <w:r w:rsidRPr="00317B18">
        <w:rPr>
          <w:rFonts w:eastAsia="Times New Roman"/>
        </w:rPr>
        <w:t xml:space="preserve">energía térmica (para el recalentamiento de la palanquilla); </w:t>
      </w:r>
    </w:p>
    <w:p w14:paraId="0E2CF61C" w14:textId="77777777" w:rsidR="00C21A64" w:rsidRPr="00317B18" w:rsidRDefault="00C21A64" w:rsidP="00C21A64">
      <w:pPr>
        <w:numPr>
          <w:ilvl w:val="0"/>
          <w:numId w:val="6"/>
        </w:numPr>
        <w:spacing w:before="100" w:beforeAutospacing="1" w:after="100" w:afterAutospacing="1"/>
        <w:rPr>
          <w:rFonts w:eastAsia="Times New Roman"/>
        </w:rPr>
      </w:pPr>
      <w:r w:rsidRPr="00317B18">
        <w:rPr>
          <w:rFonts w:eastAsia="Times New Roman"/>
        </w:rPr>
        <w:t xml:space="preserve">energía eléctrica (para operación del tren de laminación y equipos auxiliares); </w:t>
      </w:r>
    </w:p>
    <w:p w14:paraId="6DEA58DA" w14:textId="77777777" w:rsidR="00C21A64" w:rsidRPr="00317B18" w:rsidRDefault="00C21A64" w:rsidP="00C21A64">
      <w:pPr>
        <w:numPr>
          <w:ilvl w:val="0"/>
          <w:numId w:val="6"/>
        </w:numPr>
        <w:spacing w:before="100" w:beforeAutospacing="1" w:after="100" w:afterAutospacing="1"/>
        <w:rPr>
          <w:rFonts w:eastAsia="Times New Roman"/>
        </w:rPr>
      </w:pPr>
      <w:r w:rsidRPr="00317B18">
        <w:rPr>
          <w:rFonts w:eastAsia="Times New Roman"/>
        </w:rPr>
        <w:t xml:space="preserve">agua y sistemas de enfriamiento; </w:t>
      </w:r>
    </w:p>
    <w:p w14:paraId="525F8460" w14:textId="77777777" w:rsidR="00C21A64" w:rsidRPr="00317B18" w:rsidRDefault="00C21A64" w:rsidP="00C21A64">
      <w:pPr>
        <w:numPr>
          <w:ilvl w:val="0"/>
          <w:numId w:val="6"/>
        </w:numPr>
        <w:spacing w:before="100" w:beforeAutospacing="1" w:after="100" w:afterAutospacing="1"/>
        <w:rPr>
          <w:rFonts w:eastAsia="Times New Roman"/>
        </w:rPr>
      </w:pPr>
      <w:r w:rsidRPr="00317B18">
        <w:rPr>
          <w:rFonts w:eastAsia="Times New Roman"/>
        </w:rPr>
        <w:t xml:space="preserve">consumibles industriales (rodillos, guías, lubricantes, refractarios); </w:t>
      </w:r>
    </w:p>
    <w:p w14:paraId="35664758" w14:textId="77777777" w:rsidR="00C21A64" w:rsidRPr="00317B18" w:rsidRDefault="00C21A64" w:rsidP="00C21A64">
      <w:pPr>
        <w:numPr>
          <w:ilvl w:val="0"/>
          <w:numId w:val="6"/>
        </w:numPr>
        <w:spacing w:before="100" w:beforeAutospacing="1" w:after="100" w:afterAutospacing="1"/>
        <w:rPr>
          <w:rFonts w:eastAsia="Times New Roman"/>
        </w:rPr>
      </w:pPr>
      <w:r w:rsidRPr="00317B18">
        <w:rPr>
          <w:rFonts w:eastAsia="Times New Roman"/>
        </w:rPr>
        <w:t xml:space="preserve">insumos operativos asociados a corte, empaque y control de calidad. </w:t>
      </w:r>
    </w:p>
    <w:p w14:paraId="2FCBC719" w14:textId="77777777" w:rsidR="00C21A64" w:rsidRPr="00317B18" w:rsidRDefault="00C21A64" w:rsidP="00C21A64">
      <w:pPr>
        <w:spacing w:before="100" w:beforeAutospacing="1" w:after="100" w:afterAutospacing="1"/>
        <w:rPr>
          <w:rFonts w:eastAsia="Times New Roman"/>
        </w:rPr>
      </w:pPr>
      <w:r w:rsidRPr="00317B18">
        <w:rPr>
          <w:rFonts w:eastAsia="Times New Roman"/>
        </w:rPr>
        <w:t>La evidencia documental disponible —incluyendo normas técnicas chinas y documentos técnicos industriales— confirma que la producción de varilla corrugada se realiza mediante la laminación en caliente de palanquillas previamente calentadas, lo cual implica necesariamente el uso de los insumos antes descritos.</w:t>
      </w:r>
    </w:p>
    <w:p w14:paraId="37A1D28A" w14:textId="77777777" w:rsidR="00C21A64" w:rsidRPr="00317B18" w:rsidRDefault="00C21A64" w:rsidP="00C21A64">
      <w:pPr>
        <w:spacing w:before="100" w:beforeAutospacing="1" w:after="100" w:afterAutospacing="1"/>
        <w:rPr>
          <w:rFonts w:eastAsia="Times New Roman"/>
        </w:rPr>
      </w:pPr>
      <w:r w:rsidRPr="00317B18">
        <w:rPr>
          <w:rFonts w:eastAsia="Times New Roman"/>
        </w:rPr>
        <w:t>No obstante, no se dispone de información pública, verificable y desagregada por productor/exportador en China que permita determinar con precisión la participación porcentual de cada uno de dichos insumos en el costo total de fabricación del producto investigado.</w:t>
      </w:r>
    </w:p>
    <w:p w14:paraId="5616C469" w14:textId="77777777" w:rsidR="00C21A64" w:rsidRDefault="00C21A64" w:rsidP="00C21A64">
      <w:pPr>
        <w:spacing w:before="100" w:beforeAutospacing="1" w:after="100" w:afterAutospacing="1"/>
        <w:rPr>
          <w:rFonts w:eastAsia="Times New Roman"/>
        </w:rPr>
      </w:pPr>
      <w:r w:rsidRPr="00317B18">
        <w:rPr>
          <w:rFonts w:eastAsia="Times New Roman"/>
        </w:rPr>
        <w:t>En ese sentido, la asignación de porcentajes específicos sin contar con información primaria del productor resultaría metodológicamente inadecuada y no verificable, por lo que la presente respuesta se limita a identificar la estructura de insumos conforme a fuentes técnicas y prácticas industriales reconocidas.</w:t>
      </w:r>
    </w:p>
    <w:p w14:paraId="7E79DA38" w14:textId="24C8DB3B" w:rsidR="00DD0AC0" w:rsidRPr="00317B18" w:rsidRDefault="00275A76" w:rsidP="00C21A64">
      <w:pPr>
        <w:spacing w:before="100" w:beforeAutospacing="1" w:after="100" w:afterAutospacing="1"/>
        <w:rPr>
          <w:rFonts w:eastAsia="Times New Roman"/>
        </w:rPr>
      </w:pPr>
      <w:r>
        <w:rPr>
          <w:rFonts w:eastAsia="Times New Roman"/>
        </w:rPr>
        <w:t>Ver anexo 2 con evidencia documental disponible</w:t>
      </w:r>
    </w:p>
    <w:p w14:paraId="11E341A7" w14:textId="77777777" w:rsidR="00C21A64" w:rsidRDefault="00C21A64" w:rsidP="00C21A64">
      <w:pPr>
        <w:pBdr>
          <w:top w:val="nil"/>
          <w:left w:val="nil"/>
          <w:bottom w:val="nil"/>
          <w:right w:val="nil"/>
          <w:between w:val="nil"/>
        </w:pBdr>
        <w:spacing w:after="120"/>
        <w:ind w:left="1440"/>
        <w:jc w:val="both"/>
        <w:rPr>
          <w:color w:val="000000"/>
        </w:rPr>
      </w:pPr>
    </w:p>
    <w:p w14:paraId="4BB554C1" w14:textId="77777777" w:rsidR="00E90557" w:rsidRDefault="00E90557">
      <w:pPr>
        <w:spacing w:after="60"/>
      </w:pPr>
    </w:p>
    <w:p w14:paraId="06814336" w14:textId="77777777" w:rsidR="00E90557" w:rsidRDefault="00000000">
      <w:pPr>
        <w:numPr>
          <w:ilvl w:val="0"/>
          <w:numId w:val="1"/>
        </w:numPr>
        <w:pBdr>
          <w:top w:val="nil"/>
          <w:left w:val="nil"/>
          <w:bottom w:val="nil"/>
          <w:right w:val="nil"/>
          <w:between w:val="nil"/>
        </w:pBdr>
        <w:spacing w:after="120"/>
        <w:jc w:val="both"/>
      </w:pPr>
      <w:r>
        <w:rPr>
          <w:b/>
          <w:bCs/>
          <w:color w:val="000000"/>
        </w:rPr>
        <w:t>Punto 14.-</w:t>
      </w:r>
    </w:p>
    <w:p w14:paraId="27FC32F4" w14:textId="77777777" w:rsidR="00E90557" w:rsidRDefault="00000000">
      <w:pPr>
        <w:numPr>
          <w:ilvl w:val="0"/>
          <w:numId w:val="2"/>
        </w:numPr>
        <w:pBdr>
          <w:top w:val="nil"/>
          <w:left w:val="nil"/>
          <w:bottom w:val="nil"/>
          <w:right w:val="nil"/>
          <w:between w:val="nil"/>
        </w:pBdr>
        <w:spacing w:after="120"/>
        <w:jc w:val="both"/>
        <w:rPr>
          <w:color w:val="000000"/>
        </w:rPr>
      </w:pPr>
      <w:r>
        <w:rPr>
          <w:color w:val="000000"/>
        </w:rPr>
        <w:t>Proporcionar un diagrama del proceso productivo del bien importado en presuntas condiciones de dumping. Proporcionar las pruebas documentales de las cuales se obtuvo esta información.</w:t>
      </w:r>
    </w:p>
    <w:p w14:paraId="113B874C" w14:textId="77777777" w:rsidR="00E90557" w:rsidRDefault="00000000">
      <w:pPr>
        <w:numPr>
          <w:ilvl w:val="0"/>
          <w:numId w:val="2"/>
        </w:numPr>
        <w:pBdr>
          <w:top w:val="nil"/>
          <w:left w:val="nil"/>
          <w:bottom w:val="nil"/>
          <w:right w:val="nil"/>
          <w:between w:val="nil"/>
        </w:pBdr>
        <w:spacing w:after="120"/>
        <w:jc w:val="both"/>
      </w:pPr>
      <w:r>
        <w:rPr>
          <w:color w:val="000000"/>
        </w:rPr>
        <w:t>Explicar en detalle cuales diferencias o similitudes existen entre el proceso productivo del bien importado y del bien nacional. Proporcionar las pruebas documentales que respalden sus afirmaciones.</w:t>
      </w:r>
    </w:p>
    <w:p w14:paraId="33C21B1E" w14:textId="77777777" w:rsidR="00E90557" w:rsidRDefault="00E90557">
      <w:pPr>
        <w:pBdr>
          <w:top w:val="nil"/>
          <w:left w:val="nil"/>
          <w:bottom w:val="nil"/>
          <w:right w:val="nil"/>
          <w:between w:val="nil"/>
        </w:pBdr>
        <w:spacing w:after="120"/>
        <w:jc w:val="both"/>
      </w:pPr>
    </w:p>
    <w:p w14:paraId="389723B1" w14:textId="77777777" w:rsidR="00E90557" w:rsidRDefault="00000000">
      <w:pPr>
        <w:spacing w:after="120"/>
        <w:jc w:val="both"/>
      </w:pPr>
      <w:r>
        <w:lastRenderedPageBreak/>
        <w:t>i.</w:t>
      </w:r>
      <w:r>
        <w:rPr>
          <w:rFonts w:ascii="Times New Roman" w:eastAsia="Times New Roman" w:hAnsi="Times New Roman" w:cs="Times New Roman"/>
        </w:rPr>
        <w:t xml:space="preserve"> </w:t>
      </w:r>
      <w:r>
        <w:t>El bien importado objeto de examen consiste en barras o varillas de acero corrugadas o deformadas para refuerzo de concreto u hormigón, originarias de la República Popular China. Desde el punto de vista productivo, se trata de un producto siderúrgico largo obtenido, en su etapa de conformación final, mediante laminación en caliente de palanquillas de acero hasta obtener barras corrugadas en tramos rectos o en rollos. Esta caracterización es consistente con la descripción ya contenida en el formulario de solicitud de examen, en el cual se indicó que el producto importado utiliza principalmente palanquillas, ejes o lingotes como insumo principal y que su proceso consiste en calentamiento, laminación, enfriamiento, corte y empaque.</w:t>
      </w:r>
    </w:p>
    <w:p w14:paraId="19411651" w14:textId="77777777" w:rsidR="00E90557" w:rsidRDefault="00000000">
      <w:pPr>
        <w:spacing w:after="120"/>
        <w:jc w:val="both"/>
      </w:pPr>
      <w:r>
        <w:t xml:space="preserve"> Diagrama del proceso productivo del bien importado (China):</w:t>
      </w:r>
    </w:p>
    <w:p w14:paraId="7101F32B" w14:textId="3BF5F724" w:rsidR="00E90557" w:rsidRDefault="00000000" w:rsidP="00120209">
      <w:pPr>
        <w:pStyle w:val="ListParagraph"/>
        <w:numPr>
          <w:ilvl w:val="0"/>
          <w:numId w:val="9"/>
        </w:numPr>
        <w:spacing w:after="120"/>
        <w:rPr>
          <w:b/>
          <w:bCs/>
        </w:rPr>
      </w:pPr>
      <w:r w:rsidRPr="00344484">
        <w:rPr>
          <w:b/>
          <w:bCs/>
        </w:rPr>
        <w:t>Ruta metalúrgica previa para obtención del acero / palanquilla</w:t>
      </w:r>
      <w:r w:rsidRPr="00344484">
        <w:rPr>
          <w:b/>
          <w:bCs/>
        </w:rPr>
        <w:br/>
        <w:t xml:space="preserve"> </w:t>
      </w:r>
      <w:r>
        <w:t xml:space="preserve">Mineral de hierro + coque + caliza </w:t>
      </w:r>
      <w:r w:rsidRPr="00344484">
        <w:rPr>
          <w:b/>
          <w:bCs/>
        </w:rPr>
        <w:t>o</w:t>
      </w:r>
      <w:sdt>
        <w:sdtPr>
          <w:tag w:val="goog_rdk_0"/>
          <w:id w:val="2029483078"/>
        </w:sdtPr>
        <w:sdtContent>
          <w:r w:rsidRPr="00344484">
            <w:rPr>
              <w:rFonts w:ascii="Arial Unicode MS" w:eastAsia="Arial Unicode MS" w:hAnsi="Arial Unicode MS" w:cs="Arial Unicode MS"/>
            </w:rPr>
            <w:t xml:space="preserve"> chatarra de acero + electricidad</w:t>
          </w:r>
          <w:r w:rsidRPr="00344484">
            <w:rPr>
              <w:rFonts w:ascii="Arial Unicode MS" w:eastAsia="Arial Unicode MS" w:hAnsi="Arial Unicode MS" w:cs="Arial Unicode MS"/>
            </w:rPr>
            <w:br/>
            <w:t xml:space="preserve"> </w:t>
          </w:r>
          <w:r w:rsidR="00B63830">
            <w:rPr>
              <w:rFonts w:ascii="Arial Unicode MS" w:eastAsia="Arial Unicode MS" w:hAnsi="Arial Unicode MS" w:cs="Arial Unicode MS"/>
            </w:rPr>
            <w:t>---</w:t>
          </w:r>
          <w:r w:rsidRPr="00344484">
            <w:rPr>
              <w:rFonts w:ascii="Arial Unicode MS" w:eastAsia="Arial Unicode MS" w:hAnsi="Arial Unicode MS" w:cs="Arial Unicode MS"/>
            </w:rPr>
            <w:t xml:space="preserve"> Fusió</w:t>
          </w:r>
          <w:r w:rsidR="00120209">
            <w:rPr>
              <w:rFonts w:ascii="Arial Unicode MS" w:eastAsia="Arial Unicode MS" w:hAnsi="Arial Unicode MS" w:cs="Arial Unicode MS"/>
            </w:rPr>
            <w:t xml:space="preserve">n </w:t>
          </w:r>
          <w:r w:rsidRPr="00344484">
            <w:rPr>
              <w:rFonts w:ascii="Arial Unicode MS" w:eastAsia="Arial Unicode MS" w:hAnsi="Arial Unicode MS" w:cs="Arial Unicode MS"/>
            </w:rPr>
            <w:t>aceración</w:t>
          </w:r>
          <w:r w:rsidRPr="00344484">
            <w:rPr>
              <w:rFonts w:ascii="Arial Unicode MS" w:eastAsia="Arial Unicode MS" w:hAnsi="Arial Unicode MS" w:cs="Arial Unicode MS"/>
            </w:rPr>
            <w:br/>
            <w:t xml:space="preserve"> →Colada</w:t>
          </w:r>
          <w:r w:rsidR="00120209">
            <w:rPr>
              <w:rFonts w:ascii="Arial Unicode MS" w:eastAsia="Arial Unicode MS" w:hAnsi="Arial Unicode MS" w:cs="Arial Unicode MS"/>
            </w:rPr>
            <w:t xml:space="preserve"> </w:t>
          </w:r>
          <w:proofErr w:type="spellStart"/>
          <w:r w:rsidRPr="00344484">
            <w:rPr>
              <w:rFonts w:ascii="Arial Unicode MS" w:eastAsia="Arial Unicode MS" w:hAnsi="Arial Unicode MS" w:cs="Arial Unicode MS"/>
            </w:rPr>
            <w:t>ontinua</w:t>
          </w:r>
          <w:proofErr w:type="spellEnd"/>
          <w:r w:rsidRPr="00344484">
            <w:rPr>
              <w:rFonts w:ascii="Arial Unicode MS" w:eastAsia="Arial Unicode MS" w:hAnsi="Arial Unicode MS" w:cs="Arial Unicode MS"/>
            </w:rPr>
            <w:br/>
            <w:t xml:space="preserve"> → </w:t>
          </w:r>
        </w:sdtContent>
      </w:sdt>
      <w:r w:rsidRPr="003B678E">
        <w:t>Palanquilla (</w:t>
      </w:r>
      <w:proofErr w:type="spellStart"/>
      <w:r w:rsidRPr="003B678E">
        <w:t>billet</w:t>
      </w:r>
      <w:proofErr w:type="spellEnd"/>
      <w:r w:rsidRPr="003B678E">
        <w:t>)</w:t>
      </w:r>
    </w:p>
    <w:p w14:paraId="4D99C060" w14:textId="77777777" w:rsidR="00120209" w:rsidRPr="00344484" w:rsidRDefault="00120209" w:rsidP="00120209">
      <w:pPr>
        <w:pStyle w:val="ListParagraph"/>
        <w:spacing w:after="120"/>
        <w:ind w:left="1440"/>
        <w:jc w:val="both"/>
        <w:rPr>
          <w:b/>
          <w:bCs/>
        </w:rPr>
      </w:pPr>
    </w:p>
    <w:p w14:paraId="300BD040" w14:textId="77777777" w:rsidR="00120209" w:rsidRPr="00120209" w:rsidRDefault="00000000" w:rsidP="00344484">
      <w:pPr>
        <w:pStyle w:val="ListParagraph"/>
        <w:numPr>
          <w:ilvl w:val="0"/>
          <w:numId w:val="7"/>
        </w:numPr>
        <w:spacing w:after="120"/>
        <w:jc w:val="both"/>
      </w:pPr>
      <w:r w:rsidRPr="00344484">
        <w:rPr>
          <w:b/>
          <w:bCs/>
        </w:rPr>
        <w:t>Etapa de transformación del producto investigado</w:t>
      </w:r>
    </w:p>
    <w:p w14:paraId="72DABF57" w14:textId="2CFD09B1" w:rsidR="00E90557" w:rsidRDefault="00000000" w:rsidP="00120209">
      <w:pPr>
        <w:pStyle w:val="ListParagraph"/>
        <w:spacing w:after="120"/>
        <w:ind w:left="1440"/>
      </w:pPr>
      <w:r w:rsidRPr="00120209">
        <w:rPr>
          <w:b/>
          <w:bCs/>
        </w:rPr>
        <w:br/>
      </w:r>
      <w:sdt>
        <w:sdtPr>
          <w:tag w:val="goog_rdk_1"/>
          <w:id w:val="-1782432751"/>
        </w:sdtPr>
        <w:sdtContent>
          <w:r w:rsidRPr="00120209">
            <w:rPr>
              <w:rFonts w:ascii="Arial Unicode MS" w:eastAsia="Arial Unicode MS" w:hAnsi="Arial Unicode MS" w:cs="Arial Unicode MS"/>
            </w:rPr>
            <w:t xml:space="preserve"> </w:t>
          </w:r>
          <w:r w:rsidR="00B63830" w:rsidRPr="00120209">
            <w:rPr>
              <w:rFonts w:ascii="Arial Unicode MS" w:eastAsia="Arial Unicode MS" w:hAnsi="Arial Unicode MS" w:cs="Arial Unicode MS"/>
            </w:rPr>
            <w:t>Recepción y</w:t>
          </w:r>
          <w:r w:rsidRPr="00120209">
            <w:rPr>
              <w:rFonts w:ascii="Arial Unicode MS" w:eastAsia="Arial Unicode MS" w:hAnsi="Arial Unicode MS" w:cs="Arial Unicode MS"/>
            </w:rPr>
            <w:t xml:space="preserve"> almacenamiento de palanquillas</w:t>
          </w:r>
          <w:r w:rsidRPr="00120209">
            <w:rPr>
              <w:rFonts w:ascii="Arial Unicode MS" w:eastAsia="Arial Unicode MS" w:hAnsi="Arial Unicode MS" w:cs="Arial Unicode MS"/>
            </w:rPr>
            <w:br/>
            <w:t xml:space="preserve"> → Horno de recalentamiento</w:t>
          </w:r>
          <w:r w:rsidRPr="00120209">
            <w:rPr>
              <w:rFonts w:ascii="Arial Unicode MS" w:eastAsia="Arial Unicode MS" w:hAnsi="Arial Unicode MS" w:cs="Arial Unicode MS"/>
            </w:rPr>
            <w:br/>
            <w:t xml:space="preserve"> → Laminación en caliente (desbaste / intermedia / acabado)</w:t>
          </w:r>
          <w:r w:rsidRPr="00120209">
            <w:rPr>
              <w:rFonts w:ascii="Arial Unicode MS" w:eastAsia="Arial Unicode MS" w:hAnsi="Arial Unicode MS" w:cs="Arial Unicode MS"/>
            </w:rPr>
            <w:br/>
            <w:t xml:space="preserve"> → Formación de resaltes o corrugas durante el laminado</w:t>
          </w:r>
          <w:r w:rsidRPr="00120209">
            <w:rPr>
              <w:rFonts w:ascii="Arial Unicode MS" w:eastAsia="Arial Unicode MS" w:hAnsi="Arial Unicode MS" w:cs="Arial Unicode MS"/>
            </w:rPr>
            <w:br/>
            <w:t xml:space="preserve"> → Enfriamiento controlado / enfriamiento en cama de enfriamiento o por aire</w:t>
          </w:r>
          <w:r w:rsidRPr="00120209">
            <w:rPr>
              <w:rFonts w:ascii="Arial Unicode MS" w:eastAsia="Arial Unicode MS" w:hAnsi="Arial Unicode MS" w:cs="Arial Unicode MS"/>
            </w:rPr>
            <w:br/>
            <w:t xml:space="preserve"> → Corte a longitud comercial o formado en rollos</w:t>
          </w:r>
          <w:r w:rsidRPr="00120209">
            <w:rPr>
              <w:rFonts w:ascii="Arial Unicode MS" w:eastAsia="Arial Unicode MS" w:hAnsi="Arial Unicode MS" w:cs="Arial Unicode MS"/>
            </w:rPr>
            <w:br/>
            <w:t xml:space="preserve"> → Inspección y control de calidad</w:t>
          </w:r>
          <w:r w:rsidRPr="00120209">
            <w:rPr>
              <w:rFonts w:ascii="Arial Unicode MS" w:eastAsia="Arial Unicode MS" w:hAnsi="Arial Unicode MS" w:cs="Arial Unicode MS"/>
            </w:rPr>
            <w:br/>
            <w:t xml:space="preserve"> → Amarre / empaque en atados o rollos</w:t>
          </w:r>
          <w:r w:rsidRPr="00120209">
            <w:rPr>
              <w:rFonts w:ascii="Arial Unicode MS" w:eastAsia="Arial Unicode MS" w:hAnsi="Arial Unicode MS" w:cs="Arial Unicode MS"/>
            </w:rPr>
            <w:br/>
            <w:t xml:space="preserve"> → Almacenamiento y despacho</w:t>
          </w:r>
        </w:sdtContent>
      </w:sdt>
    </w:p>
    <w:p w14:paraId="4CEB5D39" w14:textId="22E81B3E" w:rsidR="00E90557" w:rsidRDefault="00000000">
      <w:pPr>
        <w:spacing w:before="240" w:after="240"/>
        <w:jc w:val="both"/>
      </w:pPr>
      <w:r>
        <w:t xml:space="preserve">La evidencia documental consultada respalda esta secuencia. El estándar </w:t>
      </w:r>
      <w:r w:rsidRPr="00B63830">
        <w:t>chino GB 1499.2-2024,</w:t>
      </w:r>
      <w:r>
        <w:t xml:space="preserve"> actualmente vigente</w:t>
      </w:r>
      <w:r w:rsidR="00B63830">
        <w:t xml:space="preserve"> y equivalente a ASTM615</w:t>
      </w:r>
      <w:r>
        <w:t>, identifica expresamente el producto como “</w:t>
      </w:r>
      <w:proofErr w:type="spellStart"/>
      <w:r>
        <w:t>hot</w:t>
      </w:r>
      <w:proofErr w:type="spellEnd"/>
      <w:r>
        <w:t xml:space="preserve"> </w:t>
      </w:r>
      <w:proofErr w:type="spellStart"/>
      <w:r>
        <w:t>rolled</w:t>
      </w:r>
      <w:proofErr w:type="spellEnd"/>
      <w:r>
        <w:t xml:space="preserve"> </w:t>
      </w:r>
      <w:proofErr w:type="spellStart"/>
      <w:r>
        <w:t>ribbed</w:t>
      </w:r>
      <w:proofErr w:type="spellEnd"/>
      <w:r>
        <w:t xml:space="preserve"> </w:t>
      </w:r>
      <w:proofErr w:type="spellStart"/>
      <w:r>
        <w:t>bars</w:t>
      </w:r>
      <w:proofErr w:type="spellEnd"/>
      <w:r>
        <w:t xml:space="preserve">” para refuerzo de concreto, es decir, barras corrugadas obtenidas por laminación en caliente. Asimismo, </w:t>
      </w:r>
      <w:r w:rsidRPr="00B63830">
        <w:t>patentes chinas</w:t>
      </w:r>
      <w:r>
        <w:t xml:space="preserve"> sobre producción de varilla corrugada describen el proceso industrial partiendo de la palanquilla de acero, seguido de calentamiento, laminación de desbaste, laminación intermedia o semiacabado, laminación final, enfriamiento y obtención de la barra corrugada.</w:t>
      </w:r>
    </w:p>
    <w:p w14:paraId="7C642DD8" w14:textId="5BB50AB5" w:rsidR="00E90557" w:rsidRDefault="00000000">
      <w:pPr>
        <w:spacing w:after="120"/>
        <w:jc w:val="both"/>
      </w:pPr>
      <w:r>
        <w:t>En particular</w:t>
      </w:r>
      <w:r w:rsidRPr="009E0E76">
        <w:t>, una patente china</w:t>
      </w:r>
      <w:r w:rsidR="009E0E76">
        <w:t xml:space="preserve"> (</w:t>
      </w:r>
      <w:proofErr w:type="gramStart"/>
      <w:r w:rsidR="009E0E76">
        <w:t xml:space="preserve">anexa) </w:t>
      </w:r>
      <w:r w:rsidRPr="009E0E76">
        <w:t xml:space="preserve"> describe</w:t>
      </w:r>
      <w:proofErr w:type="gramEnd"/>
      <w:r>
        <w:t xml:space="preserve"> como etapas: calentar la palanquilla, desbastarla, someterla a laminación semiacabada, enfriamiento, laminación final y enfriamiento por aire, mientras otra describe palanquilla, calentamiento, laminación gruesa e intermedia, laminación precisa, enfriamiento en cama y almacenamiento, lo que confirma que la etapa productiva relevante del bien investigado es la laminación en caliente de palanquilla hasta obtener la varilla corrugada final.</w:t>
      </w:r>
    </w:p>
    <w:p w14:paraId="2A3FA504" w14:textId="77777777" w:rsidR="00E90557" w:rsidRDefault="00000000">
      <w:pPr>
        <w:spacing w:after="120"/>
        <w:jc w:val="both"/>
      </w:pPr>
      <w:r>
        <w:t>Cabe resaltar que las barras o varillas de acero corrugadas producidas en la República Popular China se encuentran reguladas por la norma técnica GB/T 1499.2-2024, la cual establece los requisitos para barras corrugadas laminadas en caliente para refuerzo de concreto.</w:t>
      </w:r>
    </w:p>
    <w:p w14:paraId="66AA5382" w14:textId="77777777" w:rsidR="00E90557" w:rsidRDefault="00000000">
      <w:pPr>
        <w:spacing w:after="120"/>
        <w:jc w:val="both"/>
      </w:pPr>
      <w:r>
        <w:t>Dicha norma resulta sustancialmente equivalente a la norma internacional ASTM A615, aplicable en la República Dominicana a través de la NORDOM 458, en la medida en que ambas regulan:</w:t>
      </w:r>
    </w:p>
    <w:p w14:paraId="2F527FE3" w14:textId="77777777" w:rsidR="00E90557" w:rsidRDefault="00000000">
      <w:pPr>
        <w:spacing w:after="120"/>
        <w:ind w:left="720"/>
        <w:jc w:val="both"/>
      </w:pPr>
      <w:r>
        <w:t>·       composición química del acero</w:t>
      </w:r>
    </w:p>
    <w:p w14:paraId="0B010341" w14:textId="77777777" w:rsidR="00E90557" w:rsidRDefault="00000000">
      <w:pPr>
        <w:spacing w:after="120"/>
        <w:ind w:left="720"/>
        <w:jc w:val="both"/>
      </w:pPr>
      <w:r>
        <w:t>·       propiedades mecánicas (límite de fluencia, resistencia a la tracción, elongación)</w:t>
      </w:r>
    </w:p>
    <w:p w14:paraId="40E69BA5" w14:textId="77777777" w:rsidR="00E90557" w:rsidRDefault="00000000">
      <w:pPr>
        <w:spacing w:after="120"/>
        <w:ind w:left="720"/>
        <w:jc w:val="both"/>
      </w:pPr>
      <w:r>
        <w:lastRenderedPageBreak/>
        <w:t>·       geometría y dimensiones de las corrugas</w:t>
      </w:r>
    </w:p>
    <w:p w14:paraId="69EDEA45" w14:textId="77777777" w:rsidR="00E90557" w:rsidRDefault="00000000">
      <w:pPr>
        <w:spacing w:after="120"/>
        <w:ind w:left="720"/>
        <w:jc w:val="both"/>
      </w:pPr>
      <w:r>
        <w:t>·       tolerancias dimensionales</w:t>
      </w:r>
    </w:p>
    <w:p w14:paraId="67415765" w14:textId="77777777" w:rsidR="00E90557" w:rsidRDefault="00000000">
      <w:pPr>
        <w:spacing w:after="120"/>
        <w:ind w:left="720"/>
        <w:jc w:val="both"/>
      </w:pPr>
      <w:r>
        <w:t>·       ensayos de calidad (tracción, doblado)</w:t>
      </w:r>
    </w:p>
    <w:p w14:paraId="50C2A0F8" w14:textId="77777777" w:rsidR="00E90557" w:rsidRDefault="00000000">
      <w:pPr>
        <w:spacing w:after="120"/>
        <w:ind w:left="720"/>
        <w:jc w:val="both"/>
      </w:pPr>
      <w:r>
        <w:t>·       requisitos de identificación y marcado</w:t>
      </w:r>
    </w:p>
    <w:p w14:paraId="55A63DC8" w14:textId="77777777" w:rsidR="00E90557" w:rsidRDefault="00000000">
      <w:pPr>
        <w:spacing w:after="120"/>
        <w:jc w:val="both"/>
      </w:pPr>
      <w:r>
        <w:t>En consecuencia, tanto el producto importado originario de China como el producto nacional se rigen por estándares técnicos comparables, lo que confirma su equivalencia en términos de calidad, desempeño estructural y uso final como acero de refuerzo para concreto.</w:t>
      </w:r>
    </w:p>
    <w:p w14:paraId="659D0CE0" w14:textId="77777777" w:rsidR="00E90557" w:rsidRDefault="00000000">
      <w:pPr>
        <w:spacing w:after="120"/>
        <w:jc w:val="both"/>
      </w:pPr>
      <w:r>
        <w:t xml:space="preserve"> </w:t>
      </w:r>
    </w:p>
    <w:p w14:paraId="5503EACE" w14:textId="77777777" w:rsidR="00E90557" w:rsidRDefault="00000000">
      <w:pPr>
        <w:spacing w:after="120"/>
        <w:jc w:val="both"/>
        <w:rPr>
          <w:b/>
          <w:bCs/>
        </w:rPr>
      </w:pPr>
      <w:r>
        <w:rPr>
          <w:b/>
          <w:bCs/>
        </w:rPr>
        <w:t>En el anexo 2, encontramos las pruebas documentales revisadas.</w:t>
      </w:r>
    </w:p>
    <w:p w14:paraId="1253BD3A" w14:textId="77777777" w:rsidR="00E90557" w:rsidRDefault="00000000">
      <w:pPr>
        <w:spacing w:after="120"/>
        <w:ind w:left="720"/>
        <w:jc w:val="both"/>
      </w:pPr>
      <w:r>
        <w:t>1.</w:t>
      </w:r>
      <w:r>
        <w:tab/>
        <w:t xml:space="preserve">Estándar chino </w:t>
      </w:r>
      <w:r>
        <w:rPr>
          <w:b/>
          <w:bCs/>
        </w:rPr>
        <w:t>GB 1499.2-2024</w:t>
      </w:r>
      <w:r>
        <w:t>, emitido por la autoridad oficial china de normalización, que identifica el producto como barras corrugadas laminadas en caliente para refuerzo de concreto.</w:t>
      </w:r>
    </w:p>
    <w:p w14:paraId="318F0C20" w14:textId="77777777" w:rsidR="00E90557" w:rsidRDefault="00000000">
      <w:pPr>
        <w:spacing w:after="120"/>
        <w:ind w:left="720"/>
        <w:jc w:val="both"/>
      </w:pPr>
      <w:r>
        <w:t>2.</w:t>
      </w:r>
      <w:r>
        <w:tab/>
        <w:t xml:space="preserve">Documento de patente china </w:t>
      </w:r>
      <w:r>
        <w:rPr>
          <w:b/>
          <w:bCs/>
        </w:rPr>
        <w:t>CN109628849A</w:t>
      </w:r>
      <w:r>
        <w:t>, que describe el método de producción de barras corrugadas laminadas en caliente a partir de palanquilla.</w:t>
      </w:r>
    </w:p>
    <w:p w14:paraId="57D0E7FD" w14:textId="77777777" w:rsidR="00E90557" w:rsidRDefault="00000000">
      <w:pPr>
        <w:spacing w:after="120"/>
        <w:ind w:left="720"/>
        <w:jc w:val="both"/>
      </w:pPr>
      <w:r>
        <w:t>3.</w:t>
      </w:r>
      <w:r>
        <w:tab/>
        <w:t xml:space="preserve">Documento de patente china </w:t>
      </w:r>
      <w:r>
        <w:rPr>
          <w:b/>
          <w:bCs/>
        </w:rPr>
        <w:t>CN101275197A</w:t>
      </w:r>
      <w:r>
        <w:t xml:space="preserve">, que describe el flujo de fabricación de barra deformada de alta resistencia a partir de palanquilla, incluyendo calentamiento, laminación y enfriamiento. </w:t>
      </w:r>
    </w:p>
    <w:p w14:paraId="0460AFE1" w14:textId="77777777" w:rsidR="00E90557" w:rsidRDefault="00E90557">
      <w:pPr>
        <w:pBdr>
          <w:top w:val="nil"/>
          <w:left w:val="nil"/>
          <w:bottom w:val="nil"/>
          <w:right w:val="nil"/>
          <w:between w:val="nil"/>
        </w:pBdr>
        <w:spacing w:after="120"/>
        <w:jc w:val="both"/>
      </w:pPr>
    </w:p>
    <w:p w14:paraId="0C47EB7C" w14:textId="77777777" w:rsidR="00E90557" w:rsidRDefault="00E90557">
      <w:pPr>
        <w:pBdr>
          <w:top w:val="nil"/>
          <w:left w:val="nil"/>
          <w:bottom w:val="nil"/>
          <w:right w:val="nil"/>
          <w:between w:val="nil"/>
        </w:pBdr>
        <w:spacing w:after="120"/>
        <w:jc w:val="both"/>
      </w:pPr>
    </w:p>
    <w:p w14:paraId="3E21B5FC" w14:textId="77777777" w:rsidR="00E90557" w:rsidRDefault="00000000">
      <w:pPr>
        <w:pBdr>
          <w:top w:val="nil"/>
          <w:left w:val="nil"/>
          <w:bottom w:val="nil"/>
          <w:right w:val="nil"/>
          <w:between w:val="nil"/>
        </w:pBdr>
        <w:spacing w:after="120"/>
        <w:jc w:val="both"/>
      </w:pPr>
      <w:proofErr w:type="spellStart"/>
      <w:r>
        <w:t>ii</w:t>
      </w:r>
      <w:proofErr w:type="spellEnd"/>
      <w:r>
        <w:t>. Existen similitudes sustanciales entre el proceso productivo del bien importado originario de China y el proceso productivo del bien nacional fabricado en la República Dominicana. En ambos casos, la etapa de transformación relevante para obtener la varilla corrugada consiste en la laminación en caliente de palanquillas de acero, seguida por enfriamiento, corte o enrollado, inspección, amarre, empaque y almacenamiento. Esta conclusión coincide con lo ya declarado en el formulario, donde se indicó que el producto importado y el producto nacional presentan el mismo tipo de etapas productivas: recepción de insumos, calentamiento, laminación, enfriamiento, corte comercial, formación de atados o rollos, y almacenamiento.</w:t>
      </w:r>
    </w:p>
    <w:p w14:paraId="2E4F5865" w14:textId="77777777" w:rsidR="00E90557" w:rsidRDefault="00000000">
      <w:pPr>
        <w:spacing w:before="240" w:after="240"/>
        <w:jc w:val="both"/>
      </w:pPr>
      <w:r>
        <w:t>Las principales similitudes son las siguientes:</w:t>
      </w:r>
    </w:p>
    <w:p w14:paraId="34FED7FC" w14:textId="77777777" w:rsidR="00E90557" w:rsidRDefault="00000000">
      <w:pPr>
        <w:spacing w:before="240" w:after="240"/>
        <w:jc w:val="both"/>
      </w:pPr>
      <w:r>
        <w:t xml:space="preserve">Primero, en ambos casos el producto final es una </w:t>
      </w:r>
      <w:r>
        <w:rPr>
          <w:b/>
          <w:bCs/>
        </w:rPr>
        <w:t>barra o varilla corrugada para refuerzo de concreto</w:t>
      </w:r>
      <w:r>
        <w:t>, con la misma función económica y el mismo uso final en la construcción. El propio formulario ya establece que los productos son del mismo tipo, con características físicas, químicas, de uso, normas técnicas, insumos y proceso de producción sustancialmente similares.</w:t>
      </w:r>
    </w:p>
    <w:p w14:paraId="2FB0A85A" w14:textId="59D19011" w:rsidR="00E90557" w:rsidRDefault="00000000">
      <w:pPr>
        <w:spacing w:before="240" w:after="240"/>
        <w:jc w:val="both"/>
      </w:pPr>
      <w:r>
        <w:t xml:space="preserve">Segundo, en ambos procesos la palanquilla constituye el insumo directo principal para la etapa de laminación. </w:t>
      </w:r>
    </w:p>
    <w:p w14:paraId="27375B50" w14:textId="77777777" w:rsidR="00E90557" w:rsidRDefault="00000000">
      <w:pPr>
        <w:spacing w:before="240" w:after="240"/>
        <w:jc w:val="both"/>
      </w:pPr>
      <w:r>
        <w:t>Tercero, el producto final en ambos casos debe responder a especificaciones técnicas equivalentes para su uso como acero de refuerzo. El formulario ya indica que, para su comercialización y uso en República Dominicana, las varillas deben ajustarse a la NORDOM 458, vinculada técnicamente con ASTM A615, y que internacionalmente también se referencia ASTM A706.</w:t>
      </w:r>
    </w:p>
    <w:p w14:paraId="11B6E501" w14:textId="1C05515D" w:rsidR="00E90557" w:rsidRDefault="00000000">
      <w:pPr>
        <w:spacing w:before="240" w:after="240"/>
        <w:jc w:val="both"/>
      </w:pPr>
      <w:r>
        <w:lastRenderedPageBreak/>
        <w:t>Por su parte, el estándar chino oficial GB 1499.2-2024 regula precisamente las barras corrugadas laminadas en caliente para refuerzo de concreto</w:t>
      </w:r>
      <w:r w:rsidR="002F6C78">
        <w:t xml:space="preserve"> y debito a China ser un gran exportador este estándar es equivalente y cumple ASTM615.</w:t>
      </w:r>
    </w:p>
    <w:p w14:paraId="307C2225" w14:textId="1C7E36B5" w:rsidR="00E90557" w:rsidRDefault="00000000">
      <w:pPr>
        <w:spacing w:before="240" w:after="240"/>
        <w:jc w:val="both"/>
      </w:pPr>
      <w:r>
        <w:t xml:space="preserve">La </w:t>
      </w:r>
      <w:r>
        <w:rPr>
          <w:b/>
          <w:bCs/>
        </w:rPr>
        <w:t>d</w:t>
      </w:r>
      <w:r>
        <w:t xml:space="preserve">iferencia principal no se encuentra en la etapa de laminación final del producto investigado, sino en la ruta metalúrgica previa de obtención del acero y de la palanquilla. En el caso nacional, conforme al formulario, METALDOM parte de la palanquilla como insumo de entrada para la laminación. En China, la palanquilla puede originarse tanto en una ruta integrada basada en mineral de hierro, carbón/coque y caliza como en una ruta de horno eléctrico basada principalmente en chatarra reciclada y electricidad. </w:t>
      </w:r>
    </w:p>
    <w:p w14:paraId="2536A38F" w14:textId="77777777" w:rsidR="00E90557" w:rsidRDefault="00000000">
      <w:pPr>
        <w:pBdr>
          <w:top w:val="nil"/>
          <w:left w:val="nil"/>
          <w:bottom w:val="nil"/>
          <w:right w:val="nil"/>
          <w:between w:val="nil"/>
        </w:pBdr>
        <w:spacing w:after="120"/>
        <w:jc w:val="both"/>
      </w:pPr>
      <w:r>
        <w:t>En China, la palanquilla utilizada para la fabricación de varilla corrugada puede obtenerse mediante rutas siderúrgicas distintas, incluyendo la ruta integrada basada en mineral de hierro/coque y la ruta de horno eléctrico basada principalmente en chatarra; no obstante, una vez obtenida la palanquilla, la etapa de fabricación del producto investigado consiste igualmente en su laminación en caliente para producir barras o varillas corrugadas</w:t>
      </w:r>
    </w:p>
    <w:p w14:paraId="3C2D6EAE" w14:textId="77777777" w:rsidR="00E90557" w:rsidRDefault="00E90557">
      <w:pPr>
        <w:pBdr>
          <w:top w:val="nil"/>
          <w:left w:val="nil"/>
          <w:bottom w:val="nil"/>
          <w:right w:val="nil"/>
          <w:between w:val="nil"/>
        </w:pBdr>
        <w:spacing w:after="120"/>
        <w:jc w:val="both"/>
      </w:pPr>
    </w:p>
    <w:p w14:paraId="35FBD8DC" w14:textId="4CABD279" w:rsidR="00E90557" w:rsidRDefault="00000000">
      <w:pPr>
        <w:pBdr>
          <w:top w:val="nil"/>
          <w:left w:val="nil"/>
          <w:bottom w:val="nil"/>
          <w:right w:val="nil"/>
          <w:between w:val="nil"/>
        </w:pBdr>
        <w:spacing w:after="120"/>
        <w:jc w:val="both"/>
      </w:pPr>
      <w:r>
        <w:t xml:space="preserve">Ver anexo </w:t>
      </w:r>
      <w:r w:rsidR="00757253">
        <w:t>2</w:t>
      </w:r>
      <w:r>
        <w:t xml:space="preserve"> </w:t>
      </w:r>
    </w:p>
    <w:p w14:paraId="19BB4CFC" w14:textId="77777777" w:rsidR="00E90557" w:rsidRDefault="00E90557">
      <w:pPr>
        <w:spacing w:after="60"/>
      </w:pPr>
    </w:p>
    <w:p w14:paraId="418529F3" w14:textId="77777777" w:rsidR="00E90557" w:rsidRDefault="00000000">
      <w:pPr>
        <w:numPr>
          <w:ilvl w:val="0"/>
          <w:numId w:val="1"/>
        </w:numPr>
        <w:pBdr>
          <w:top w:val="nil"/>
          <w:left w:val="nil"/>
          <w:bottom w:val="nil"/>
          <w:right w:val="nil"/>
          <w:between w:val="nil"/>
        </w:pBdr>
        <w:spacing w:after="120"/>
        <w:jc w:val="both"/>
        <w:rPr>
          <w:color w:val="000000"/>
        </w:rPr>
      </w:pPr>
      <w:r>
        <w:rPr>
          <w:b/>
          <w:bCs/>
          <w:color w:val="000000"/>
        </w:rPr>
        <w:t>Punto 16.-</w:t>
      </w:r>
      <w:r>
        <w:rPr>
          <w:color w:val="000000"/>
        </w:rPr>
        <w:t xml:space="preserve"> Explicar por qué se ha identificado la subpartida arancelaria 7213.10.00 como producto similar al objeto de examen dado que, conforme a la descripción de la Séptima Enmienda del Arancel de Aduanas de la República Dominicana dicha subpartida se refiere a alambrón de hierro o acero.</w:t>
      </w:r>
    </w:p>
    <w:p w14:paraId="2CA73748" w14:textId="77777777" w:rsidR="00E90557" w:rsidRDefault="00000000">
      <w:pPr>
        <w:spacing w:before="240" w:after="240"/>
        <w:jc w:val="both"/>
      </w:pPr>
      <w:r>
        <w:t>Respecto a la identificación de la subpartida arancelaria 7213.10.00 como producto similar al objeto de examen, se aclara que dicha referencia igualmente proviene del expediente original de la investigación iniciada en 2016, en el cual se incluyeron distintas subpartidas arancelarias bajo un enfoque amplio de identificación del producto.</w:t>
      </w:r>
    </w:p>
    <w:p w14:paraId="26007D21" w14:textId="77777777" w:rsidR="00E90557" w:rsidRDefault="00000000">
      <w:pPr>
        <w:spacing w:before="240" w:after="240"/>
        <w:jc w:val="both"/>
      </w:pPr>
      <w:r>
        <w:t>No obstante, es importante precisar que, conforme a la Séptima Enmienda del Arancel de Aduanas de la República Dominicana, la subpartida 7213.10.00 corresponde a alambrón de hierro o acero, el cual constituye un producto distinto en su forma, características comerciales y uso final respecto a las varillas de acero corrugadas para refuerzo de concreto que conforman el producto objeto de examen.</w:t>
      </w:r>
    </w:p>
    <w:p w14:paraId="7BCD28C3" w14:textId="77777777" w:rsidR="00E90557" w:rsidRDefault="00000000">
      <w:pPr>
        <w:spacing w:before="240" w:after="240"/>
        <w:jc w:val="both"/>
      </w:pPr>
      <w:r>
        <w:t>Adicionalmente, del análisis técnico realizado en el marco de la investigación original —reflejado en el informe técnico final— se desprende que la autoridad investigadora no identificó importaciones del producto investigado clasificadas bajo la subpartida 7213.10.00, lo que refuerza que dicha subpartida no formó parte del universo efectivo de importaciones analizadas para efectos de la determinación de dumping y daño.</w:t>
      </w:r>
    </w:p>
    <w:p w14:paraId="08A1AF83" w14:textId="77777777" w:rsidR="00E90557" w:rsidRDefault="00000000">
      <w:pPr>
        <w:spacing w:before="240" w:after="240"/>
        <w:jc w:val="both"/>
      </w:pPr>
      <w:r>
        <w:t>En coherencia con lo anterior, la resolución final del examen por extinción (Resolución núm. CDC-RD-AD-001-2022) no incluye la subpartida 7213.10.00 dentro del ámbito de aplicación de la medida vigente.</w:t>
      </w:r>
    </w:p>
    <w:p w14:paraId="3DD6F301" w14:textId="77777777" w:rsidR="00E90557" w:rsidRDefault="00000000">
      <w:pPr>
        <w:spacing w:before="240" w:after="240"/>
        <w:jc w:val="both"/>
      </w:pPr>
      <w:r>
        <w:t>En consecuencia, la referencia a dicha subpartida debe entenderse como un elemento de carácter histórico dentro del expediente inicial, derivado del enfoque precautorio adoptado en la etapa de inicio, y no como una calificación técnica actual de “producto similar” en sentido estricto.</w:t>
      </w:r>
    </w:p>
    <w:p w14:paraId="7A3552F6" w14:textId="77777777" w:rsidR="00E90557" w:rsidRDefault="00000000">
      <w:pPr>
        <w:spacing w:before="240" w:after="240"/>
        <w:jc w:val="both"/>
      </w:pPr>
      <w:r>
        <w:lastRenderedPageBreak/>
        <w:t xml:space="preserve"> </w:t>
      </w:r>
    </w:p>
    <w:p w14:paraId="6ABCB342" w14:textId="77777777" w:rsidR="00E90557" w:rsidRDefault="00000000">
      <w:pPr>
        <w:numPr>
          <w:ilvl w:val="0"/>
          <w:numId w:val="1"/>
        </w:numPr>
        <w:pBdr>
          <w:top w:val="nil"/>
          <w:left w:val="nil"/>
          <w:bottom w:val="nil"/>
          <w:right w:val="nil"/>
          <w:between w:val="nil"/>
        </w:pBdr>
        <w:spacing w:after="120"/>
        <w:jc w:val="both"/>
        <w:rPr>
          <w:color w:val="000000"/>
        </w:rPr>
      </w:pPr>
      <w:r>
        <w:rPr>
          <w:b/>
          <w:bCs/>
          <w:color w:val="000000"/>
        </w:rPr>
        <w:t>Punto 22.-</w:t>
      </w:r>
      <w:r>
        <w:rPr>
          <w:color w:val="000000"/>
        </w:rPr>
        <w:t xml:space="preserve"> Suministrar las pruebas documentales que respalden sus afirmaciones.</w:t>
      </w:r>
    </w:p>
    <w:p w14:paraId="6435C99C" w14:textId="77777777" w:rsidR="00E90557" w:rsidRDefault="00E90557">
      <w:pPr>
        <w:spacing w:after="60"/>
      </w:pPr>
    </w:p>
    <w:p w14:paraId="7E844F51" w14:textId="77777777" w:rsidR="00E90557" w:rsidRDefault="00000000">
      <w:pPr>
        <w:spacing w:after="60"/>
      </w:pPr>
      <w:r>
        <w:t>Según las normas depositadas, las varillas que producen la RPN cumplen con las normas internacionales ASTM 615.</w:t>
      </w:r>
    </w:p>
    <w:p w14:paraId="34E3DAFA" w14:textId="77777777" w:rsidR="00E90557" w:rsidRDefault="00E90557">
      <w:pPr>
        <w:spacing w:after="60"/>
      </w:pPr>
    </w:p>
    <w:p w14:paraId="245468BC" w14:textId="77777777" w:rsidR="00E90557" w:rsidRDefault="00000000">
      <w:pPr>
        <w:spacing w:after="60"/>
      </w:pPr>
      <w:r>
        <w:t xml:space="preserve">A su vez, según IBC Metal Group (tjibc.com), fabricante chino de acero con certificación ISO, el estándar ASTM A615 Grado </w:t>
      </w:r>
      <w:proofErr w:type="gramStart"/>
      <w:r>
        <w:t>60 ,</w:t>
      </w:r>
      <w:proofErr w:type="gramEnd"/>
      <w:r>
        <w:t xml:space="preserve"> predominante en Norte y Sudamérica con una resistencia de fluencia mínima de 60,000 psi (~415 MPa), es funcionalmente equivalente a la varilla china HRB400 producida bajo la norma GB1499.2, la cual posee una fluencia mínima de 400 MPa. Ambas varillas son de acero al carbono laminado en caliente, diseñadas específicamente para el refuerzo de estructuras de concreto, por lo que su comportamiento en conjunto con el concreto es comparable. De hecho, este fabricante produce regularmente varillas con doble certificación GB1499.2 HRB400E / ASTM A615 Grado 60, práctica común en proyectos de ingeniería internacionales, respaldada por certificados de prueba de fábrica (Mill Test </w:t>
      </w:r>
      <w:proofErr w:type="spellStart"/>
      <w:r>
        <w:t>Certificates</w:t>
      </w:r>
      <w:proofErr w:type="spellEnd"/>
      <w:r>
        <w:t>) que verifican el cumplimiento simultáneo de ambas normas.</w:t>
      </w:r>
    </w:p>
    <w:p w14:paraId="5542CBD0" w14:textId="77777777" w:rsidR="00E90557" w:rsidRDefault="00E90557">
      <w:pPr>
        <w:spacing w:after="60"/>
      </w:pPr>
    </w:p>
    <w:p w14:paraId="7E91CA64" w14:textId="77777777" w:rsidR="00E90557" w:rsidRDefault="00E90557">
      <w:pPr>
        <w:spacing w:after="60"/>
      </w:pPr>
      <w:hyperlink r:id="rId9">
        <w:r>
          <w:rPr>
            <w:color w:val="1155CC"/>
            <w:u w:val="single"/>
          </w:rPr>
          <w:t>https://tjibc.com/news/hot-ribbed-steel-rebar-carbon-steel-rebar/</w:t>
        </w:r>
      </w:hyperlink>
      <w:r>
        <w:t xml:space="preserve"> </w:t>
      </w:r>
    </w:p>
    <w:p w14:paraId="3A0E6ABF" w14:textId="77777777" w:rsidR="00E90557" w:rsidRDefault="00E90557">
      <w:pPr>
        <w:spacing w:after="60"/>
      </w:pPr>
    </w:p>
    <w:p w14:paraId="5621E426" w14:textId="77777777" w:rsidR="00E90557" w:rsidRDefault="00000000">
      <w:pPr>
        <w:spacing w:after="60"/>
      </w:pPr>
      <w:r>
        <w:t xml:space="preserve">En adición, China cuenta con un gran mercado de exportación, donde sus productos deben cumplir con las normas locales de cada país. En este caso, las normas locales, que son equivalentes al ASTM 615, es la más utilizada en el mercado global de la Construcción, incluyendo </w:t>
      </w:r>
      <w:proofErr w:type="spellStart"/>
      <w:r>
        <w:t>norteamérica</w:t>
      </w:r>
      <w:proofErr w:type="spellEnd"/>
      <w:r>
        <w:t xml:space="preserve">, otros países de Latinoamérica y Asia. </w:t>
      </w:r>
    </w:p>
    <w:p w14:paraId="6D3A5992" w14:textId="77777777" w:rsidR="00E90557" w:rsidRDefault="00E90557">
      <w:pPr>
        <w:spacing w:after="60"/>
      </w:pPr>
    </w:p>
    <w:p w14:paraId="728B3916" w14:textId="77777777" w:rsidR="00E90557" w:rsidRDefault="00E90557">
      <w:pPr>
        <w:spacing w:after="60"/>
      </w:pPr>
      <w:hyperlink r:id="rId10">
        <w:r>
          <w:rPr>
            <w:color w:val="1155CC"/>
            <w:u w:val="single"/>
          </w:rPr>
          <w:t>https://www.cjmsteelgroup.com/es/understanding-astm-a615-rebar.html</w:t>
        </w:r>
      </w:hyperlink>
      <w:r>
        <w:t xml:space="preserve"> </w:t>
      </w:r>
    </w:p>
    <w:p w14:paraId="6219F55B" w14:textId="77777777" w:rsidR="00E90557" w:rsidRDefault="00E90557">
      <w:pPr>
        <w:spacing w:after="60"/>
      </w:pPr>
    </w:p>
    <w:p w14:paraId="18E68159" w14:textId="77777777" w:rsidR="00E90557" w:rsidRDefault="00000000">
      <w:pPr>
        <w:spacing w:after="60"/>
      </w:pPr>
      <w:r>
        <w:t>Ver anexo 3</w:t>
      </w:r>
    </w:p>
    <w:p w14:paraId="5DFCEC47" w14:textId="77777777" w:rsidR="00E90557" w:rsidRDefault="00E90557">
      <w:pPr>
        <w:spacing w:after="60"/>
      </w:pPr>
    </w:p>
    <w:p w14:paraId="4B013B6E" w14:textId="77777777" w:rsidR="00E90557" w:rsidRDefault="00000000">
      <w:pPr>
        <w:numPr>
          <w:ilvl w:val="0"/>
          <w:numId w:val="1"/>
        </w:numPr>
        <w:pBdr>
          <w:top w:val="nil"/>
          <w:left w:val="nil"/>
          <w:bottom w:val="nil"/>
          <w:right w:val="nil"/>
          <w:between w:val="nil"/>
        </w:pBdr>
        <w:spacing w:after="120"/>
        <w:jc w:val="both"/>
        <w:rPr>
          <w:color w:val="000000"/>
        </w:rPr>
      </w:pPr>
      <w:r>
        <w:rPr>
          <w:b/>
          <w:bCs/>
          <w:color w:val="000000"/>
        </w:rPr>
        <w:t>Punto 23.-</w:t>
      </w:r>
      <w:r>
        <w:rPr>
          <w:color w:val="000000"/>
        </w:rPr>
        <w:t xml:space="preserve"> Suministrar las pruebas documentales que respalden sus afirmaciones. </w:t>
      </w:r>
      <w:r w:rsidRPr="00C947D7">
        <w:rPr>
          <w:i/>
          <w:iCs/>
        </w:rPr>
        <w:t>“</w:t>
      </w:r>
      <w:r w:rsidRPr="00C947D7">
        <w:rPr>
          <w:rFonts w:ascii="Times New Roman" w:eastAsia="Times New Roman" w:hAnsi="Times New Roman" w:cs="Times New Roman"/>
          <w:i/>
          <w:iCs/>
          <w:sz w:val="24"/>
          <w:szCs w:val="24"/>
        </w:rPr>
        <w:t xml:space="preserve">Indicar si existen </w:t>
      </w:r>
      <w:r w:rsidRPr="00C947D7">
        <w:rPr>
          <w:rFonts w:ascii="Times New Roman" w:eastAsia="Times New Roman" w:hAnsi="Times New Roman" w:cs="Times New Roman"/>
          <w:i/>
          <w:iCs/>
          <w:sz w:val="24"/>
          <w:szCs w:val="24"/>
          <w:u w:val="single"/>
        </w:rPr>
        <w:t>diferencias entre los procesos productivos</w:t>
      </w:r>
      <w:r w:rsidRPr="00C947D7">
        <w:rPr>
          <w:rFonts w:ascii="Times New Roman" w:eastAsia="Times New Roman" w:hAnsi="Times New Roman" w:cs="Times New Roman"/>
          <w:i/>
          <w:iCs/>
          <w:sz w:val="24"/>
          <w:szCs w:val="24"/>
        </w:rPr>
        <w:t xml:space="preserve"> que se llevan a cabo el país de origen de la mercancía importada y en la República Dominicana para fabricar el producto objeto de examen, favor de señalarlas y explique en qué consisten esas diferencias</w:t>
      </w:r>
      <w:r>
        <w:rPr>
          <w:rFonts w:ascii="Times New Roman" w:eastAsia="Times New Roman" w:hAnsi="Times New Roman" w:cs="Times New Roman"/>
          <w:sz w:val="24"/>
          <w:szCs w:val="24"/>
        </w:rPr>
        <w:t>”.</w:t>
      </w:r>
    </w:p>
    <w:p w14:paraId="0951CA6C" w14:textId="77777777" w:rsidR="00E90557" w:rsidRDefault="00E90557">
      <w:pPr>
        <w:pBdr>
          <w:top w:val="nil"/>
          <w:left w:val="nil"/>
          <w:bottom w:val="nil"/>
          <w:right w:val="nil"/>
          <w:between w:val="nil"/>
        </w:pBdr>
        <w:spacing w:after="120"/>
        <w:ind w:left="1440"/>
        <w:jc w:val="both"/>
      </w:pPr>
    </w:p>
    <w:p w14:paraId="21CF5472" w14:textId="3277DF8A" w:rsidR="00E90557" w:rsidRDefault="00000000">
      <w:pPr>
        <w:spacing w:before="240" w:after="240"/>
        <w:jc w:val="both"/>
      </w:pPr>
      <w:r>
        <w:t xml:space="preserve">Como expresamos anteriormente, la </w:t>
      </w:r>
      <w:r>
        <w:rPr>
          <w:b/>
          <w:bCs/>
        </w:rPr>
        <w:t>d</w:t>
      </w:r>
      <w:r>
        <w:t xml:space="preserve">iferencia principal no se encuentra en la etapa de laminación final del producto investigado, sino en la ruta metalúrgica previa de obtención del acero y de la palanquilla. En el caso nacional, conforme al formulario, METALDOM parte de la palanquilla como insumo de entrada para la laminación. En China, la palanquilla puede originarse tanto en una ruta integrada basada en mineral de hierro, carbón/coque y caliza como en una ruta de horno eléctrico basada principalmente en chatarra reciclada y electricidad. </w:t>
      </w:r>
    </w:p>
    <w:p w14:paraId="29E770A2" w14:textId="77777777" w:rsidR="00E90557" w:rsidRDefault="00000000">
      <w:pPr>
        <w:spacing w:after="120"/>
        <w:jc w:val="both"/>
      </w:pPr>
      <w:r>
        <w:t xml:space="preserve">En China, la palanquilla utilizada para la fabricación de varilla corrugada puede obtenerse mediante rutas siderúrgicas distintas, incluyendo la ruta integrada basada en mineral de </w:t>
      </w:r>
      <w:r>
        <w:lastRenderedPageBreak/>
        <w:t>hierro/coque y la ruta de horno eléctrico basada principalmente en chatarra; no obstante, una vez obtenida la palanquilla, la etapa de fabricación del producto investigado consiste igualmente en su laminación en caliente para producir barras o varillas corrugadas</w:t>
      </w:r>
    </w:p>
    <w:p w14:paraId="2ED8BAD0" w14:textId="77777777" w:rsidR="00E90557" w:rsidRDefault="00E90557">
      <w:pPr>
        <w:pBdr>
          <w:top w:val="nil"/>
          <w:left w:val="nil"/>
          <w:bottom w:val="nil"/>
          <w:right w:val="nil"/>
          <w:between w:val="nil"/>
        </w:pBdr>
        <w:spacing w:after="120"/>
        <w:ind w:left="1440"/>
        <w:jc w:val="both"/>
      </w:pPr>
    </w:p>
    <w:p w14:paraId="4B838DBC" w14:textId="77777777" w:rsidR="00E90557" w:rsidRDefault="00E90557">
      <w:pPr>
        <w:pBdr>
          <w:top w:val="nil"/>
          <w:left w:val="nil"/>
          <w:bottom w:val="nil"/>
          <w:right w:val="nil"/>
          <w:between w:val="nil"/>
        </w:pBdr>
        <w:spacing w:after="120"/>
        <w:ind w:left="1440"/>
        <w:jc w:val="both"/>
      </w:pPr>
    </w:p>
    <w:p w14:paraId="10E14CC7" w14:textId="77777777" w:rsidR="00E90557" w:rsidRDefault="00E90557">
      <w:pPr>
        <w:pBdr>
          <w:top w:val="nil"/>
          <w:left w:val="nil"/>
          <w:bottom w:val="nil"/>
          <w:right w:val="nil"/>
          <w:between w:val="nil"/>
        </w:pBdr>
        <w:spacing w:after="120"/>
        <w:ind w:left="1440"/>
        <w:jc w:val="both"/>
      </w:pPr>
    </w:p>
    <w:p w14:paraId="12783E75" w14:textId="03773ED1" w:rsidR="00E90557" w:rsidRDefault="002D1543">
      <w:pPr>
        <w:spacing w:after="60"/>
      </w:pPr>
      <w:r>
        <w:t>Ver anexo 2 y Anexo 3</w:t>
      </w:r>
    </w:p>
    <w:p w14:paraId="2A00D430" w14:textId="77777777" w:rsidR="00E90557" w:rsidRDefault="00000000">
      <w:pPr>
        <w:numPr>
          <w:ilvl w:val="0"/>
          <w:numId w:val="1"/>
        </w:numPr>
        <w:pBdr>
          <w:top w:val="nil"/>
          <w:left w:val="nil"/>
          <w:bottom w:val="nil"/>
          <w:right w:val="nil"/>
          <w:between w:val="nil"/>
        </w:pBdr>
        <w:spacing w:after="120"/>
        <w:jc w:val="both"/>
      </w:pPr>
      <w:r>
        <w:rPr>
          <w:b/>
          <w:bCs/>
          <w:color w:val="000000"/>
        </w:rPr>
        <w:t>Punto 27.-</w:t>
      </w:r>
    </w:p>
    <w:p w14:paraId="7CD90C6D" w14:textId="77777777" w:rsidR="00E90557" w:rsidRDefault="00000000">
      <w:pPr>
        <w:numPr>
          <w:ilvl w:val="0"/>
          <w:numId w:val="2"/>
        </w:numPr>
        <w:pBdr>
          <w:top w:val="nil"/>
          <w:left w:val="nil"/>
          <w:bottom w:val="nil"/>
          <w:right w:val="nil"/>
          <w:between w:val="nil"/>
        </w:pBdr>
        <w:spacing w:after="120"/>
        <w:jc w:val="both"/>
        <w:rPr>
          <w:color w:val="000000"/>
        </w:rPr>
      </w:pPr>
      <w:r>
        <w:rPr>
          <w:color w:val="000000"/>
        </w:rPr>
        <w:t>Explicar por qué los datos de producción incluyen productos distintos del investigado (barras lisas y cuadradas).</w:t>
      </w:r>
    </w:p>
    <w:p w14:paraId="68C9FE48" w14:textId="77777777" w:rsidR="006A246E" w:rsidRPr="00D4230F" w:rsidRDefault="006A246E" w:rsidP="006A246E">
      <w:pPr>
        <w:pStyle w:val="NormalWeb"/>
        <w:rPr>
          <w:rFonts w:ascii="Arial" w:hAnsi="Arial" w:cs="Arial"/>
          <w:sz w:val="22"/>
          <w:szCs w:val="22"/>
          <w:lang w:val="es-DO"/>
        </w:rPr>
      </w:pPr>
      <w:r w:rsidRPr="00D4230F">
        <w:rPr>
          <w:rFonts w:ascii="Arial" w:hAnsi="Arial" w:cs="Arial"/>
          <w:sz w:val="22"/>
          <w:szCs w:val="22"/>
          <w:lang w:val="es-DO"/>
        </w:rPr>
        <w:t>La inclusión de productos distintos al investigado, como las barras lisas, dentro de los datos de producción reportados responde a las características técnicas inherentes al proceso productivo de laminación. En efecto, a partir de una misma materia prima (palanquilla de acero) y utilizando las mismas líneas de producción, se obtienen de manera conjunta tanto varillas corrugadas (producto investigado) como barras lisas, sin que exista una separación física o funcional del proceso en etapas diferenciadas por tipo de producto.</w:t>
      </w:r>
    </w:p>
    <w:p w14:paraId="282CF3AA" w14:textId="77777777" w:rsidR="006A246E" w:rsidRPr="00D4230F" w:rsidRDefault="006A246E" w:rsidP="006A246E">
      <w:pPr>
        <w:pStyle w:val="NormalWeb"/>
        <w:rPr>
          <w:rFonts w:ascii="Arial" w:hAnsi="Arial" w:cs="Arial"/>
          <w:sz w:val="22"/>
          <w:szCs w:val="22"/>
          <w:lang w:val="es-DO"/>
        </w:rPr>
      </w:pPr>
      <w:r w:rsidRPr="00D4230F">
        <w:rPr>
          <w:rFonts w:ascii="Arial" w:hAnsi="Arial" w:cs="Arial"/>
          <w:sz w:val="22"/>
          <w:szCs w:val="22"/>
          <w:lang w:val="es-DO"/>
        </w:rPr>
        <w:t>En este contexto, la empresa utiliza las órdenes de producción como mecanismo de registro y trazabilidad para identificar los volúmenes correspondientes a cada tipo de producto. A partir de dichas órdenes, se realiza una estimación de la participación relativa de las barras lisas dentro del total de producción de laminación en un período determinado. Este ejercicio permite determinar que las barras lisas representan aproximadamente entre un 8% y un 10% del volumen total producido, proporción que se mantiene relativamente estable a lo largo del tiempo.</w:t>
      </w:r>
    </w:p>
    <w:p w14:paraId="5F8C7CA0" w14:textId="77777777" w:rsidR="006A246E" w:rsidRPr="00D4230F" w:rsidRDefault="006A246E" w:rsidP="006A246E">
      <w:pPr>
        <w:pStyle w:val="NormalWeb"/>
        <w:rPr>
          <w:rFonts w:ascii="Arial" w:hAnsi="Arial" w:cs="Arial"/>
          <w:sz w:val="22"/>
          <w:szCs w:val="22"/>
          <w:lang w:val="es-DO"/>
        </w:rPr>
      </w:pPr>
      <w:r w:rsidRPr="00D4230F">
        <w:rPr>
          <w:rFonts w:ascii="Arial" w:hAnsi="Arial" w:cs="Arial"/>
          <w:sz w:val="22"/>
          <w:szCs w:val="22"/>
          <w:lang w:val="es-DO"/>
        </w:rPr>
        <w:t xml:space="preserve">En cuanto al sistema de costeo, todos los costos asociados al proceso de laminación —incluyendo mano de obra, consumo energético, mantenimiento, depreciación y otros costos indirectos de fabricación— se acumulan en centros de costos comunes, sin diferenciación por tipo de producto, </w:t>
      </w:r>
      <w:proofErr w:type="gramStart"/>
      <w:r w:rsidRPr="00D4230F">
        <w:rPr>
          <w:rFonts w:ascii="Arial" w:hAnsi="Arial" w:cs="Arial"/>
          <w:sz w:val="22"/>
          <w:szCs w:val="22"/>
          <w:lang w:val="es-DO"/>
        </w:rPr>
        <w:t>en razón de</w:t>
      </w:r>
      <w:proofErr w:type="gramEnd"/>
      <w:r w:rsidRPr="00D4230F">
        <w:rPr>
          <w:rFonts w:ascii="Arial" w:hAnsi="Arial" w:cs="Arial"/>
          <w:sz w:val="22"/>
          <w:szCs w:val="22"/>
          <w:lang w:val="es-DO"/>
        </w:rPr>
        <w:t xml:space="preserve"> la naturaleza conjunta del proceso productivo. Para efectos de costeo individual, la empresa aplica tasas de actividad basadas en el tiempo de fabricación, lo que permite una asignación razonable de costos entre los distintos productos obtenidos.</w:t>
      </w:r>
    </w:p>
    <w:p w14:paraId="7B33983D" w14:textId="3AF6A899" w:rsidR="002F36D8" w:rsidRPr="00385CDC" w:rsidRDefault="006A246E" w:rsidP="00385CDC">
      <w:pPr>
        <w:pStyle w:val="NormalWeb"/>
        <w:rPr>
          <w:rFonts w:ascii="Arial" w:hAnsi="Arial" w:cs="Arial"/>
          <w:sz w:val="22"/>
          <w:szCs w:val="22"/>
          <w:lang w:val="es-DO"/>
        </w:rPr>
      </w:pPr>
      <w:r w:rsidRPr="00D4230F">
        <w:rPr>
          <w:rFonts w:ascii="Arial" w:hAnsi="Arial" w:cs="Arial"/>
          <w:sz w:val="22"/>
          <w:szCs w:val="22"/>
          <w:lang w:val="es-DO"/>
        </w:rPr>
        <w:t>No obstante, debido a que se trata de un proceso de producción conjunta (</w:t>
      </w:r>
      <w:proofErr w:type="spellStart"/>
      <w:r w:rsidRPr="00D4230F">
        <w:rPr>
          <w:rFonts w:ascii="Arial" w:hAnsi="Arial" w:cs="Arial"/>
          <w:sz w:val="22"/>
          <w:szCs w:val="22"/>
          <w:lang w:val="es-DO"/>
        </w:rPr>
        <w:t>joint</w:t>
      </w:r>
      <w:proofErr w:type="spellEnd"/>
      <w:r w:rsidRPr="00D4230F">
        <w:rPr>
          <w:rFonts w:ascii="Arial" w:hAnsi="Arial" w:cs="Arial"/>
          <w:sz w:val="22"/>
          <w:szCs w:val="22"/>
          <w:lang w:val="es-DO"/>
        </w:rPr>
        <w:t xml:space="preserve"> </w:t>
      </w:r>
      <w:proofErr w:type="spellStart"/>
      <w:r w:rsidRPr="00D4230F">
        <w:rPr>
          <w:rFonts w:ascii="Arial" w:hAnsi="Arial" w:cs="Arial"/>
          <w:sz w:val="22"/>
          <w:szCs w:val="22"/>
          <w:lang w:val="es-DO"/>
        </w:rPr>
        <w:t>production</w:t>
      </w:r>
      <w:proofErr w:type="spellEnd"/>
      <w:r w:rsidRPr="00D4230F">
        <w:rPr>
          <w:rFonts w:ascii="Arial" w:hAnsi="Arial" w:cs="Arial"/>
          <w:sz w:val="22"/>
          <w:szCs w:val="22"/>
          <w:lang w:val="es-DO"/>
        </w:rPr>
        <w:t>), la empresa no dispone actualmente de herramientas que permitan una segregación precisa y directa de los costos específicos atribuibles a las barras lisas frente al total del proceso de laminación. Esta limitación es consistente con prácticas industriales estándar en procesos siderúrgicos integrados</w:t>
      </w:r>
      <w:r w:rsidR="00385CDC">
        <w:rPr>
          <w:rFonts w:ascii="Arial" w:hAnsi="Arial" w:cs="Arial"/>
          <w:sz w:val="22"/>
          <w:szCs w:val="22"/>
          <w:lang w:val="es-DO"/>
        </w:rPr>
        <w:t>.</w:t>
      </w:r>
    </w:p>
    <w:p w14:paraId="2AC1B49F" w14:textId="77777777" w:rsidR="002F36D8" w:rsidRDefault="002F36D8" w:rsidP="002F36D8">
      <w:pPr>
        <w:pBdr>
          <w:top w:val="nil"/>
          <w:left w:val="nil"/>
          <w:bottom w:val="nil"/>
          <w:right w:val="nil"/>
          <w:between w:val="nil"/>
        </w:pBdr>
        <w:spacing w:after="120"/>
        <w:jc w:val="both"/>
        <w:rPr>
          <w:color w:val="000000"/>
        </w:rPr>
      </w:pPr>
    </w:p>
    <w:p w14:paraId="2DBEAD61" w14:textId="77777777" w:rsidR="00E90557" w:rsidRDefault="00000000">
      <w:pPr>
        <w:numPr>
          <w:ilvl w:val="0"/>
          <w:numId w:val="2"/>
        </w:numPr>
        <w:pBdr>
          <w:top w:val="nil"/>
          <w:left w:val="nil"/>
          <w:bottom w:val="nil"/>
          <w:right w:val="nil"/>
          <w:between w:val="nil"/>
        </w:pBdr>
        <w:spacing w:after="120"/>
        <w:jc w:val="both"/>
        <w:rPr>
          <w:color w:val="000000"/>
        </w:rPr>
      </w:pPr>
      <w:r>
        <w:rPr>
          <w:color w:val="000000"/>
        </w:rPr>
        <w:t xml:space="preserve">Proporcionar una muestra de las </w:t>
      </w:r>
      <w:r>
        <w:t>órdenes</w:t>
      </w:r>
      <w:r>
        <w:rPr>
          <w:color w:val="000000"/>
        </w:rPr>
        <w:t xml:space="preserve"> de producción para el periodo 2021 – 2025.</w:t>
      </w:r>
    </w:p>
    <w:p w14:paraId="070E3EC7" w14:textId="058B881D" w:rsidR="00E90557" w:rsidRDefault="00000000">
      <w:pPr>
        <w:spacing w:after="60"/>
      </w:pPr>
      <w:r>
        <w:t xml:space="preserve">Ver anexo </w:t>
      </w:r>
      <w:r w:rsidR="002D1543">
        <w:t>4</w:t>
      </w:r>
      <w:r>
        <w:t xml:space="preserve"> </w:t>
      </w:r>
      <w:r w:rsidR="00385CDC">
        <w:t xml:space="preserve">con muestras de ordenes de producción. </w:t>
      </w:r>
    </w:p>
    <w:p w14:paraId="4C9A1FCD" w14:textId="77777777" w:rsidR="00385CDC" w:rsidRDefault="00385CDC">
      <w:pPr>
        <w:spacing w:after="60"/>
      </w:pPr>
    </w:p>
    <w:p w14:paraId="488B1848" w14:textId="77777777" w:rsidR="00E90557" w:rsidRDefault="00000000">
      <w:pPr>
        <w:numPr>
          <w:ilvl w:val="0"/>
          <w:numId w:val="1"/>
        </w:numPr>
        <w:pBdr>
          <w:top w:val="nil"/>
          <w:left w:val="nil"/>
          <w:bottom w:val="nil"/>
          <w:right w:val="nil"/>
          <w:between w:val="nil"/>
        </w:pBdr>
        <w:spacing w:after="120"/>
        <w:jc w:val="both"/>
        <w:rPr>
          <w:color w:val="000000"/>
        </w:rPr>
      </w:pPr>
      <w:r>
        <w:rPr>
          <w:b/>
          <w:bCs/>
          <w:color w:val="000000"/>
        </w:rPr>
        <w:t>Punto 58.-</w:t>
      </w:r>
      <w:r>
        <w:rPr>
          <w:color w:val="000000"/>
        </w:rPr>
        <w:t xml:space="preserve"> Se indica que durante el periodo de aplicación de la medida antidumping no se presentaron factores, con excepción de los factores </w:t>
      </w:r>
      <w:r>
        <w:rPr>
          <w:color w:val="000000"/>
        </w:rPr>
        <w:lastRenderedPageBreak/>
        <w:t>macroeconómicos que expliquen el deterioro de la rama de producción nacional. Se requiere ampliar este análisis suministrando las pruebas documentales en las que basen sus observaciones.</w:t>
      </w:r>
    </w:p>
    <w:p w14:paraId="27CC57C4" w14:textId="77777777" w:rsidR="00314DD0" w:rsidRDefault="00314DD0">
      <w:pPr>
        <w:spacing w:after="60"/>
      </w:pPr>
    </w:p>
    <w:p w14:paraId="1B2F60A5" w14:textId="44A1B0BC" w:rsidR="00E90557" w:rsidRDefault="00000000">
      <w:pPr>
        <w:spacing w:after="60"/>
      </w:pPr>
      <w:r>
        <w:t>Ver Anexo</w:t>
      </w:r>
      <w:r w:rsidR="002D1543">
        <w:t xml:space="preserve"> 5</w:t>
      </w:r>
    </w:p>
    <w:p w14:paraId="039B4F4B" w14:textId="77777777" w:rsidR="00E90557" w:rsidRDefault="00000000">
      <w:pPr>
        <w:numPr>
          <w:ilvl w:val="0"/>
          <w:numId w:val="1"/>
        </w:numPr>
        <w:pBdr>
          <w:top w:val="nil"/>
          <w:left w:val="nil"/>
          <w:bottom w:val="nil"/>
          <w:right w:val="nil"/>
          <w:between w:val="nil"/>
        </w:pBdr>
        <w:spacing w:after="120"/>
        <w:jc w:val="both"/>
        <w:rPr>
          <w:color w:val="000000"/>
        </w:rPr>
      </w:pPr>
      <w:r>
        <w:rPr>
          <w:b/>
          <w:bCs/>
          <w:color w:val="000000"/>
        </w:rPr>
        <w:t>Anexo 2.-</w:t>
      </w:r>
      <w:r>
        <w:rPr>
          <w:color w:val="000000"/>
        </w:rPr>
        <w:t xml:space="preserve"> Incluir las tasas de variación porcentual anual de los indicadores presentados conforme al siguiente ejemplo, tanto en formato impreso como digital y en sus versión confidencial y no confidencial.</w:t>
      </w:r>
    </w:p>
    <w:p w14:paraId="783DB04F" w14:textId="77777777" w:rsidR="00E90557" w:rsidRDefault="00E90557">
      <w:pPr>
        <w:spacing w:after="60"/>
      </w:pPr>
    </w:p>
    <w:tbl>
      <w:tblPr>
        <w:tblStyle w:val="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7"/>
        <w:gridCol w:w="1144"/>
        <w:gridCol w:w="583"/>
        <w:gridCol w:w="583"/>
        <w:gridCol w:w="583"/>
        <w:gridCol w:w="583"/>
        <w:gridCol w:w="583"/>
        <w:gridCol w:w="961"/>
        <w:gridCol w:w="961"/>
        <w:gridCol w:w="961"/>
        <w:gridCol w:w="961"/>
      </w:tblGrid>
      <w:tr w:rsidR="00E90557" w14:paraId="142AE01E" w14:textId="77777777">
        <w:trPr>
          <w:tblHeader/>
        </w:trPr>
        <w:tc>
          <w:tcPr>
            <w:tcW w:w="1457" w:type="dxa"/>
            <w:tcBorders>
              <w:top w:val="single" w:sz="4" w:space="0" w:color="000000"/>
              <w:left w:val="single" w:sz="4" w:space="0" w:color="000000"/>
              <w:bottom w:val="single" w:sz="4" w:space="0" w:color="000000"/>
              <w:right w:val="single" w:sz="4" w:space="0" w:color="000000"/>
            </w:tcBorders>
            <w:shd w:val="clear" w:color="auto" w:fill="D9D9D9"/>
            <w:tcMar>
              <w:top w:w="60" w:type="dxa"/>
              <w:left w:w="80" w:type="dxa"/>
              <w:bottom w:w="60" w:type="dxa"/>
              <w:right w:w="80" w:type="dxa"/>
            </w:tcMar>
            <w:vAlign w:val="center"/>
          </w:tcPr>
          <w:p w14:paraId="71A1AC26" w14:textId="77777777" w:rsidR="00E90557" w:rsidRDefault="00000000">
            <w:pPr>
              <w:jc w:val="center"/>
            </w:pPr>
            <w:r>
              <w:rPr>
                <w:b/>
                <w:bCs/>
                <w:sz w:val="16"/>
                <w:szCs w:val="16"/>
              </w:rPr>
              <w:t>Indicadores de la mercancía (volumen en unidad de la tarifa y valor en moneda nacional (M.N.))</w:t>
            </w:r>
          </w:p>
        </w:tc>
        <w:tc>
          <w:tcPr>
            <w:tcW w:w="1144" w:type="dxa"/>
            <w:tcBorders>
              <w:top w:val="single" w:sz="4" w:space="0" w:color="000000"/>
              <w:left w:val="single" w:sz="4" w:space="0" w:color="000000"/>
              <w:bottom w:val="single" w:sz="4" w:space="0" w:color="000000"/>
              <w:right w:val="single" w:sz="4" w:space="0" w:color="000000"/>
            </w:tcBorders>
            <w:shd w:val="clear" w:color="auto" w:fill="D9D9D9"/>
            <w:tcMar>
              <w:top w:w="60" w:type="dxa"/>
              <w:left w:w="80" w:type="dxa"/>
              <w:bottom w:w="60" w:type="dxa"/>
              <w:right w:w="80" w:type="dxa"/>
            </w:tcMar>
            <w:vAlign w:val="center"/>
          </w:tcPr>
          <w:p w14:paraId="62562BE8" w14:textId="77777777" w:rsidR="00E90557" w:rsidRDefault="00000000">
            <w:pPr>
              <w:jc w:val="center"/>
            </w:pPr>
            <w:r>
              <w:rPr>
                <w:b/>
                <w:bCs/>
                <w:sz w:val="16"/>
                <w:szCs w:val="16"/>
              </w:rPr>
              <w:t>Razón social de donde provienen los datos - FUENTE</w:t>
            </w:r>
          </w:p>
        </w:tc>
        <w:tc>
          <w:tcPr>
            <w:tcW w:w="583" w:type="dxa"/>
            <w:tcBorders>
              <w:top w:val="single" w:sz="4" w:space="0" w:color="000000"/>
              <w:left w:val="single" w:sz="4" w:space="0" w:color="000000"/>
              <w:bottom w:val="single" w:sz="4" w:space="0" w:color="000000"/>
              <w:right w:val="single" w:sz="4" w:space="0" w:color="000000"/>
            </w:tcBorders>
            <w:shd w:val="clear" w:color="auto" w:fill="D9D9D9"/>
            <w:tcMar>
              <w:top w:w="60" w:type="dxa"/>
              <w:left w:w="80" w:type="dxa"/>
              <w:bottom w:w="60" w:type="dxa"/>
              <w:right w:w="80" w:type="dxa"/>
            </w:tcMar>
            <w:vAlign w:val="center"/>
          </w:tcPr>
          <w:p w14:paraId="1EDF5819" w14:textId="77777777" w:rsidR="00E90557" w:rsidRDefault="00000000">
            <w:pPr>
              <w:jc w:val="center"/>
            </w:pPr>
            <w:r>
              <w:rPr>
                <w:b/>
                <w:bCs/>
                <w:sz w:val="16"/>
                <w:szCs w:val="16"/>
              </w:rPr>
              <w:t>2021</w:t>
            </w:r>
          </w:p>
        </w:tc>
        <w:tc>
          <w:tcPr>
            <w:tcW w:w="583" w:type="dxa"/>
            <w:tcBorders>
              <w:top w:val="single" w:sz="4" w:space="0" w:color="000000"/>
              <w:left w:val="single" w:sz="4" w:space="0" w:color="000000"/>
              <w:bottom w:val="single" w:sz="4" w:space="0" w:color="000000"/>
              <w:right w:val="single" w:sz="4" w:space="0" w:color="000000"/>
            </w:tcBorders>
            <w:shd w:val="clear" w:color="auto" w:fill="D9D9D9"/>
            <w:tcMar>
              <w:top w:w="60" w:type="dxa"/>
              <w:left w:w="80" w:type="dxa"/>
              <w:bottom w:w="60" w:type="dxa"/>
              <w:right w:w="80" w:type="dxa"/>
            </w:tcMar>
            <w:vAlign w:val="center"/>
          </w:tcPr>
          <w:p w14:paraId="79437160" w14:textId="77777777" w:rsidR="00E90557" w:rsidRDefault="00000000">
            <w:pPr>
              <w:jc w:val="center"/>
            </w:pPr>
            <w:r>
              <w:rPr>
                <w:b/>
                <w:bCs/>
                <w:sz w:val="16"/>
                <w:szCs w:val="16"/>
              </w:rPr>
              <w:t>2022</w:t>
            </w:r>
          </w:p>
        </w:tc>
        <w:tc>
          <w:tcPr>
            <w:tcW w:w="583" w:type="dxa"/>
            <w:tcBorders>
              <w:top w:val="single" w:sz="4" w:space="0" w:color="000000"/>
              <w:left w:val="single" w:sz="4" w:space="0" w:color="000000"/>
              <w:bottom w:val="single" w:sz="4" w:space="0" w:color="000000"/>
              <w:right w:val="single" w:sz="4" w:space="0" w:color="000000"/>
            </w:tcBorders>
            <w:shd w:val="clear" w:color="auto" w:fill="D9D9D9"/>
            <w:tcMar>
              <w:top w:w="60" w:type="dxa"/>
              <w:left w:w="80" w:type="dxa"/>
              <w:bottom w:w="60" w:type="dxa"/>
              <w:right w:w="80" w:type="dxa"/>
            </w:tcMar>
            <w:vAlign w:val="center"/>
          </w:tcPr>
          <w:p w14:paraId="2B6155DB" w14:textId="77777777" w:rsidR="00E90557" w:rsidRDefault="00000000">
            <w:pPr>
              <w:jc w:val="center"/>
            </w:pPr>
            <w:r>
              <w:rPr>
                <w:b/>
                <w:bCs/>
                <w:sz w:val="16"/>
                <w:szCs w:val="16"/>
              </w:rPr>
              <w:t>2023</w:t>
            </w:r>
          </w:p>
        </w:tc>
        <w:tc>
          <w:tcPr>
            <w:tcW w:w="583" w:type="dxa"/>
            <w:tcBorders>
              <w:top w:val="single" w:sz="4" w:space="0" w:color="000000"/>
              <w:left w:val="single" w:sz="4" w:space="0" w:color="000000"/>
              <w:bottom w:val="single" w:sz="4" w:space="0" w:color="000000"/>
              <w:right w:val="single" w:sz="4" w:space="0" w:color="000000"/>
            </w:tcBorders>
            <w:shd w:val="clear" w:color="auto" w:fill="D9D9D9"/>
            <w:tcMar>
              <w:top w:w="60" w:type="dxa"/>
              <w:left w:w="80" w:type="dxa"/>
              <w:bottom w:w="60" w:type="dxa"/>
              <w:right w:w="80" w:type="dxa"/>
            </w:tcMar>
            <w:vAlign w:val="center"/>
          </w:tcPr>
          <w:p w14:paraId="50276E47" w14:textId="77777777" w:rsidR="00E90557" w:rsidRDefault="00000000">
            <w:pPr>
              <w:jc w:val="center"/>
            </w:pPr>
            <w:r>
              <w:rPr>
                <w:b/>
                <w:bCs/>
                <w:sz w:val="16"/>
                <w:szCs w:val="16"/>
              </w:rPr>
              <w:t>2024</w:t>
            </w:r>
          </w:p>
        </w:tc>
        <w:tc>
          <w:tcPr>
            <w:tcW w:w="583" w:type="dxa"/>
            <w:tcBorders>
              <w:top w:val="single" w:sz="4" w:space="0" w:color="000000"/>
              <w:left w:val="single" w:sz="4" w:space="0" w:color="000000"/>
              <w:bottom w:val="single" w:sz="4" w:space="0" w:color="000000"/>
              <w:right w:val="single" w:sz="4" w:space="0" w:color="000000"/>
            </w:tcBorders>
            <w:shd w:val="clear" w:color="auto" w:fill="D9D9D9"/>
            <w:tcMar>
              <w:top w:w="60" w:type="dxa"/>
              <w:left w:w="80" w:type="dxa"/>
              <w:bottom w:w="60" w:type="dxa"/>
              <w:right w:w="80" w:type="dxa"/>
            </w:tcMar>
            <w:vAlign w:val="center"/>
          </w:tcPr>
          <w:p w14:paraId="13BE6AB8" w14:textId="77777777" w:rsidR="00E90557" w:rsidRDefault="00000000">
            <w:pPr>
              <w:jc w:val="center"/>
            </w:pPr>
            <w:r>
              <w:rPr>
                <w:b/>
                <w:bCs/>
                <w:sz w:val="16"/>
                <w:szCs w:val="16"/>
              </w:rPr>
              <w:t>2025</w:t>
            </w:r>
          </w:p>
        </w:tc>
        <w:tc>
          <w:tcPr>
            <w:tcW w:w="961" w:type="dxa"/>
            <w:tcBorders>
              <w:top w:val="single" w:sz="4" w:space="0" w:color="000000"/>
              <w:left w:val="single" w:sz="4" w:space="0" w:color="000000"/>
              <w:bottom w:val="single" w:sz="4" w:space="0" w:color="000000"/>
              <w:right w:val="single" w:sz="4" w:space="0" w:color="000000"/>
            </w:tcBorders>
            <w:shd w:val="clear" w:color="auto" w:fill="D9D9D9"/>
            <w:tcMar>
              <w:top w:w="60" w:type="dxa"/>
              <w:left w:w="80" w:type="dxa"/>
              <w:bottom w:w="60" w:type="dxa"/>
              <w:right w:w="80" w:type="dxa"/>
            </w:tcMar>
            <w:vAlign w:val="center"/>
          </w:tcPr>
          <w:p w14:paraId="0B10CEEB" w14:textId="77777777" w:rsidR="00E90557" w:rsidRDefault="00000000">
            <w:pPr>
              <w:jc w:val="center"/>
            </w:pPr>
            <w:r>
              <w:rPr>
                <w:b/>
                <w:bCs/>
                <w:sz w:val="16"/>
                <w:szCs w:val="16"/>
              </w:rPr>
              <w:t>2022//2021</w:t>
            </w:r>
          </w:p>
        </w:tc>
        <w:tc>
          <w:tcPr>
            <w:tcW w:w="961" w:type="dxa"/>
            <w:tcBorders>
              <w:top w:val="single" w:sz="4" w:space="0" w:color="000000"/>
              <w:left w:val="single" w:sz="4" w:space="0" w:color="000000"/>
              <w:bottom w:val="single" w:sz="4" w:space="0" w:color="000000"/>
              <w:right w:val="single" w:sz="4" w:space="0" w:color="000000"/>
            </w:tcBorders>
            <w:shd w:val="clear" w:color="auto" w:fill="D9D9D9"/>
            <w:tcMar>
              <w:top w:w="60" w:type="dxa"/>
              <w:left w:w="80" w:type="dxa"/>
              <w:bottom w:w="60" w:type="dxa"/>
              <w:right w:w="80" w:type="dxa"/>
            </w:tcMar>
            <w:vAlign w:val="center"/>
          </w:tcPr>
          <w:p w14:paraId="1EDEB815" w14:textId="77777777" w:rsidR="00E90557" w:rsidRDefault="00000000">
            <w:pPr>
              <w:jc w:val="center"/>
            </w:pPr>
            <w:r>
              <w:rPr>
                <w:b/>
                <w:bCs/>
                <w:sz w:val="16"/>
                <w:szCs w:val="16"/>
              </w:rPr>
              <w:t>2023//2022</w:t>
            </w:r>
          </w:p>
        </w:tc>
        <w:tc>
          <w:tcPr>
            <w:tcW w:w="961" w:type="dxa"/>
            <w:tcBorders>
              <w:top w:val="single" w:sz="4" w:space="0" w:color="000000"/>
              <w:left w:val="single" w:sz="4" w:space="0" w:color="000000"/>
              <w:bottom w:val="single" w:sz="4" w:space="0" w:color="000000"/>
              <w:right w:val="single" w:sz="4" w:space="0" w:color="000000"/>
            </w:tcBorders>
            <w:shd w:val="clear" w:color="auto" w:fill="D9D9D9"/>
            <w:tcMar>
              <w:top w:w="60" w:type="dxa"/>
              <w:left w:w="80" w:type="dxa"/>
              <w:bottom w:w="60" w:type="dxa"/>
              <w:right w:w="80" w:type="dxa"/>
            </w:tcMar>
            <w:vAlign w:val="center"/>
          </w:tcPr>
          <w:p w14:paraId="6148C5A2" w14:textId="77777777" w:rsidR="00E90557" w:rsidRDefault="00000000">
            <w:pPr>
              <w:jc w:val="center"/>
            </w:pPr>
            <w:r>
              <w:rPr>
                <w:b/>
                <w:bCs/>
                <w:sz w:val="16"/>
                <w:szCs w:val="16"/>
              </w:rPr>
              <w:t>2024//2023</w:t>
            </w:r>
          </w:p>
        </w:tc>
        <w:tc>
          <w:tcPr>
            <w:tcW w:w="961" w:type="dxa"/>
            <w:tcBorders>
              <w:top w:val="single" w:sz="4" w:space="0" w:color="000000"/>
              <w:left w:val="single" w:sz="4" w:space="0" w:color="000000"/>
              <w:bottom w:val="single" w:sz="4" w:space="0" w:color="000000"/>
              <w:right w:val="single" w:sz="4" w:space="0" w:color="000000"/>
            </w:tcBorders>
            <w:shd w:val="clear" w:color="auto" w:fill="D9D9D9"/>
            <w:tcMar>
              <w:top w:w="60" w:type="dxa"/>
              <w:left w:w="80" w:type="dxa"/>
              <w:bottom w:w="60" w:type="dxa"/>
              <w:right w:w="80" w:type="dxa"/>
            </w:tcMar>
            <w:vAlign w:val="center"/>
          </w:tcPr>
          <w:p w14:paraId="3FD2C70C" w14:textId="77777777" w:rsidR="00E90557" w:rsidRDefault="00000000">
            <w:pPr>
              <w:jc w:val="center"/>
            </w:pPr>
            <w:r>
              <w:rPr>
                <w:b/>
                <w:bCs/>
                <w:sz w:val="16"/>
                <w:szCs w:val="16"/>
              </w:rPr>
              <w:t>2025//2024</w:t>
            </w:r>
          </w:p>
        </w:tc>
      </w:tr>
      <w:tr w:rsidR="00E90557" w14:paraId="33DA4A0A" w14:textId="77777777">
        <w:trPr>
          <w:trHeight w:val="353"/>
        </w:trPr>
        <w:tc>
          <w:tcPr>
            <w:tcW w:w="1457"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4BE4A0AF" w14:textId="77777777" w:rsidR="00E90557" w:rsidRDefault="00000000">
            <w:r>
              <w:rPr>
                <w:sz w:val="18"/>
                <w:szCs w:val="18"/>
              </w:rPr>
              <w:t>Indicador</w:t>
            </w:r>
          </w:p>
        </w:tc>
        <w:tc>
          <w:tcPr>
            <w:tcW w:w="1144"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1CF545D9" w14:textId="77777777" w:rsidR="00E90557" w:rsidRDefault="00000000">
            <w:r>
              <w:rPr>
                <w:sz w:val="18"/>
                <w:szCs w:val="18"/>
              </w:rPr>
              <w:t>Tm</w:t>
            </w:r>
          </w:p>
        </w:tc>
        <w:tc>
          <w:tcPr>
            <w:tcW w:w="583"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08855B5F" w14:textId="77777777" w:rsidR="00E90557" w:rsidRDefault="00E90557"/>
        </w:tc>
        <w:tc>
          <w:tcPr>
            <w:tcW w:w="583"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7F0EEE33" w14:textId="77777777" w:rsidR="00E90557" w:rsidRDefault="00E90557"/>
        </w:tc>
        <w:tc>
          <w:tcPr>
            <w:tcW w:w="583"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7AD51E8C" w14:textId="77777777" w:rsidR="00E90557" w:rsidRDefault="00E90557"/>
        </w:tc>
        <w:tc>
          <w:tcPr>
            <w:tcW w:w="583"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5D01E329" w14:textId="77777777" w:rsidR="00E90557" w:rsidRDefault="00E90557"/>
        </w:tc>
        <w:tc>
          <w:tcPr>
            <w:tcW w:w="583"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2C7470F1" w14:textId="77777777" w:rsidR="00E90557" w:rsidRDefault="00E90557"/>
        </w:tc>
        <w:tc>
          <w:tcPr>
            <w:tcW w:w="961"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0A1D8740" w14:textId="77777777" w:rsidR="00E90557" w:rsidRDefault="00E90557"/>
        </w:tc>
        <w:tc>
          <w:tcPr>
            <w:tcW w:w="961"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29DA507C" w14:textId="77777777" w:rsidR="00E90557" w:rsidRDefault="00E90557"/>
        </w:tc>
        <w:tc>
          <w:tcPr>
            <w:tcW w:w="961"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374E5B4C" w14:textId="77777777" w:rsidR="00E90557" w:rsidRDefault="00E90557"/>
        </w:tc>
        <w:tc>
          <w:tcPr>
            <w:tcW w:w="961" w:type="dxa"/>
            <w:tcBorders>
              <w:top w:val="single" w:sz="4" w:space="0" w:color="000000"/>
              <w:left w:val="single" w:sz="4" w:space="0" w:color="000000"/>
              <w:bottom w:val="single" w:sz="4" w:space="0" w:color="000000"/>
              <w:right w:val="single" w:sz="4" w:space="0" w:color="000000"/>
            </w:tcBorders>
            <w:tcMar>
              <w:top w:w="60" w:type="dxa"/>
              <w:left w:w="80" w:type="dxa"/>
              <w:bottom w:w="60" w:type="dxa"/>
              <w:right w:w="80" w:type="dxa"/>
            </w:tcMar>
          </w:tcPr>
          <w:p w14:paraId="54113991" w14:textId="77777777" w:rsidR="00E90557" w:rsidRDefault="00E90557"/>
        </w:tc>
      </w:tr>
    </w:tbl>
    <w:p w14:paraId="58573DB8" w14:textId="77777777" w:rsidR="00E90557" w:rsidRDefault="00E90557">
      <w:pPr>
        <w:spacing w:after="60"/>
      </w:pPr>
    </w:p>
    <w:p w14:paraId="25E79EC0" w14:textId="2480AEB4" w:rsidR="00E90557" w:rsidRDefault="00000000">
      <w:pPr>
        <w:spacing w:after="60"/>
        <w:rPr>
          <w:color w:val="434343"/>
        </w:rPr>
      </w:pPr>
      <w:r>
        <w:rPr>
          <w:color w:val="434343"/>
        </w:rPr>
        <w:t xml:space="preserve">Ver Anexo </w:t>
      </w:r>
      <w:r w:rsidR="002D1543">
        <w:rPr>
          <w:color w:val="434343"/>
        </w:rPr>
        <w:t>6</w:t>
      </w:r>
    </w:p>
    <w:p w14:paraId="41C1FC99" w14:textId="77777777" w:rsidR="00E90557" w:rsidRDefault="00E90557">
      <w:pPr>
        <w:spacing w:after="60"/>
      </w:pPr>
    </w:p>
    <w:p w14:paraId="4A04530C" w14:textId="77777777" w:rsidR="00E90557" w:rsidRDefault="00000000">
      <w:pPr>
        <w:numPr>
          <w:ilvl w:val="0"/>
          <w:numId w:val="1"/>
        </w:numPr>
        <w:pBdr>
          <w:top w:val="nil"/>
          <w:left w:val="nil"/>
          <w:bottom w:val="nil"/>
          <w:right w:val="nil"/>
          <w:between w:val="nil"/>
        </w:pBdr>
        <w:spacing w:after="120"/>
        <w:jc w:val="both"/>
        <w:rPr>
          <w:color w:val="000000"/>
        </w:rPr>
      </w:pPr>
      <w:r>
        <w:rPr>
          <w:b/>
          <w:bCs/>
          <w:color w:val="000000"/>
        </w:rPr>
        <w:t>Anexo 3B.-</w:t>
      </w:r>
      <w:r>
        <w:rPr>
          <w:color w:val="000000"/>
        </w:rPr>
        <w:t xml:space="preserve"> Proporcionar una versión no confidencial de dicho anexo en formato impreso y digital.</w:t>
      </w:r>
    </w:p>
    <w:p w14:paraId="22F2C88E" w14:textId="77777777" w:rsidR="00E90557" w:rsidRDefault="00E90557">
      <w:pPr>
        <w:pBdr>
          <w:top w:val="nil"/>
          <w:left w:val="nil"/>
          <w:bottom w:val="nil"/>
          <w:right w:val="nil"/>
          <w:between w:val="nil"/>
        </w:pBdr>
        <w:spacing w:after="120"/>
        <w:jc w:val="both"/>
      </w:pPr>
    </w:p>
    <w:p w14:paraId="5704B737" w14:textId="5B7823F6" w:rsidR="00E90557" w:rsidRDefault="00000000">
      <w:pPr>
        <w:spacing w:after="60"/>
      </w:pPr>
      <w:r>
        <w:rPr>
          <w:color w:val="434343"/>
        </w:rPr>
        <w:t xml:space="preserve">Ver Anexo </w:t>
      </w:r>
      <w:r w:rsidR="002D1543">
        <w:rPr>
          <w:color w:val="434343"/>
        </w:rPr>
        <w:t>7</w:t>
      </w:r>
    </w:p>
    <w:p w14:paraId="6AF5ABB2" w14:textId="77777777" w:rsidR="00E90557" w:rsidRDefault="00E90557">
      <w:pPr>
        <w:spacing w:after="60"/>
      </w:pPr>
    </w:p>
    <w:p w14:paraId="6DC8A906" w14:textId="77777777" w:rsidR="00E90557" w:rsidRDefault="00000000">
      <w:pPr>
        <w:numPr>
          <w:ilvl w:val="0"/>
          <w:numId w:val="1"/>
        </w:numPr>
        <w:pBdr>
          <w:top w:val="nil"/>
          <w:left w:val="nil"/>
          <w:bottom w:val="nil"/>
          <w:right w:val="nil"/>
          <w:between w:val="nil"/>
        </w:pBdr>
        <w:spacing w:after="120"/>
        <w:jc w:val="both"/>
        <w:rPr>
          <w:color w:val="000000"/>
        </w:rPr>
      </w:pPr>
      <w:r>
        <w:rPr>
          <w:b/>
          <w:bCs/>
          <w:color w:val="000000"/>
        </w:rPr>
        <w:t>Anexo 5</w:t>
      </w:r>
      <w:r>
        <w:rPr>
          <w:color w:val="000000"/>
        </w:rPr>
        <w:t xml:space="preserve"> – cálculo de margen de dumping. El precio de exportación y el valor normal estimado no se encuentran expresados en la misma moneda ni en el mismo nivel comercial. Se requiere expresar ambos precios en la misma moneda y mismo nivel comercial, preferiblemente a nivel ex – fábrica, para que sean comparables.</w:t>
      </w:r>
    </w:p>
    <w:p w14:paraId="4609319B" w14:textId="77777777" w:rsidR="00E90557" w:rsidRDefault="00E90557">
      <w:pPr>
        <w:spacing w:after="60"/>
      </w:pPr>
    </w:p>
    <w:p w14:paraId="69C0ECD6" w14:textId="77777777" w:rsidR="00E90557" w:rsidRDefault="00000000">
      <w:pPr>
        <w:spacing w:after="60"/>
        <w:rPr>
          <w:color w:val="434343"/>
        </w:rPr>
      </w:pPr>
      <w:r>
        <w:rPr>
          <w:color w:val="434343"/>
        </w:rPr>
        <w:t xml:space="preserve">Ambos precios ya estaban en la misma moneda, se agrega la nota en pie la cual indica que ambos precios están expresados en USD/Tonne. Ver Anexo 5 documento actualizado al mismo nivel comercial. (Revisarlo con Roberto) </w:t>
      </w:r>
    </w:p>
    <w:p w14:paraId="294AAC4E" w14:textId="77777777" w:rsidR="00E90557" w:rsidRDefault="00E90557">
      <w:pPr>
        <w:spacing w:after="60"/>
      </w:pPr>
    </w:p>
    <w:p w14:paraId="30C0E8A8" w14:textId="6F3EC968" w:rsidR="00E90557" w:rsidRDefault="00000000">
      <w:pPr>
        <w:spacing w:after="60"/>
      </w:pPr>
      <w:r>
        <w:t xml:space="preserve">Ver anexo </w:t>
      </w:r>
      <w:r w:rsidR="009F67A6">
        <w:t>8</w:t>
      </w:r>
      <w:r>
        <w:t xml:space="preserve"> documento corregido</w:t>
      </w:r>
    </w:p>
    <w:p w14:paraId="73AA30F9" w14:textId="77777777" w:rsidR="00E90557" w:rsidRDefault="00E90557">
      <w:pPr>
        <w:spacing w:after="60"/>
      </w:pPr>
    </w:p>
    <w:p w14:paraId="6325A648" w14:textId="77777777" w:rsidR="00E90557" w:rsidRDefault="00000000">
      <w:pPr>
        <w:numPr>
          <w:ilvl w:val="0"/>
          <w:numId w:val="1"/>
        </w:numPr>
        <w:pBdr>
          <w:top w:val="nil"/>
          <w:left w:val="nil"/>
          <w:bottom w:val="nil"/>
          <w:right w:val="nil"/>
          <w:between w:val="nil"/>
        </w:pBdr>
        <w:spacing w:after="120"/>
        <w:jc w:val="both"/>
        <w:rPr>
          <w:color w:val="000000"/>
        </w:rPr>
      </w:pPr>
      <w:r>
        <w:rPr>
          <w:b/>
          <w:bCs/>
          <w:color w:val="000000"/>
        </w:rPr>
        <w:t>Anexo 6.-</w:t>
      </w:r>
      <w:r>
        <w:rPr>
          <w:color w:val="000000"/>
        </w:rPr>
        <w:t xml:space="preserve"> Completar el inventario de documentos indicando para todos los documentos proporcionados su clasificación (por ejemplo, público o confidencial).</w:t>
      </w:r>
    </w:p>
    <w:p w14:paraId="366912AA" w14:textId="5B555373" w:rsidR="00E90557" w:rsidRDefault="00000000">
      <w:pPr>
        <w:spacing w:after="60"/>
      </w:pPr>
      <w:r>
        <w:t xml:space="preserve">Ver anexo </w:t>
      </w:r>
      <w:r w:rsidR="009F67A6">
        <w:t>9</w:t>
      </w:r>
    </w:p>
    <w:p w14:paraId="77FDDCEB" w14:textId="77777777" w:rsidR="00E90557" w:rsidRDefault="00000000">
      <w:pPr>
        <w:numPr>
          <w:ilvl w:val="0"/>
          <w:numId w:val="1"/>
        </w:numPr>
        <w:pBdr>
          <w:top w:val="nil"/>
          <w:left w:val="nil"/>
          <w:bottom w:val="nil"/>
          <w:right w:val="nil"/>
          <w:between w:val="nil"/>
        </w:pBdr>
        <w:spacing w:after="120"/>
        <w:jc w:val="both"/>
        <w:rPr>
          <w:color w:val="000000"/>
        </w:rPr>
      </w:pPr>
      <w:r>
        <w:rPr>
          <w:b/>
          <w:bCs/>
          <w:color w:val="000000"/>
        </w:rPr>
        <w:t>Anexo c3.-</w:t>
      </w:r>
      <w:r>
        <w:rPr>
          <w:color w:val="000000"/>
        </w:rPr>
        <w:t xml:space="preserve"> Especificar el tipo de modelo ARIMA utilizado (por ejemplo, 1,0,0; 0,1,0; entre otros).</w:t>
      </w:r>
    </w:p>
    <w:p w14:paraId="6111296B" w14:textId="77777777" w:rsidR="00E90557" w:rsidRDefault="00000000">
      <w:pPr>
        <w:spacing w:after="60"/>
      </w:pPr>
      <w:r>
        <w:tab/>
      </w:r>
      <w:r>
        <w:tab/>
      </w:r>
    </w:p>
    <w:p w14:paraId="6A6EC60F" w14:textId="77777777" w:rsidR="00E90557" w:rsidRDefault="00000000">
      <w:pPr>
        <w:spacing w:after="60"/>
        <w:rPr>
          <w:color w:val="434343"/>
        </w:rPr>
      </w:pPr>
      <w:r>
        <w:rPr>
          <w:color w:val="434343"/>
        </w:rPr>
        <w:lastRenderedPageBreak/>
        <w:t>En el anexo c3, se utilizaron dos modelos ARIMA, uno con datos absolutos, el cual resultó en un ARIMA orden (1,1,0). El modelo logarítmico para las diferencias relativas fue de orden (2,1,0) (0,0,1). En adición, se anexa (anexo 8</w:t>
      </w:r>
      <w:proofErr w:type="gramStart"/>
      <w:r>
        <w:rPr>
          <w:color w:val="434343"/>
        </w:rPr>
        <w:t>)  el</w:t>
      </w:r>
      <w:proofErr w:type="gramEnd"/>
      <w:r>
        <w:rPr>
          <w:color w:val="434343"/>
        </w:rPr>
        <w:t xml:space="preserve"> documento c3 nuevamente actualizado. </w:t>
      </w:r>
    </w:p>
    <w:p w14:paraId="1FAE2EC1" w14:textId="77777777" w:rsidR="004642AB" w:rsidRDefault="004642AB">
      <w:pPr>
        <w:spacing w:after="60"/>
        <w:rPr>
          <w:color w:val="434343"/>
        </w:rPr>
      </w:pPr>
    </w:p>
    <w:p w14:paraId="74DE621F" w14:textId="5B5B9E06" w:rsidR="004642AB" w:rsidRDefault="004642AB">
      <w:pPr>
        <w:spacing w:after="60"/>
        <w:rPr>
          <w:color w:val="434343"/>
        </w:rPr>
      </w:pPr>
      <w:r>
        <w:rPr>
          <w:color w:val="434343"/>
        </w:rPr>
        <w:t xml:space="preserve">Ver </w:t>
      </w:r>
      <w:proofErr w:type="spellStart"/>
      <w:r>
        <w:rPr>
          <w:color w:val="434343"/>
        </w:rPr>
        <w:t>Aneco</w:t>
      </w:r>
      <w:proofErr w:type="spellEnd"/>
      <w:r>
        <w:rPr>
          <w:color w:val="434343"/>
        </w:rPr>
        <w:t xml:space="preserve"> 10</w:t>
      </w:r>
    </w:p>
    <w:p w14:paraId="36B125A3" w14:textId="77777777" w:rsidR="00E90557" w:rsidRDefault="00E90557">
      <w:pPr>
        <w:spacing w:after="60"/>
      </w:pPr>
    </w:p>
    <w:p w14:paraId="44FD9F2D" w14:textId="77777777" w:rsidR="00E90557" w:rsidRDefault="00000000">
      <w:pPr>
        <w:numPr>
          <w:ilvl w:val="0"/>
          <w:numId w:val="1"/>
        </w:numPr>
        <w:pBdr>
          <w:top w:val="nil"/>
          <w:left w:val="nil"/>
          <w:bottom w:val="nil"/>
          <w:right w:val="nil"/>
          <w:between w:val="nil"/>
        </w:pBdr>
        <w:spacing w:after="120"/>
        <w:jc w:val="both"/>
        <w:rPr>
          <w:color w:val="000000"/>
        </w:rPr>
      </w:pPr>
      <w:r>
        <w:rPr>
          <w:b/>
          <w:bCs/>
          <w:color w:val="000000"/>
        </w:rPr>
        <w:t>Anexo c5.-</w:t>
      </w:r>
      <w:r>
        <w:rPr>
          <w:color w:val="000000"/>
        </w:rPr>
        <w:t xml:space="preserve"> Proporcionar la lista de precios correspondiente a los años 2021 y 2025.</w:t>
      </w:r>
    </w:p>
    <w:p w14:paraId="50D06DB1" w14:textId="77777777" w:rsidR="00E90557" w:rsidRDefault="00E90557">
      <w:pPr>
        <w:spacing w:after="60"/>
      </w:pPr>
    </w:p>
    <w:p w14:paraId="670D122A" w14:textId="154F43F8" w:rsidR="00E90557" w:rsidRDefault="00000000">
      <w:pPr>
        <w:spacing w:after="60"/>
      </w:pPr>
      <w:r>
        <w:t xml:space="preserve">Ver Anexo </w:t>
      </w:r>
      <w:r w:rsidR="004642AB">
        <w:t>11</w:t>
      </w:r>
    </w:p>
    <w:p w14:paraId="7B7EC08D" w14:textId="77777777" w:rsidR="00E90557" w:rsidRDefault="00E90557">
      <w:pPr>
        <w:spacing w:after="60"/>
      </w:pPr>
    </w:p>
    <w:p w14:paraId="48ADE59F" w14:textId="77777777" w:rsidR="00E90557" w:rsidRDefault="00000000">
      <w:pPr>
        <w:numPr>
          <w:ilvl w:val="0"/>
          <w:numId w:val="1"/>
        </w:numPr>
        <w:pBdr>
          <w:top w:val="nil"/>
          <w:left w:val="nil"/>
          <w:bottom w:val="nil"/>
          <w:right w:val="nil"/>
          <w:between w:val="nil"/>
        </w:pBdr>
        <w:spacing w:after="120"/>
        <w:jc w:val="both"/>
        <w:rPr>
          <w:color w:val="000000"/>
        </w:rPr>
      </w:pPr>
      <w:r>
        <w:rPr>
          <w:b/>
          <w:bCs/>
          <w:color w:val="000000"/>
        </w:rPr>
        <w:t>Anexo c8.-</w:t>
      </w:r>
      <w:r>
        <w:rPr>
          <w:color w:val="000000"/>
        </w:rPr>
        <w:t xml:space="preserve"> Explicar si se ha considerado al estimar el efecto de la eliminación de los derechos antidumping vigentes sobre la rama de producción nacional, la parte del mercado que sería absorbida por el otro productor nacional (ECOACERO) y la participación de mercado total de la rama de producción nacional.</w:t>
      </w:r>
    </w:p>
    <w:p w14:paraId="524EDD1A" w14:textId="77777777" w:rsidR="00E90557" w:rsidRDefault="00E90557">
      <w:pPr>
        <w:spacing w:after="60"/>
      </w:pPr>
    </w:p>
    <w:p w14:paraId="36850E34" w14:textId="77777777" w:rsidR="00E90557" w:rsidRDefault="00000000">
      <w:pPr>
        <w:spacing w:before="240" w:after="240"/>
        <w:rPr>
          <w:color w:val="434343"/>
        </w:rPr>
      </w:pPr>
      <w:r>
        <w:rPr>
          <w:color w:val="434343"/>
        </w:rPr>
        <w:t>Si bien ECOACERO forma parte de la RPN en términos de capacidad instalada, es importante precisar que, a la fecha del análisis, no registra operaciones productivas, ventas ni indicadores financieros observables. En consecuencia, no existe una base empírica que permita modelar su comportamiento competitivo (precios, costos, utilización de capacidad o estrategias comerciales) dentro del mercado nacional.</w:t>
      </w:r>
    </w:p>
    <w:p w14:paraId="297EBFFA" w14:textId="77777777" w:rsidR="00E90557" w:rsidRDefault="00000000">
      <w:pPr>
        <w:spacing w:before="240" w:after="240"/>
        <w:rPr>
          <w:color w:val="434343"/>
        </w:rPr>
      </w:pPr>
      <w:r>
        <w:rPr>
          <w:color w:val="434343"/>
        </w:rPr>
        <w:t>Dado que el análisis de amenaza de daño debe sustentarse en hechos verificables y no en conjeturas, no resulta metodológicamente apropiado asignar supuestos arbitrarios de participación de mercado o desempeño operativo a ECOACERO. Cualquier estimación en este sentido introduciría un sesgo especulativo incompatible con el estándar del Artículo 3.7 del Acuerdo Antidumping.</w:t>
      </w:r>
    </w:p>
    <w:p w14:paraId="7E97A08D" w14:textId="77777777" w:rsidR="00E90557" w:rsidRDefault="00000000">
      <w:pPr>
        <w:spacing w:before="240" w:after="240"/>
        <w:rPr>
          <w:b/>
          <w:bCs/>
          <w:color w:val="434343"/>
        </w:rPr>
      </w:pPr>
      <w:r>
        <w:rPr>
          <w:b/>
          <w:bCs/>
          <w:color w:val="434343"/>
        </w:rPr>
        <w:t>Sobre la participación de mercado total de la RPN:</w:t>
      </w:r>
    </w:p>
    <w:p w14:paraId="19F72D0C" w14:textId="77777777" w:rsidR="00E90557" w:rsidRDefault="00000000">
      <w:pPr>
        <w:spacing w:before="240" w:after="240"/>
        <w:rPr>
          <w:color w:val="434343"/>
        </w:rPr>
      </w:pPr>
      <w:r>
        <w:rPr>
          <w:color w:val="434343"/>
        </w:rPr>
        <w:t>El análisis presentado evalúa el impacto sobre la RPN en su conjunto, bajo el supuesto conservador de que la capacidad potencial de ECOACERO no altera las dinámicas fundamentales del mercado, dado que:</w:t>
      </w:r>
    </w:p>
    <w:p w14:paraId="3A87E786" w14:textId="77777777" w:rsidR="00E90557" w:rsidRDefault="00000000">
      <w:pPr>
        <w:numPr>
          <w:ilvl w:val="0"/>
          <w:numId w:val="4"/>
        </w:numPr>
        <w:rPr>
          <w:color w:val="434343"/>
        </w:rPr>
      </w:pPr>
      <w:r>
        <w:rPr>
          <w:color w:val="434343"/>
        </w:rPr>
        <w:t>La varilla de acero es un bien homogéneo, donde la competencia se define principalmente por precio.</w:t>
      </w:r>
    </w:p>
    <w:p w14:paraId="0AC9C212" w14:textId="77777777" w:rsidR="00E90557" w:rsidRDefault="00000000">
      <w:pPr>
        <w:numPr>
          <w:ilvl w:val="0"/>
          <w:numId w:val="4"/>
        </w:numPr>
        <w:spacing w:after="240"/>
        <w:rPr>
          <w:color w:val="434343"/>
        </w:rPr>
      </w:pPr>
      <w:r>
        <w:rPr>
          <w:color w:val="434343"/>
        </w:rPr>
        <w:t>En este tipo de mercado, la entrada de un nuevo productor local no modifica la presión competitiva externa cuando existe una ventaja significativa de precios de las importaciones de China.</w:t>
      </w:r>
    </w:p>
    <w:p w14:paraId="7926DD77" w14:textId="77777777" w:rsidR="00E90557" w:rsidRDefault="00000000">
      <w:pPr>
        <w:spacing w:before="240" w:after="240"/>
        <w:rPr>
          <w:color w:val="434343"/>
        </w:rPr>
      </w:pPr>
      <w:r>
        <w:rPr>
          <w:color w:val="434343"/>
        </w:rPr>
        <w:t>En consecuencia, aun considerando la capacidad instalada de ECOACERO, la participación conjunta de la RPN estaría sujeta a las mismas presiones de desplazamiento por importaciones descritas en el análisis, particularmente en el Escenario B, donde la RPN pierde participación de mercado de manera significativa frente a China.</w:t>
      </w:r>
    </w:p>
    <w:p w14:paraId="630B0F85" w14:textId="77777777" w:rsidR="00E90557" w:rsidRDefault="00000000">
      <w:pPr>
        <w:spacing w:before="240" w:after="240"/>
        <w:rPr>
          <w:b/>
          <w:bCs/>
          <w:color w:val="434343"/>
        </w:rPr>
      </w:pPr>
      <w:r>
        <w:rPr>
          <w:b/>
          <w:bCs/>
          <w:color w:val="434343"/>
        </w:rPr>
        <w:t>Sobre la absorción del mercado por parte de ECOACERO:</w:t>
      </w:r>
    </w:p>
    <w:p w14:paraId="3A5F53BC" w14:textId="77777777" w:rsidR="00E90557" w:rsidRDefault="00000000">
      <w:pPr>
        <w:spacing w:before="240" w:after="240"/>
        <w:rPr>
          <w:color w:val="434343"/>
        </w:rPr>
      </w:pPr>
      <w:r>
        <w:rPr>
          <w:color w:val="434343"/>
        </w:rPr>
        <w:lastRenderedPageBreak/>
        <w:t>La posible entrada de ECOACERO implicaría, una redistribución interna de la participación dentro de la RPN, pero no una alteración sustancial de la dinámica competitiva frente a las importaciones.</w:t>
      </w:r>
    </w:p>
    <w:p w14:paraId="761C14C8" w14:textId="77777777" w:rsidR="00E90557" w:rsidRDefault="00000000">
      <w:pPr>
        <w:spacing w:before="240" w:after="240"/>
        <w:rPr>
          <w:color w:val="434343"/>
        </w:rPr>
      </w:pPr>
      <w:r>
        <w:rPr>
          <w:color w:val="434343"/>
        </w:rPr>
        <w:t>Esto se debe a que:</w:t>
      </w:r>
    </w:p>
    <w:p w14:paraId="2E56336B" w14:textId="77777777" w:rsidR="00E90557" w:rsidRDefault="00000000">
      <w:pPr>
        <w:numPr>
          <w:ilvl w:val="0"/>
          <w:numId w:val="5"/>
        </w:numPr>
        <w:rPr>
          <w:color w:val="434343"/>
        </w:rPr>
      </w:pPr>
      <w:r>
        <w:rPr>
          <w:color w:val="434343"/>
        </w:rPr>
        <w:t>En un mercado de producto homogéneo, los productores locales enfrentan la misma restricción de precios impuesta por las importaciones.</w:t>
      </w:r>
    </w:p>
    <w:p w14:paraId="3BFF65F7" w14:textId="77777777" w:rsidR="00E90557" w:rsidRDefault="00000000">
      <w:pPr>
        <w:numPr>
          <w:ilvl w:val="0"/>
          <w:numId w:val="5"/>
        </w:numPr>
        <w:spacing w:after="240"/>
        <w:rPr>
          <w:color w:val="434343"/>
        </w:rPr>
      </w:pPr>
      <w:r>
        <w:rPr>
          <w:color w:val="434343"/>
        </w:rPr>
        <w:t>Para evitar el desplazamiento, cualquier productor nacional, incluyendo ECOACERO, tendría que alinearse a los precios de mercado.</w:t>
      </w:r>
    </w:p>
    <w:p w14:paraId="4FF78341" w14:textId="77777777" w:rsidR="00E90557" w:rsidRDefault="00000000">
      <w:pPr>
        <w:spacing w:before="240" w:after="240"/>
        <w:rPr>
          <w:color w:val="434343"/>
        </w:rPr>
      </w:pPr>
      <w:r>
        <w:rPr>
          <w:color w:val="434343"/>
        </w:rPr>
        <w:t>Por tanto, la eventual entrada de ECOACERO no elimina ni mitiga el riesgo de daño, sino que, en ausencia de medidas antidumping, operaría bajo las mismas condiciones adversas que afectan a METALDOM, limitando su capacidad de capturar y sostener participación de mercado.</w:t>
      </w:r>
    </w:p>
    <w:p w14:paraId="65733C3D" w14:textId="77777777" w:rsidR="00E90557" w:rsidRDefault="00E90557">
      <w:pPr>
        <w:spacing w:after="60"/>
      </w:pPr>
    </w:p>
    <w:sectPr w:rsidR="00E90557">
      <w:headerReference w:type="default" r:id="rId11"/>
      <w:footerReference w:type="default" r:id="rId12"/>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1E77D9" w14:textId="77777777" w:rsidR="00E67A4B" w:rsidRDefault="00E67A4B" w:rsidP="005D71C7">
      <w:r>
        <w:separator/>
      </w:r>
    </w:p>
  </w:endnote>
  <w:endnote w:type="continuationSeparator" w:id="0">
    <w:p w14:paraId="755E8A92" w14:textId="77777777" w:rsidR="00E67A4B" w:rsidRDefault="00E67A4B" w:rsidP="005D7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7F23A1C7-BB42-41C8-BF0D-F26DE1266430}"/>
  </w:font>
  <w:font w:name="Arial Unicode MS">
    <w:altName w:val="Arial"/>
    <w:panose1 w:val="020B0604020202020204"/>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2" w:fontKey="{7C3E5235-892A-49FE-B53C-7E098D07596D}"/>
  </w:font>
  <w:font w:name="Cambria">
    <w:panose1 w:val="02040503050406030204"/>
    <w:charset w:val="00"/>
    <w:family w:val="roman"/>
    <w:pitch w:val="variable"/>
    <w:sig w:usb0="E00006FF" w:usb1="420024FF" w:usb2="02000000" w:usb3="00000000" w:csb0="0000019F" w:csb1="00000000"/>
    <w:embedRegular r:id="rId3" w:fontKey="{91741FF8-07A0-48F4-B8B5-76E03DAB39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2643184"/>
      <w:docPartObj>
        <w:docPartGallery w:val="Page Numbers (Bottom of Page)"/>
        <w:docPartUnique/>
      </w:docPartObj>
    </w:sdtPr>
    <w:sdtEndPr>
      <w:rPr>
        <w:noProof/>
      </w:rPr>
    </w:sdtEndPr>
    <w:sdtContent>
      <w:p w14:paraId="6760760D" w14:textId="22F1D480" w:rsidR="003B678E" w:rsidRDefault="003B678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C93262" w14:textId="77777777" w:rsidR="003B678E" w:rsidRDefault="003B67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8E559B" w14:textId="77777777" w:rsidR="00E67A4B" w:rsidRDefault="00E67A4B" w:rsidP="005D71C7">
      <w:r>
        <w:separator/>
      </w:r>
    </w:p>
  </w:footnote>
  <w:footnote w:type="continuationSeparator" w:id="0">
    <w:p w14:paraId="27565A0F" w14:textId="77777777" w:rsidR="00E67A4B" w:rsidRDefault="00E67A4B" w:rsidP="005D71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898C2" w14:textId="2CF3EE69" w:rsidR="005D71C7" w:rsidRDefault="00296B34">
    <w:pPr>
      <w:pStyle w:val="Header"/>
    </w:pPr>
    <w:r>
      <w:t xml:space="preserve">NO </w:t>
    </w:r>
    <w:r w:rsidR="005D71C7">
      <w:t>CONFIDENCIAL</w:t>
    </w:r>
  </w:p>
  <w:p w14:paraId="797D77AE" w14:textId="77777777" w:rsidR="005D71C7" w:rsidRDefault="005D71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9571A"/>
    <w:multiLevelType w:val="multilevel"/>
    <w:tmpl w:val="6D0CD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E0293A"/>
    <w:multiLevelType w:val="hybridMultilevel"/>
    <w:tmpl w:val="01CEA4C8"/>
    <w:lvl w:ilvl="0" w:tplc="83026DB4">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DA079F"/>
    <w:multiLevelType w:val="multilevel"/>
    <w:tmpl w:val="243C9AF2"/>
    <w:lvl w:ilvl="0">
      <w:start w:val="1"/>
      <w:numFmt w:val="lowerLetter"/>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B986747"/>
    <w:multiLevelType w:val="multilevel"/>
    <w:tmpl w:val="9588F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BD081B"/>
    <w:multiLevelType w:val="hybridMultilevel"/>
    <w:tmpl w:val="470CED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48D3E53"/>
    <w:multiLevelType w:val="multilevel"/>
    <w:tmpl w:val="59E0455E"/>
    <w:lvl w:ilvl="0">
      <w:start w:val="1"/>
      <w:numFmt w:val="lowerRoman"/>
      <w:lvlText w:val="%1."/>
      <w:lvlJc w:val="left"/>
      <w:pPr>
        <w:ind w:left="216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514A5D22"/>
    <w:multiLevelType w:val="multilevel"/>
    <w:tmpl w:val="538EE1E6"/>
    <w:lvl w:ilvl="0">
      <w:start w:val="1"/>
      <w:numFmt w:val="lowerLetter"/>
      <w:lvlText w:val="%1."/>
      <w:lvlJc w:val="left"/>
      <w:pPr>
        <w:ind w:left="144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640E4078"/>
    <w:multiLevelType w:val="multilevel"/>
    <w:tmpl w:val="05340F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54B40A3"/>
    <w:multiLevelType w:val="hybridMultilevel"/>
    <w:tmpl w:val="686423AE"/>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num w:numId="1" w16cid:durableId="342056518">
    <w:abstractNumId w:val="6"/>
  </w:num>
  <w:num w:numId="2" w16cid:durableId="1776898378">
    <w:abstractNumId w:val="5"/>
  </w:num>
  <w:num w:numId="3" w16cid:durableId="1720780437">
    <w:abstractNumId w:val="2"/>
  </w:num>
  <w:num w:numId="4" w16cid:durableId="618953539">
    <w:abstractNumId w:val="7"/>
  </w:num>
  <w:num w:numId="5" w16cid:durableId="1594779165">
    <w:abstractNumId w:val="0"/>
  </w:num>
  <w:num w:numId="6" w16cid:durableId="1022709621">
    <w:abstractNumId w:val="3"/>
  </w:num>
  <w:num w:numId="7" w16cid:durableId="196092319">
    <w:abstractNumId w:val="4"/>
  </w:num>
  <w:num w:numId="8" w16cid:durableId="1732651081">
    <w:abstractNumId w:val="1"/>
  </w:num>
  <w:num w:numId="9" w16cid:durableId="15498727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0557"/>
    <w:rsid w:val="00005113"/>
    <w:rsid w:val="000167B0"/>
    <w:rsid w:val="00120209"/>
    <w:rsid w:val="00205823"/>
    <w:rsid w:val="00275A76"/>
    <w:rsid w:val="00296B34"/>
    <w:rsid w:val="002D1543"/>
    <w:rsid w:val="002F36D8"/>
    <w:rsid w:val="002F6C78"/>
    <w:rsid w:val="00314DD0"/>
    <w:rsid w:val="00317B18"/>
    <w:rsid w:val="00344484"/>
    <w:rsid w:val="00365F1C"/>
    <w:rsid w:val="0037150B"/>
    <w:rsid w:val="00385CDC"/>
    <w:rsid w:val="003B678E"/>
    <w:rsid w:val="004642AB"/>
    <w:rsid w:val="004C060A"/>
    <w:rsid w:val="0056600F"/>
    <w:rsid w:val="005A1AB4"/>
    <w:rsid w:val="005D71C7"/>
    <w:rsid w:val="00645B05"/>
    <w:rsid w:val="006A246E"/>
    <w:rsid w:val="00757253"/>
    <w:rsid w:val="008B1185"/>
    <w:rsid w:val="009E0E76"/>
    <w:rsid w:val="009F67A6"/>
    <w:rsid w:val="00B63830"/>
    <w:rsid w:val="00B8592B"/>
    <w:rsid w:val="00BF355E"/>
    <w:rsid w:val="00C21A64"/>
    <w:rsid w:val="00C947D7"/>
    <w:rsid w:val="00D157F1"/>
    <w:rsid w:val="00D4230F"/>
    <w:rsid w:val="00DD0AC0"/>
    <w:rsid w:val="00E67A4B"/>
    <w:rsid w:val="00E905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AC789"/>
  <w15:docId w15:val="{0F2F4E2A-C1FA-4E88-90BF-8871A60A3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DO"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 w:type="dxa"/>
        <w:bottom w:w="0" w:type="dxa"/>
        <w:right w:w="10" w:type="dxa"/>
      </w:tblCellMar>
    </w:tblPr>
  </w:style>
  <w:style w:type="paragraph" w:styleId="NormalWeb">
    <w:name w:val="Normal (Web)"/>
    <w:basedOn w:val="Normal"/>
    <w:uiPriority w:val="99"/>
    <w:unhideWhenUsed/>
    <w:rsid w:val="00C21A64"/>
    <w:pPr>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C21A64"/>
    <w:rPr>
      <w:b/>
      <w:bCs/>
    </w:rPr>
  </w:style>
  <w:style w:type="paragraph" w:styleId="ListParagraph">
    <w:name w:val="List Paragraph"/>
    <w:basedOn w:val="Normal"/>
    <w:uiPriority w:val="34"/>
    <w:qFormat/>
    <w:rsid w:val="00344484"/>
    <w:pPr>
      <w:ind w:left="720"/>
      <w:contextualSpacing/>
    </w:pPr>
  </w:style>
  <w:style w:type="character" w:styleId="CommentReference">
    <w:name w:val="annotation reference"/>
    <w:basedOn w:val="DefaultParagraphFont"/>
    <w:uiPriority w:val="99"/>
    <w:semiHidden/>
    <w:unhideWhenUsed/>
    <w:rsid w:val="005D71C7"/>
    <w:rPr>
      <w:sz w:val="16"/>
      <w:szCs w:val="16"/>
    </w:rPr>
  </w:style>
  <w:style w:type="paragraph" w:styleId="CommentText">
    <w:name w:val="annotation text"/>
    <w:basedOn w:val="Normal"/>
    <w:link w:val="CommentTextChar"/>
    <w:uiPriority w:val="99"/>
    <w:unhideWhenUsed/>
    <w:rsid w:val="005D71C7"/>
    <w:rPr>
      <w:sz w:val="20"/>
      <w:szCs w:val="20"/>
    </w:rPr>
  </w:style>
  <w:style w:type="character" w:customStyle="1" w:styleId="CommentTextChar">
    <w:name w:val="Comment Text Char"/>
    <w:basedOn w:val="DefaultParagraphFont"/>
    <w:link w:val="CommentText"/>
    <w:uiPriority w:val="99"/>
    <w:rsid w:val="005D71C7"/>
    <w:rPr>
      <w:sz w:val="20"/>
      <w:szCs w:val="20"/>
    </w:rPr>
  </w:style>
  <w:style w:type="paragraph" w:styleId="CommentSubject">
    <w:name w:val="annotation subject"/>
    <w:basedOn w:val="CommentText"/>
    <w:next w:val="CommentText"/>
    <w:link w:val="CommentSubjectChar"/>
    <w:uiPriority w:val="99"/>
    <w:semiHidden/>
    <w:unhideWhenUsed/>
    <w:rsid w:val="005D71C7"/>
    <w:rPr>
      <w:b/>
      <w:bCs/>
    </w:rPr>
  </w:style>
  <w:style w:type="character" w:customStyle="1" w:styleId="CommentSubjectChar">
    <w:name w:val="Comment Subject Char"/>
    <w:basedOn w:val="CommentTextChar"/>
    <w:link w:val="CommentSubject"/>
    <w:uiPriority w:val="99"/>
    <w:semiHidden/>
    <w:rsid w:val="005D71C7"/>
    <w:rPr>
      <w:b/>
      <w:bCs/>
      <w:sz w:val="20"/>
      <w:szCs w:val="20"/>
    </w:rPr>
  </w:style>
  <w:style w:type="paragraph" w:styleId="Header">
    <w:name w:val="header"/>
    <w:basedOn w:val="Normal"/>
    <w:link w:val="HeaderChar"/>
    <w:uiPriority w:val="99"/>
    <w:unhideWhenUsed/>
    <w:rsid w:val="005D71C7"/>
    <w:pPr>
      <w:tabs>
        <w:tab w:val="center" w:pos="4680"/>
        <w:tab w:val="right" w:pos="9360"/>
      </w:tabs>
    </w:pPr>
  </w:style>
  <w:style w:type="character" w:customStyle="1" w:styleId="HeaderChar">
    <w:name w:val="Header Char"/>
    <w:basedOn w:val="DefaultParagraphFont"/>
    <w:link w:val="Header"/>
    <w:uiPriority w:val="99"/>
    <w:rsid w:val="005D71C7"/>
  </w:style>
  <w:style w:type="paragraph" w:styleId="Footer">
    <w:name w:val="footer"/>
    <w:basedOn w:val="Normal"/>
    <w:link w:val="FooterChar"/>
    <w:uiPriority w:val="99"/>
    <w:unhideWhenUsed/>
    <w:rsid w:val="005D71C7"/>
    <w:pPr>
      <w:tabs>
        <w:tab w:val="center" w:pos="4680"/>
        <w:tab w:val="right" w:pos="9360"/>
      </w:tabs>
    </w:pPr>
  </w:style>
  <w:style w:type="character" w:customStyle="1" w:styleId="FooterChar">
    <w:name w:val="Footer Char"/>
    <w:basedOn w:val="DefaultParagraphFont"/>
    <w:link w:val="Footer"/>
    <w:uiPriority w:val="99"/>
    <w:rsid w:val="005D71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s://www.cjmsteelgroup.com/es/understanding-astm-a615-rebar.html" TargetMode="External"/><Relationship Id="rId4" Type="http://schemas.openxmlformats.org/officeDocument/2006/relationships/styles" Target="styles.xml"/><Relationship Id="rId9" Type="http://schemas.openxmlformats.org/officeDocument/2006/relationships/hyperlink" Target="https://tjibc.com/news/hot-ribbed-steel-rebar-carbon-steel-rebar/"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K5alP7CiSJiCHKHOxhXmb9HFOA==">CgMxLjAaHQoBMBIYChYIB0ISEhBBcmlhbCBVbmljb2RlIE1TGh0KATESGAoWCAdCEhIQQXJpYWwgVW5pY29kZSBNUzgAciExWHBYQ29TeVoybUU5bUF2Y0RDVGRtSG85enloRXlsOVM=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9934510-5636-4E60-BE09-7958DEDA0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3620</Words>
  <Characters>20634</Characters>
  <Application>Microsoft Office Word</Application>
  <DocSecurity>0</DocSecurity>
  <Lines>412</Lines>
  <Paragraphs>141</Paragraphs>
  <ScaleCrop>false</ScaleCrop>
  <Company/>
  <LinksUpToDate>false</LinksUpToDate>
  <CharactersWithSpaces>24113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Lynette Batista</dc:creator>
  <cp:lastModifiedBy>Lynette Batista</cp:lastModifiedBy>
  <cp:revision>3</cp:revision>
  <cp:lastPrinted>2026-04-10T13:41:00Z</cp:lastPrinted>
  <dcterms:created xsi:type="dcterms:W3CDTF">2026-04-10T13:41:00Z</dcterms:created>
  <dcterms:modified xsi:type="dcterms:W3CDTF">2026-04-10T13:41:00Z</dcterms:modified>
</cp:coreProperties>
</file>