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HAnsi"/>
          <w:color w:val="auto"/>
          <w:kern w:val="2"/>
          <w:sz w:val="24"/>
          <w:szCs w:val="24"/>
          <w:lang w:val="es-DO"/>
          <w14:ligatures w14:val="standardContextual"/>
        </w:rPr>
        <w:id w:val="1108538057"/>
        <w:docPartObj>
          <w:docPartGallery w:val="Table of Contents"/>
          <w:docPartUnique/>
        </w:docPartObj>
      </w:sdtPr>
      <w:sdtEndPr>
        <w:rPr>
          <w:b/>
          <w:bCs/>
        </w:rPr>
      </w:sdtEndPr>
      <w:sdtContent>
        <w:p w14:paraId="13026B17" w14:textId="1A63F532" w:rsidR="00247A11" w:rsidRPr="00A00EF0" w:rsidRDefault="00247A11">
          <w:pPr>
            <w:pStyle w:val="TOCHeading"/>
            <w:rPr>
              <w:rFonts w:asciiTheme="minorHAnsi" w:hAnsiTheme="minorHAnsi" w:cstheme="minorHAnsi"/>
              <w:lang w:val="es-DO"/>
            </w:rPr>
          </w:pPr>
          <w:r w:rsidRPr="00A00EF0">
            <w:rPr>
              <w:rFonts w:asciiTheme="minorHAnsi" w:hAnsiTheme="minorHAnsi" w:cstheme="minorHAnsi"/>
              <w:lang w:val="es-DO"/>
            </w:rPr>
            <w:t>Contenido</w:t>
          </w:r>
        </w:p>
        <w:p w14:paraId="0B26AFF0" w14:textId="31D244AB" w:rsidR="00751620" w:rsidRDefault="00247A11">
          <w:pPr>
            <w:pStyle w:val="TOC1"/>
            <w:tabs>
              <w:tab w:val="right" w:leader="dot" w:pos="9350"/>
            </w:tabs>
            <w:rPr>
              <w:rFonts w:eastAsiaTheme="minorEastAsia"/>
              <w:noProof/>
              <w:lang w:val="en-US"/>
            </w:rPr>
          </w:pPr>
          <w:r w:rsidRPr="00A00EF0">
            <w:rPr>
              <w:rFonts w:cstheme="minorHAnsi"/>
            </w:rPr>
            <w:fldChar w:fldCharType="begin"/>
          </w:r>
          <w:r w:rsidRPr="00A00EF0">
            <w:rPr>
              <w:rFonts w:cstheme="minorHAnsi"/>
            </w:rPr>
            <w:instrText xml:space="preserve"> TOC \o "1-3" \h \z \u </w:instrText>
          </w:r>
          <w:r w:rsidRPr="00A00EF0">
            <w:rPr>
              <w:rFonts w:cstheme="minorHAnsi"/>
            </w:rPr>
            <w:fldChar w:fldCharType="separate"/>
          </w:r>
          <w:hyperlink w:anchor="_Toc224657482" w:history="1">
            <w:r w:rsidR="00751620" w:rsidRPr="00CF49DD">
              <w:rPr>
                <w:rStyle w:val="Hyperlink"/>
                <w:rFonts w:cstheme="minorHAnsi"/>
                <w:noProof/>
              </w:rPr>
              <w:t>Contexto Internacional: El Rol de China en el Mercado Mundial del Acero y los Riesgos para Mercados Importadores</w:t>
            </w:r>
            <w:r w:rsidR="00751620">
              <w:rPr>
                <w:noProof/>
                <w:webHidden/>
              </w:rPr>
              <w:tab/>
            </w:r>
            <w:r w:rsidR="00751620">
              <w:rPr>
                <w:noProof/>
                <w:webHidden/>
              </w:rPr>
              <w:fldChar w:fldCharType="begin"/>
            </w:r>
            <w:r w:rsidR="00751620">
              <w:rPr>
                <w:noProof/>
                <w:webHidden/>
              </w:rPr>
              <w:instrText xml:space="preserve"> PAGEREF _Toc224657482 \h </w:instrText>
            </w:r>
            <w:r w:rsidR="00751620">
              <w:rPr>
                <w:noProof/>
                <w:webHidden/>
              </w:rPr>
            </w:r>
            <w:r w:rsidR="00751620">
              <w:rPr>
                <w:noProof/>
                <w:webHidden/>
              </w:rPr>
              <w:fldChar w:fldCharType="separate"/>
            </w:r>
            <w:r w:rsidR="00751620">
              <w:rPr>
                <w:noProof/>
                <w:webHidden/>
              </w:rPr>
              <w:t>2</w:t>
            </w:r>
            <w:r w:rsidR="00751620">
              <w:rPr>
                <w:noProof/>
                <w:webHidden/>
              </w:rPr>
              <w:fldChar w:fldCharType="end"/>
            </w:r>
          </w:hyperlink>
        </w:p>
        <w:p w14:paraId="663834D2" w14:textId="29381DD0" w:rsidR="00751620" w:rsidRDefault="00751620">
          <w:pPr>
            <w:pStyle w:val="TOC2"/>
            <w:tabs>
              <w:tab w:val="right" w:leader="dot" w:pos="9350"/>
            </w:tabs>
            <w:rPr>
              <w:rFonts w:eastAsiaTheme="minorEastAsia"/>
              <w:noProof/>
              <w:lang w:val="en-US"/>
            </w:rPr>
          </w:pPr>
          <w:hyperlink w:anchor="_Toc224657483" w:history="1">
            <w:r w:rsidRPr="00CF49DD">
              <w:rPr>
                <w:rStyle w:val="Hyperlink"/>
                <w:rFonts w:cstheme="minorHAnsi"/>
                <w:noProof/>
              </w:rPr>
              <w:t>Situación actual del mercado global del acero</w:t>
            </w:r>
            <w:r>
              <w:rPr>
                <w:noProof/>
                <w:webHidden/>
              </w:rPr>
              <w:tab/>
            </w:r>
            <w:r>
              <w:rPr>
                <w:noProof/>
                <w:webHidden/>
              </w:rPr>
              <w:fldChar w:fldCharType="begin"/>
            </w:r>
            <w:r>
              <w:rPr>
                <w:noProof/>
                <w:webHidden/>
              </w:rPr>
              <w:instrText xml:space="preserve"> PAGEREF _Toc224657483 \h </w:instrText>
            </w:r>
            <w:r>
              <w:rPr>
                <w:noProof/>
                <w:webHidden/>
              </w:rPr>
            </w:r>
            <w:r>
              <w:rPr>
                <w:noProof/>
                <w:webHidden/>
              </w:rPr>
              <w:fldChar w:fldCharType="separate"/>
            </w:r>
            <w:r>
              <w:rPr>
                <w:noProof/>
                <w:webHidden/>
              </w:rPr>
              <w:t>2</w:t>
            </w:r>
            <w:r>
              <w:rPr>
                <w:noProof/>
                <w:webHidden/>
              </w:rPr>
              <w:fldChar w:fldCharType="end"/>
            </w:r>
          </w:hyperlink>
        </w:p>
        <w:p w14:paraId="154F43B1" w14:textId="6E2DAFA9" w:rsidR="00751620" w:rsidRDefault="00751620">
          <w:pPr>
            <w:pStyle w:val="TOC2"/>
            <w:tabs>
              <w:tab w:val="right" w:leader="dot" w:pos="9350"/>
            </w:tabs>
            <w:rPr>
              <w:rFonts w:eastAsiaTheme="minorEastAsia"/>
              <w:noProof/>
              <w:lang w:val="en-US"/>
            </w:rPr>
          </w:pPr>
          <w:hyperlink w:anchor="_Toc224657484" w:history="1">
            <w:r w:rsidRPr="00CF49DD">
              <w:rPr>
                <w:rStyle w:val="Hyperlink"/>
                <w:rFonts w:cstheme="minorHAnsi"/>
                <w:noProof/>
              </w:rPr>
              <w:t>Transformación estructural del mercado mundial del acero</w:t>
            </w:r>
            <w:r>
              <w:rPr>
                <w:noProof/>
                <w:webHidden/>
              </w:rPr>
              <w:tab/>
            </w:r>
            <w:r>
              <w:rPr>
                <w:noProof/>
                <w:webHidden/>
              </w:rPr>
              <w:fldChar w:fldCharType="begin"/>
            </w:r>
            <w:r>
              <w:rPr>
                <w:noProof/>
                <w:webHidden/>
              </w:rPr>
              <w:instrText xml:space="preserve"> PAGEREF _Toc224657484 \h </w:instrText>
            </w:r>
            <w:r>
              <w:rPr>
                <w:noProof/>
                <w:webHidden/>
              </w:rPr>
            </w:r>
            <w:r>
              <w:rPr>
                <w:noProof/>
                <w:webHidden/>
              </w:rPr>
              <w:fldChar w:fldCharType="separate"/>
            </w:r>
            <w:r>
              <w:rPr>
                <w:noProof/>
                <w:webHidden/>
              </w:rPr>
              <w:t>3</w:t>
            </w:r>
            <w:r>
              <w:rPr>
                <w:noProof/>
                <w:webHidden/>
              </w:rPr>
              <w:fldChar w:fldCharType="end"/>
            </w:r>
          </w:hyperlink>
        </w:p>
        <w:p w14:paraId="1CE4AA41" w14:textId="71FDF529" w:rsidR="00751620" w:rsidRDefault="00751620">
          <w:pPr>
            <w:pStyle w:val="TOC2"/>
            <w:tabs>
              <w:tab w:val="right" w:leader="dot" w:pos="9350"/>
            </w:tabs>
            <w:rPr>
              <w:rFonts w:eastAsiaTheme="minorEastAsia"/>
              <w:noProof/>
              <w:lang w:val="en-US"/>
            </w:rPr>
          </w:pPr>
          <w:hyperlink w:anchor="_Toc224657485" w:history="1">
            <w:r w:rsidRPr="00CF49DD">
              <w:rPr>
                <w:rStyle w:val="Hyperlink"/>
                <w:rFonts w:cstheme="minorHAnsi"/>
                <w:noProof/>
              </w:rPr>
              <w:t>Exceso de capacidad estructural y presión sobre los mercados internacionales</w:t>
            </w:r>
            <w:r>
              <w:rPr>
                <w:noProof/>
                <w:webHidden/>
              </w:rPr>
              <w:tab/>
            </w:r>
            <w:r>
              <w:rPr>
                <w:noProof/>
                <w:webHidden/>
              </w:rPr>
              <w:fldChar w:fldCharType="begin"/>
            </w:r>
            <w:r>
              <w:rPr>
                <w:noProof/>
                <w:webHidden/>
              </w:rPr>
              <w:instrText xml:space="preserve"> PAGEREF _Toc224657485 \h </w:instrText>
            </w:r>
            <w:r>
              <w:rPr>
                <w:noProof/>
                <w:webHidden/>
              </w:rPr>
            </w:r>
            <w:r>
              <w:rPr>
                <w:noProof/>
                <w:webHidden/>
              </w:rPr>
              <w:fldChar w:fldCharType="separate"/>
            </w:r>
            <w:r>
              <w:rPr>
                <w:noProof/>
                <w:webHidden/>
              </w:rPr>
              <w:t>4</w:t>
            </w:r>
            <w:r>
              <w:rPr>
                <w:noProof/>
                <w:webHidden/>
              </w:rPr>
              <w:fldChar w:fldCharType="end"/>
            </w:r>
          </w:hyperlink>
        </w:p>
        <w:p w14:paraId="0B6447FF" w14:textId="0D82302E" w:rsidR="00751620" w:rsidRDefault="00751620">
          <w:pPr>
            <w:pStyle w:val="TOC2"/>
            <w:tabs>
              <w:tab w:val="right" w:leader="dot" w:pos="9350"/>
            </w:tabs>
            <w:rPr>
              <w:rFonts w:eastAsiaTheme="minorEastAsia"/>
              <w:noProof/>
              <w:lang w:val="en-US"/>
            </w:rPr>
          </w:pPr>
          <w:hyperlink w:anchor="_Toc224657486" w:history="1">
            <w:r w:rsidRPr="00CF49DD">
              <w:rPr>
                <w:rStyle w:val="Hyperlink"/>
                <w:rFonts w:cstheme="minorHAnsi"/>
                <w:noProof/>
              </w:rPr>
              <w:t>Dinámica reciente de las exportaciones chinas de acero</w:t>
            </w:r>
            <w:r>
              <w:rPr>
                <w:noProof/>
                <w:webHidden/>
              </w:rPr>
              <w:tab/>
            </w:r>
            <w:r>
              <w:rPr>
                <w:noProof/>
                <w:webHidden/>
              </w:rPr>
              <w:fldChar w:fldCharType="begin"/>
            </w:r>
            <w:r>
              <w:rPr>
                <w:noProof/>
                <w:webHidden/>
              </w:rPr>
              <w:instrText xml:space="preserve"> PAGEREF _Toc224657486 \h </w:instrText>
            </w:r>
            <w:r>
              <w:rPr>
                <w:noProof/>
                <w:webHidden/>
              </w:rPr>
            </w:r>
            <w:r>
              <w:rPr>
                <w:noProof/>
                <w:webHidden/>
              </w:rPr>
              <w:fldChar w:fldCharType="separate"/>
            </w:r>
            <w:r>
              <w:rPr>
                <w:noProof/>
                <w:webHidden/>
              </w:rPr>
              <w:t>5</w:t>
            </w:r>
            <w:r>
              <w:rPr>
                <w:noProof/>
                <w:webHidden/>
              </w:rPr>
              <w:fldChar w:fldCharType="end"/>
            </w:r>
          </w:hyperlink>
        </w:p>
        <w:p w14:paraId="212AC6F3" w14:textId="6404F89D" w:rsidR="00751620" w:rsidRDefault="00751620">
          <w:pPr>
            <w:pStyle w:val="TOC2"/>
            <w:tabs>
              <w:tab w:val="right" w:leader="dot" w:pos="9350"/>
            </w:tabs>
            <w:rPr>
              <w:rFonts w:eastAsiaTheme="minorEastAsia"/>
              <w:noProof/>
              <w:lang w:val="en-US"/>
            </w:rPr>
          </w:pPr>
          <w:hyperlink w:anchor="_Toc224657487" w:history="1">
            <w:r w:rsidRPr="00CF49DD">
              <w:rPr>
                <w:rStyle w:val="Hyperlink"/>
                <w:rFonts w:cstheme="minorHAnsi"/>
                <w:noProof/>
              </w:rPr>
              <w:t>Subsidios y distorsiones en la competencia internacional</w:t>
            </w:r>
            <w:r>
              <w:rPr>
                <w:noProof/>
                <w:webHidden/>
              </w:rPr>
              <w:tab/>
            </w:r>
            <w:r>
              <w:rPr>
                <w:noProof/>
                <w:webHidden/>
              </w:rPr>
              <w:fldChar w:fldCharType="begin"/>
            </w:r>
            <w:r>
              <w:rPr>
                <w:noProof/>
                <w:webHidden/>
              </w:rPr>
              <w:instrText xml:space="preserve"> PAGEREF _Toc224657487 \h </w:instrText>
            </w:r>
            <w:r>
              <w:rPr>
                <w:noProof/>
                <w:webHidden/>
              </w:rPr>
            </w:r>
            <w:r>
              <w:rPr>
                <w:noProof/>
                <w:webHidden/>
              </w:rPr>
              <w:fldChar w:fldCharType="separate"/>
            </w:r>
            <w:r>
              <w:rPr>
                <w:noProof/>
                <w:webHidden/>
              </w:rPr>
              <w:t>6</w:t>
            </w:r>
            <w:r>
              <w:rPr>
                <w:noProof/>
                <w:webHidden/>
              </w:rPr>
              <w:fldChar w:fldCharType="end"/>
            </w:r>
          </w:hyperlink>
        </w:p>
        <w:p w14:paraId="011F0C6E" w14:textId="1C3EB189" w:rsidR="00751620" w:rsidRDefault="00751620">
          <w:pPr>
            <w:pStyle w:val="TOC2"/>
            <w:tabs>
              <w:tab w:val="right" w:leader="dot" w:pos="9350"/>
            </w:tabs>
            <w:rPr>
              <w:rFonts w:eastAsiaTheme="minorEastAsia"/>
              <w:noProof/>
              <w:lang w:val="en-US"/>
            </w:rPr>
          </w:pPr>
          <w:hyperlink w:anchor="_Toc224657488" w:history="1">
            <w:r w:rsidRPr="00CF49DD">
              <w:rPr>
                <w:rStyle w:val="Hyperlink"/>
                <w:rFonts w:cstheme="minorHAnsi"/>
                <w:noProof/>
              </w:rPr>
              <w:t>Expansión internacional de la capacidad siderúrgica china</w:t>
            </w:r>
            <w:r>
              <w:rPr>
                <w:noProof/>
                <w:webHidden/>
              </w:rPr>
              <w:tab/>
            </w:r>
            <w:r>
              <w:rPr>
                <w:noProof/>
                <w:webHidden/>
              </w:rPr>
              <w:fldChar w:fldCharType="begin"/>
            </w:r>
            <w:r>
              <w:rPr>
                <w:noProof/>
                <w:webHidden/>
              </w:rPr>
              <w:instrText xml:space="preserve"> PAGEREF _Toc224657488 \h </w:instrText>
            </w:r>
            <w:r>
              <w:rPr>
                <w:noProof/>
                <w:webHidden/>
              </w:rPr>
            </w:r>
            <w:r>
              <w:rPr>
                <w:noProof/>
                <w:webHidden/>
              </w:rPr>
              <w:fldChar w:fldCharType="separate"/>
            </w:r>
            <w:r>
              <w:rPr>
                <w:noProof/>
                <w:webHidden/>
              </w:rPr>
              <w:t>7</w:t>
            </w:r>
            <w:r>
              <w:rPr>
                <w:noProof/>
                <w:webHidden/>
              </w:rPr>
              <w:fldChar w:fldCharType="end"/>
            </w:r>
          </w:hyperlink>
        </w:p>
        <w:p w14:paraId="1F2C9BA0" w14:textId="6CB92910" w:rsidR="00751620" w:rsidRDefault="00751620">
          <w:pPr>
            <w:pStyle w:val="TOC2"/>
            <w:tabs>
              <w:tab w:val="right" w:leader="dot" w:pos="9350"/>
            </w:tabs>
            <w:rPr>
              <w:rFonts w:eastAsiaTheme="minorEastAsia"/>
              <w:noProof/>
              <w:lang w:val="en-US"/>
            </w:rPr>
          </w:pPr>
          <w:hyperlink w:anchor="_Toc224657489" w:history="1">
            <w:r w:rsidRPr="00CF49DD">
              <w:rPr>
                <w:rStyle w:val="Hyperlink"/>
                <w:noProof/>
              </w:rPr>
              <w:t>Reacción internacional: aumento de medidas antidumping</w:t>
            </w:r>
            <w:r>
              <w:rPr>
                <w:noProof/>
                <w:webHidden/>
              </w:rPr>
              <w:tab/>
            </w:r>
            <w:r>
              <w:rPr>
                <w:noProof/>
                <w:webHidden/>
              </w:rPr>
              <w:fldChar w:fldCharType="begin"/>
            </w:r>
            <w:r>
              <w:rPr>
                <w:noProof/>
                <w:webHidden/>
              </w:rPr>
              <w:instrText xml:space="preserve"> PAGEREF _Toc224657489 \h </w:instrText>
            </w:r>
            <w:r>
              <w:rPr>
                <w:noProof/>
                <w:webHidden/>
              </w:rPr>
            </w:r>
            <w:r>
              <w:rPr>
                <w:noProof/>
                <w:webHidden/>
              </w:rPr>
              <w:fldChar w:fldCharType="separate"/>
            </w:r>
            <w:r>
              <w:rPr>
                <w:noProof/>
                <w:webHidden/>
              </w:rPr>
              <w:t>8</w:t>
            </w:r>
            <w:r>
              <w:rPr>
                <w:noProof/>
                <w:webHidden/>
              </w:rPr>
              <w:fldChar w:fldCharType="end"/>
            </w:r>
          </w:hyperlink>
        </w:p>
        <w:p w14:paraId="0D5AFD6E" w14:textId="5BA44159" w:rsidR="00751620" w:rsidRDefault="00751620">
          <w:pPr>
            <w:pStyle w:val="TOC2"/>
            <w:tabs>
              <w:tab w:val="right" w:leader="dot" w:pos="9350"/>
            </w:tabs>
            <w:rPr>
              <w:rFonts w:eastAsiaTheme="minorEastAsia"/>
              <w:noProof/>
              <w:lang w:val="en-US"/>
            </w:rPr>
          </w:pPr>
          <w:hyperlink w:anchor="_Toc224657490" w:history="1">
            <w:r w:rsidRPr="00CF49DD">
              <w:rPr>
                <w:rStyle w:val="Hyperlink"/>
                <w:noProof/>
              </w:rPr>
              <w:t>Implicaciones para mercados importadores</w:t>
            </w:r>
            <w:r>
              <w:rPr>
                <w:noProof/>
                <w:webHidden/>
              </w:rPr>
              <w:tab/>
            </w:r>
            <w:r>
              <w:rPr>
                <w:noProof/>
                <w:webHidden/>
              </w:rPr>
              <w:fldChar w:fldCharType="begin"/>
            </w:r>
            <w:r>
              <w:rPr>
                <w:noProof/>
                <w:webHidden/>
              </w:rPr>
              <w:instrText xml:space="preserve"> PAGEREF _Toc224657490 \h </w:instrText>
            </w:r>
            <w:r>
              <w:rPr>
                <w:noProof/>
                <w:webHidden/>
              </w:rPr>
            </w:r>
            <w:r>
              <w:rPr>
                <w:noProof/>
                <w:webHidden/>
              </w:rPr>
              <w:fldChar w:fldCharType="separate"/>
            </w:r>
            <w:r>
              <w:rPr>
                <w:noProof/>
                <w:webHidden/>
              </w:rPr>
              <w:t>12</w:t>
            </w:r>
            <w:r>
              <w:rPr>
                <w:noProof/>
                <w:webHidden/>
              </w:rPr>
              <w:fldChar w:fldCharType="end"/>
            </w:r>
          </w:hyperlink>
        </w:p>
        <w:p w14:paraId="76B91BB1" w14:textId="0CD90C1A" w:rsidR="00751620" w:rsidRDefault="00751620">
          <w:pPr>
            <w:pStyle w:val="TOC1"/>
            <w:tabs>
              <w:tab w:val="right" w:leader="dot" w:pos="9350"/>
            </w:tabs>
            <w:rPr>
              <w:rFonts w:eastAsiaTheme="minorEastAsia"/>
              <w:noProof/>
              <w:lang w:val="en-US"/>
            </w:rPr>
          </w:pPr>
          <w:hyperlink w:anchor="_Toc224657491" w:history="1">
            <w:r w:rsidRPr="00CF49DD">
              <w:rPr>
                <w:rStyle w:val="Hyperlink"/>
                <w:rFonts w:cstheme="minorHAnsi"/>
                <w:noProof/>
              </w:rPr>
              <w:t>Justificación Economía de No Mercado y Alternativa de Valor Normal</w:t>
            </w:r>
            <w:r>
              <w:rPr>
                <w:noProof/>
                <w:webHidden/>
              </w:rPr>
              <w:tab/>
            </w:r>
            <w:r>
              <w:rPr>
                <w:noProof/>
                <w:webHidden/>
              </w:rPr>
              <w:fldChar w:fldCharType="begin"/>
            </w:r>
            <w:r>
              <w:rPr>
                <w:noProof/>
                <w:webHidden/>
              </w:rPr>
              <w:instrText xml:space="preserve"> PAGEREF _Toc224657491 \h </w:instrText>
            </w:r>
            <w:r>
              <w:rPr>
                <w:noProof/>
                <w:webHidden/>
              </w:rPr>
            </w:r>
            <w:r>
              <w:rPr>
                <w:noProof/>
                <w:webHidden/>
              </w:rPr>
              <w:fldChar w:fldCharType="separate"/>
            </w:r>
            <w:r>
              <w:rPr>
                <w:noProof/>
                <w:webHidden/>
              </w:rPr>
              <w:t>13</w:t>
            </w:r>
            <w:r>
              <w:rPr>
                <w:noProof/>
                <w:webHidden/>
              </w:rPr>
              <w:fldChar w:fldCharType="end"/>
            </w:r>
          </w:hyperlink>
        </w:p>
        <w:p w14:paraId="36685CBC" w14:textId="2E13BEA9" w:rsidR="00751620" w:rsidRDefault="00751620">
          <w:pPr>
            <w:pStyle w:val="TOC1"/>
            <w:tabs>
              <w:tab w:val="right" w:leader="dot" w:pos="9350"/>
            </w:tabs>
            <w:rPr>
              <w:rFonts w:eastAsiaTheme="minorEastAsia"/>
              <w:noProof/>
              <w:lang w:val="en-US"/>
            </w:rPr>
          </w:pPr>
          <w:hyperlink w:anchor="_Toc224657492" w:history="1">
            <w:r w:rsidRPr="00CF49DD">
              <w:rPr>
                <w:rStyle w:val="Hyperlink"/>
                <w:rFonts w:cstheme="minorHAnsi"/>
                <w:noProof/>
              </w:rPr>
              <w:t>Probabilidad de Recurrencia de Dumping</w:t>
            </w:r>
            <w:r>
              <w:rPr>
                <w:noProof/>
                <w:webHidden/>
              </w:rPr>
              <w:tab/>
            </w:r>
            <w:r>
              <w:rPr>
                <w:noProof/>
                <w:webHidden/>
              </w:rPr>
              <w:fldChar w:fldCharType="begin"/>
            </w:r>
            <w:r>
              <w:rPr>
                <w:noProof/>
                <w:webHidden/>
              </w:rPr>
              <w:instrText xml:space="preserve"> PAGEREF _Toc224657492 \h </w:instrText>
            </w:r>
            <w:r>
              <w:rPr>
                <w:noProof/>
                <w:webHidden/>
              </w:rPr>
            </w:r>
            <w:r>
              <w:rPr>
                <w:noProof/>
                <w:webHidden/>
              </w:rPr>
              <w:fldChar w:fldCharType="separate"/>
            </w:r>
            <w:r>
              <w:rPr>
                <w:noProof/>
                <w:webHidden/>
              </w:rPr>
              <w:t>17</w:t>
            </w:r>
            <w:r>
              <w:rPr>
                <w:noProof/>
                <w:webHidden/>
              </w:rPr>
              <w:fldChar w:fldCharType="end"/>
            </w:r>
          </w:hyperlink>
        </w:p>
        <w:p w14:paraId="5CBA6B17" w14:textId="21970271" w:rsidR="00751620" w:rsidRDefault="00751620">
          <w:pPr>
            <w:pStyle w:val="TOC2"/>
            <w:tabs>
              <w:tab w:val="right" w:leader="dot" w:pos="9350"/>
            </w:tabs>
            <w:rPr>
              <w:rFonts w:eastAsiaTheme="minorEastAsia"/>
              <w:noProof/>
              <w:lang w:val="en-US"/>
            </w:rPr>
          </w:pPr>
          <w:hyperlink w:anchor="_Toc224657493" w:history="1">
            <w:r w:rsidRPr="00CF49DD">
              <w:rPr>
                <w:rStyle w:val="Hyperlink"/>
                <w:rFonts w:cstheme="minorHAnsi"/>
                <w:noProof/>
              </w:rPr>
              <w:t>Metodología para la estimación del margen de dumping</w:t>
            </w:r>
            <w:r>
              <w:rPr>
                <w:noProof/>
                <w:webHidden/>
              </w:rPr>
              <w:tab/>
            </w:r>
            <w:r>
              <w:rPr>
                <w:noProof/>
                <w:webHidden/>
              </w:rPr>
              <w:fldChar w:fldCharType="begin"/>
            </w:r>
            <w:r>
              <w:rPr>
                <w:noProof/>
                <w:webHidden/>
              </w:rPr>
              <w:instrText xml:space="preserve"> PAGEREF _Toc224657493 \h </w:instrText>
            </w:r>
            <w:r>
              <w:rPr>
                <w:noProof/>
                <w:webHidden/>
              </w:rPr>
            </w:r>
            <w:r>
              <w:rPr>
                <w:noProof/>
                <w:webHidden/>
              </w:rPr>
              <w:fldChar w:fldCharType="separate"/>
            </w:r>
            <w:r>
              <w:rPr>
                <w:noProof/>
                <w:webHidden/>
              </w:rPr>
              <w:t>18</w:t>
            </w:r>
            <w:r>
              <w:rPr>
                <w:noProof/>
                <w:webHidden/>
              </w:rPr>
              <w:fldChar w:fldCharType="end"/>
            </w:r>
          </w:hyperlink>
        </w:p>
        <w:p w14:paraId="76AB468A" w14:textId="37EC96D5" w:rsidR="00751620" w:rsidRDefault="00751620">
          <w:pPr>
            <w:pStyle w:val="TOC2"/>
            <w:tabs>
              <w:tab w:val="right" w:leader="dot" w:pos="9350"/>
            </w:tabs>
            <w:rPr>
              <w:rFonts w:eastAsiaTheme="minorEastAsia"/>
              <w:noProof/>
              <w:lang w:val="en-US"/>
            </w:rPr>
          </w:pPr>
          <w:hyperlink w:anchor="_Toc224657494" w:history="1">
            <w:r w:rsidRPr="00CF49DD">
              <w:rPr>
                <w:rStyle w:val="Hyperlink"/>
                <w:rFonts w:cstheme="minorHAnsi"/>
                <w:noProof/>
              </w:rPr>
              <w:t>Evolución reciente de los precios y márgenes de dumping</w:t>
            </w:r>
            <w:r>
              <w:rPr>
                <w:noProof/>
                <w:webHidden/>
              </w:rPr>
              <w:tab/>
            </w:r>
            <w:r>
              <w:rPr>
                <w:noProof/>
                <w:webHidden/>
              </w:rPr>
              <w:fldChar w:fldCharType="begin"/>
            </w:r>
            <w:r>
              <w:rPr>
                <w:noProof/>
                <w:webHidden/>
              </w:rPr>
              <w:instrText xml:space="preserve"> PAGEREF _Toc224657494 \h </w:instrText>
            </w:r>
            <w:r>
              <w:rPr>
                <w:noProof/>
                <w:webHidden/>
              </w:rPr>
            </w:r>
            <w:r>
              <w:rPr>
                <w:noProof/>
                <w:webHidden/>
              </w:rPr>
              <w:fldChar w:fldCharType="separate"/>
            </w:r>
            <w:r>
              <w:rPr>
                <w:noProof/>
                <w:webHidden/>
              </w:rPr>
              <w:t>19</w:t>
            </w:r>
            <w:r>
              <w:rPr>
                <w:noProof/>
                <w:webHidden/>
              </w:rPr>
              <w:fldChar w:fldCharType="end"/>
            </w:r>
          </w:hyperlink>
        </w:p>
        <w:p w14:paraId="23BE1FA2" w14:textId="1C30975D" w:rsidR="00751620" w:rsidRDefault="00751620">
          <w:pPr>
            <w:pStyle w:val="TOC2"/>
            <w:tabs>
              <w:tab w:val="right" w:leader="dot" w:pos="9350"/>
            </w:tabs>
            <w:rPr>
              <w:rFonts w:eastAsiaTheme="minorEastAsia"/>
              <w:noProof/>
              <w:lang w:val="en-US"/>
            </w:rPr>
          </w:pPr>
          <w:hyperlink w:anchor="_Toc224657495" w:history="1">
            <w:r w:rsidRPr="00CF49DD">
              <w:rPr>
                <w:rStyle w:val="Hyperlink"/>
                <w:rFonts w:cstheme="minorHAnsi"/>
                <w:noProof/>
              </w:rPr>
              <w:t>Evolución reciente de las exportaciones chinas de varillas de acero</w:t>
            </w:r>
            <w:r>
              <w:rPr>
                <w:noProof/>
                <w:webHidden/>
              </w:rPr>
              <w:tab/>
            </w:r>
            <w:r>
              <w:rPr>
                <w:noProof/>
                <w:webHidden/>
              </w:rPr>
              <w:fldChar w:fldCharType="begin"/>
            </w:r>
            <w:r>
              <w:rPr>
                <w:noProof/>
                <w:webHidden/>
              </w:rPr>
              <w:instrText xml:space="preserve"> PAGEREF _Toc224657495 \h </w:instrText>
            </w:r>
            <w:r>
              <w:rPr>
                <w:noProof/>
                <w:webHidden/>
              </w:rPr>
            </w:r>
            <w:r>
              <w:rPr>
                <w:noProof/>
                <w:webHidden/>
              </w:rPr>
              <w:fldChar w:fldCharType="separate"/>
            </w:r>
            <w:r>
              <w:rPr>
                <w:noProof/>
                <w:webHidden/>
              </w:rPr>
              <w:t>20</w:t>
            </w:r>
            <w:r>
              <w:rPr>
                <w:noProof/>
                <w:webHidden/>
              </w:rPr>
              <w:fldChar w:fldCharType="end"/>
            </w:r>
          </w:hyperlink>
        </w:p>
        <w:p w14:paraId="5ED316D0" w14:textId="4FD05B4C" w:rsidR="00247A11" w:rsidRPr="00A00EF0" w:rsidRDefault="00247A11">
          <w:pPr>
            <w:rPr>
              <w:rFonts w:cstheme="minorHAnsi"/>
            </w:rPr>
          </w:pPr>
          <w:r w:rsidRPr="00A00EF0">
            <w:rPr>
              <w:rFonts w:cstheme="minorHAnsi"/>
              <w:b/>
              <w:bCs/>
            </w:rPr>
            <w:fldChar w:fldCharType="end"/>
          </w:r>
        </w:p>
      </w:sdtContent>
    </w:sdt>
    <w:p w14:paraId="1AF3624F" w14:textId="7268757E" w:rsidR="00AA15EE" w:rsidRPr="00A00EF0" w:rsidRDefault="00AA15EE" w:rsidP="00AA15EE">
      <w:pPr>
        <w:rPr>
          <w:rFonts w:cstheme="minorHAnsi"/>
        </w:rPr>
      </w:pPr>
    </w:p>
    <w:p w14:paraId="1B369363" w14:textId="77777777" w:rsidR="009F6D65" w:rsidRPr="00A00EF0" w:rsidRDefault="00743922" w:rsidP="00247A11">
      <w:pPr>
        <w:pStyle w:val="Heading1"/>
        <w:rPr>
          <w:rFonts w:asciiTheme="minorHAnsi" w:hAnsiTheme="minorHAnsi" w:cstheme="minorHAnsi"/>
        </w:rPr>
      </w:pPr>
      <w:r w:rsidRPr="00A00EF0">
        <w:rPr>
          <w:rFonts w:asciiTheme="minorHAnsi" w:hAnsiTheme="minorHAnsi" w:cstheme="minorHAnsi"/>
        </w:rPr>
        <w:br w:type="page"/>
      </w:r>
      <w:bookmarkStart w:id="0" w:name="_Toc224657482"/>
      <w:r w:rsidR="009F6D65" w:rsidRPr="00A00EF0">
        <w:rPr>
          <w:rFonts w:asciiTheme="minorHAnsi" w:hAnsiTheme="minorHAnsi" w:cstheme="minorHAnsi"/>
        </w:rPr>
        <w:lastRenderedPageBreak/>
        <w:t>Contexto Internacional: El Rol de China en el Mercado Mundial del Acero y los Riesgos para Mercados Importadores</w:t>
      </w:r>
      <w:bookmarkEnd w:id="0"/>
    </w:p>
    <w:p w14:paraId="297F8C92" w14:textId="77777777" w:rsidR="000D0C03" w:rsidRPr="00A00EF0" w:rsidRDefault="000D0C03" w:rsidP="000D0C03">
      <w:pPr>
        <w:pStyle w:val="Heading2"/>
        <w:rPr>
          <w:rFonts w:asciiTheme="minorHAnsi" w:hAnsiTheme="minorHAnsi" w:cstheme="minorHAnsi"/>
        </w:rPr>
      </w:pPr>
      <w:bookmarkStart w:id="1" w:name="_Toc224657483"/>
      <w:r w:rsidRPr="00A00EF0">
        <w:rPr>
          <w:rFonts w:asciiTheme="minorHAnsi" w:hAnsiTheme="minorHAnsi" w:cstheme="minorHAnsi"/>
        </w:rPr>
        <w:t>Situación actual del mercado global del acero</w:t>
      </w:r>
      <w:bookmarkEnd w:id="1"/>
    </w:p>
    <w:p w14:paraId="1D409023" w14:textId="77777777" w:rsidR="000D0C03" w:rsidRPr="00A00EF0" w:rsidRDefault="000D0C03" w:rsidP="000D0C03">
      <w:pPr>
        <w:rPr>
          <w:rFonts w:cstheme="minorHAnsi"/>
        </w:rPr>
      </w:pPr>
      <w:r w:rsidRPr="00A00EF0">
        <w:rPr>
          <w:rFonts w:cstheme="minorHAnsi"/>
        </w:rPr>
        <w:t xml:space="preserve">El mercado mundial del acero atraviesa una fase de crecimiento estructuralmente limitado acompañado de un exceso significativo de capacidad productiva. De acuerdo con el informe </w:t>
      </w:r>
      <w:r w:rsidRPr="00A00EF0">
        <w:rPr>
          <w:rFonts w:cstheme="minorHAnsi"/>
          <w:i/>
          <w:iCs/>
        </w:rPr>
        <w:t>Perspectivas del Acero 2025</w:t>
      </w:r>
      <w:r w:rsidRPr="00A00EF0">
        <w:rPr>
          <w:rFonts w:cstheme="minorHAnsi"/>
        </w:rPr>
        <w:t>, se espera que la demanda global de acero crezca a un ritmo inferior al 1 % anual hacia 2030, reflejando la desaceleración de sectores intensivos en acero como la construcción y ciertos segmentos de la manufactura.</w:t>
      </w:r>
    </w:p>
    <w:p w14:paraId="50E6530C" w14:textId="77777777" w:rsidR="000D0C03" w:rsidRPr="00A00EF0" w:rsidRDefault="000D0C03" w:rsidP="000D0C03">
      <w:pPr>
        <w:rPr>
          <w:rFonts w:cstheme="minorHAnsi"/>
        </w:rPr>
      </w:pPr>
      <w:r w:rsidRPr="00A00EF0">
        <w:rPr>
          <w:rFonts w:cstheme="minorHAnsi"/>
        </w:rPr>
        <w:t>A pesar de este crecimiento moderado de la demanda, la capacidad global de producción continúa expandiéndose, con un aumento proyectado de aproximadamente 165 millones de toneladas entre 2025 y 2027. Esta dinámica ha contribuido a mantener una brecha estructural entre oferta y demanda.</w:t>
      </w:r>
    </w:p>
    <w:p w14:paraId="2F0CE660" w14:textId="77777777" w:rsidR="000D0C03" w:rsidRPr="00A00EF0" w:rsidRDefault="000D0C03" w:rsidP="000D0C03">
      <w:pPr>
        <w:rPr>
          <w:rFonts w:cstheme="minorHAnsi"/>
        </w:rPr>
      </w:pPr>
      <w:r w:rsidRPr="00A00EF0">
        <w:rPr>
          <w:rFonts w:cstheme="minorHAnsi"/>
        </w:rPr>
        <w:t>Como resultado, el mercado mundial enfrenta un exceso significativo de capacidad productiva, que según estimaciones de la OCDE podría alcanzar 721 millones de toneladas para 2027. Este volumen supera ampliamente la producción total de acero de todos los países de la OCDE, lo que evidencia la magnitud del desequilibrio estructural existente en el sector.</w:t>
      </w:r>
    </w:p>
    <w:p w14:paraId="1CEEC3C0" w14:textId="77777777" w:rsidR="000D0C03" w:rsidRPr="00A00EF0" w:rsidRDefault="000D0C03" w:rsidP="000D0C03">
      <w:pPr>
        <w:rPr>
          <w:rFonts w:cstheme="minorHAnsi"/>
        </w:rPr>
      </w:pPr>
      <w:r w:rsidRPr="00A00EF0">
        <w:rPr>
          <w:rFonts w:cstheme="minorHAnsi"/>
        </w:rPr>
        <w:t>El exceso de capacidad tiene efectos directos sobre el funcionamiento del mercado internacional, incluyendo:</w:t>
      </w:r>
    </w:p>
    <w:p w14:paraId="0ED84C2F" w14:textId="77777777" w:rsidR="000D0C03" w:rsidRPr="00A00EF0" w:rsidRDefault="000D0C03" w:rsidP="000D0C03">
      <w:pPr>
        <w:numPr>
          <w:ilvl w:val="0"/>
          <w:numId w:val="4"/>
        </w:numPr>
        <w:rPr>
          <w:rFonts w:cstheme="minorHAnsi"/>
        </w:rPr>
      </w:pPr>
      <w:r w:rsidRPr="00A00EF0">
        <w:rPr>
          <w:rFonts w:cstheme="minorHAnsi"/>
        </w:rPr>
        <w:t>presión sostenida a la baja sobre los precios internacionales del acero,</w:t>
      </w:r>
    </w:p>
    <w:p w14:paraId="1AEF59BA" w14:textId="77777777" w:rsidR="000D0C03" w:rsidRPr="00A00EF0" w:rsidRDefault="000D0C03" w:rsidP="000D0C03">
      <w:pPr>
        <w:numPr>
          <w:ilvl w:val="0"/>
          <w:numId w:val="4"/>
        </w:numPr>
        <w:rPr>
          <w:rFonts w:cstheme="minorHAnsi"/>
        </w:rPr>
      </w:pPr>
      <w:r w:rsidRPr="00A00EF0">
        <w:rPr>
          <w:rFonts w:cstheme="minorHAnsi"/>
        </w:rPr>
        <w:t>reducción de los márgenes de rentabilidad de los productores, y</w:t>
      </w:r>
    </w:p>
    <w:p w14:paraId="6B520651" w14:textId="77777777" w:rsidR="000D0C03" w:rsidRPr="00A00EF0" w:rsidRDefault="000D0C03" w:rsidP="000D0C03">
      <w:pPr>
        <w:numPr>
          <w:ilvl w:val="0"/>
          <w:numId w:val="4"/>
        </w:numPr>
        <w:rPr>
          <w:rFonts w:cstheme="minorHAnsi"/>
        </w:rPr>
      </w:pPr>
      <w:r w:rsidRPr="00A00EF0">
        <w:rPr>
          <w:rFonts w:cstheme="minorHAnsi"/>
        </w:rPr>
        <w:t>aumento de las tensiones comerciales entre países importadores y exportadores.</w:t>
      </w:r>
    </w:p>
    <w:p w14:paraId="44C931C9" w14:textId="77777777" w:rsidR="000D0C03" w:rsidRPr="00A00EF0" w:rsidRDefault="000D0C03" w:rsidP="000D0C03">
      <w:pPr>
        <w:rPr>
          <w:rFonts w:cstheme="minorHAnsi"/>
        </w:rPr>
      </w:pPr>
      <w:r w:rsidRPr="00A00EF0">
        <w:rPr>
          <w:rFonts w:cstheme="minorHAnsi"/>
        </w:rPr>
        <w:t>En este contexto, diversos gobiernos han recurrido con mayor frecuencia a instrumentos de defensa comercial, como medidas antidumping, compensatorias y salvaguardias, con el objetivo de proteger a sus industrias frente a incrementos súbitos de importaciones provenientes de mercados con exceso de producción.</w:t>
      </w:r>
    </w:p>
    <w:p w14:paraId="2B885DB4" w14:textId="77777777" w:rsidR="000D0C03" w:rsidRPr="00A00EF0" w:rsidRDefault="000D0C03" w:rsidP="000D0C03"/>
    <w:p w14:paraId="17C0FCBB" w14:textId="416167AA" w:rsidR="009F6D65" w:rsidRPr="00A00EF0" w:rsidRDefault="009F6D65" w:rsidP="006B2EC9">
      <w:pPr>
        <w:pStyle w:val="Heading2"/>
        <w:rPr>
          <w:rFonts w:asciiTheme="minorHAnsi" w:hAnsiTheme="minorHAnsi" w:cstheme="minorHAnsi"/>
        </w:rPr>
      </w:pPr>
      <w:bookmarkStart w:id="2" w:name="_Toc224657484"/>
      <w:r w:rsidRPr="00A00EF0">
        <w:rPr>
          <w:rFonts w:asciiTheme="minorHAnsi" w:hAnsiTheme="minorHAnsi" w:cstheme="minorHAnsi"/>
        </w:rPr>
        <w:lastRenderedPageBreak/>
        <w:t>Transformación estructural del mercado mundial del acero</w:t>
      </w:r>
      <w:bookmarkEnd w:id="2"/>
    </w:p>
    <w:p w14:paraId="61AC5B83" w14:textId="77777777" w:rsidR="009F6D65" w:rsidRPr="00A00EF0" w:rsidRDefault="009F6D65" w:rsidP="009F6D65">
      <w:pPr>
        <w:rPr>
          <w:rFonts w:cstheme="minorHAnsi"/>
        </w:rPr>
      </w:pPr>
      <w:r w:rsidRPr="00A00EF0">
        <w:rPr>
          <w:rFonts w:cstheme="minorHAnsi"/>
        </w:rPr>
        <w:t>Durante las últimas décadas, la estructura del mercado mundial del acero ha experimentado una transformación profunda caracterizada por una creciente concentración de capacidad productiva en Asia, particularmente en la República Popular China. Este cambio ha alterado de forma significativa las dinámicas tradicionales de oferta, comercio internacional y formación de precios en el sector siderúrgico.</w:t>
      </w:r>
    </w:p>
    <w:p w14:paraId="2C3F98AB" w14:textId="77777777" w:rsidR="009F6D65" w:rsidRPr="00A00EF0" w:rsidRDefault="009F6D65" w:rsidP="009F6D65">
      <w:pPr>
        <w:rPr>
          <w:rFonts w:cstheme="minorHAnsi"/>
        </w:rPr>
      </w:pPr>
      <w:r w:rsidRPr="00A00EF0">
        <w:rPr>
          <w:rFonts w:cstheme="minorHAnsi"/>
        </w:rPr>
        <w:t>China constituye actualmente el actor dominante en la industria global del acero. De acuerdo con el OECD Steel Outlook 2025, la capacidad instalada de producción de acero de China asciende a aproximadamente 1,141.5 millones de toneladas métricas (mmt), lo que representa cerca del 46.2% de la capacidad mundial total.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9F6D65" w:rsidRPr="00A00EF0" w14:paraId="11066C9D" w14:textId="77777777" w:rsidTr="008B3208">
        <w:tc>
          <w:tcPr>
            <w:tcW w:w="3120"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1ED09710" w14:textId="77777777" w:rsidR="009F6D65" w:rsidRPr="00A00EF0" w:rsidRDefault="009F6D65" w:rsidP="008B3208">
            <w:pPr>
              <w:jc w:val="center"/>
              <w:rPr>
                <w:rFonts w:cstheme="minorHAnsi"/>
              </w:rPr>
            </w:pPr>
            <w:r w:rsidRPr="00A00EF0">
              <w:rPr>
                <w:rFonts w:eastAsia="Arial" w:cstheme="minorHAnsi"/>
                <w:b/>
                <w:bCs/>
                <w:color w:val="FFFFFF"/>
                <w:sz w:val="18"/>
                <w:szCs w:val="18"/>
              </w:rPr>
              <w:t>Economía</w:t>
            </w:r>
          </w:p>
        </w:tc>
        <w:tc>
          <w:tcPr>
            <w:tcW w:w="3120"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43400A78" w14:textId="77777777" w:rsidR="009F6D65" w:rsidRPr="00A00EF0" w:rsidRDefault="009F6D65" w:rsidP="008B3208">
            <w:pPr>
              <w:jc w:val="center"/>
              <w:rPr>
                <w:rFonts w:cstheme="minorHAnsi"/>
              </w:rPr>
            </w:pPr>
            <w:r w:rsidRPr="00A00EF0">
              <w:rPr>
                <w:rFonts w:eastAsia="Arial" w:cstheme="minorHAnsi"/>
                <w:b/>
                <w:bCs/>
                <w:color w:val="FFFFFF"/>
                <w:sz w:val="18"/>
                <w:szCs w:val="18"/>
              </w:rPr>
              <w:t>Capacidad 2024 (mmt)</w:t>
            </w:r>
          </w:p>
        </w:tc>
        <w:tc>
          <w:tcPr>
            <w:tcW w:w="3120"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0ADE6647" w14:textId="77777777" w:rsidR="009F6D65" w:rsidRPr="00A00EF0" w:rsidRDefault="009F6D65" w:rsidP="008B3208">
            <w:pPr>
              <w:jc w:val="center"/>
              <w:rPr>
                <w:rFonts w:cstheme="minorHAnsi"/>
              </w:rPr>
            </w:pPr>
            <w:r w:rsidRPr="00A00EF0">
              <w:rPr>
                <w:rFonts w:eastAsia="Arial" w:cstheme="minorHAnsi"/>
                <w:b/>
                <w:bCs/>
                <w:color w:val="FFFFFF"/>
                <w:sz w:val="18"/>
                <w:szCs w:val="18"/>
              </w:rPr>
              <w:t>Participación Mundial (%)</w:t>
            </w:r>
          </w:p>
        </w:tc>
      </w:tr>
      <w:tr w:rsidR="009F6D65" w:rsidRPr="00A00EF0" w14:paraId="65FE3130"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3E818D11" w14:textId="77777777" w:rsidR="009F6D65" w:rsidRPr="00A00EF0" w:rsidRDefault="009F6D65" w:rsidP="008B3208">
            <w:pPr>
              <w:rPr>
                <w:rFonts w:cstheme="minorHAnsi"/>
              </w:rPr>
            </w:pPr>
            <w:r w:rsidRPr="00A00EF0">
              <w:rPr>
                <w:rFonts w:eastAsia="Arial" w:cstheme="minorHAnsi"/>
                <w:b/>
                <w:bCs/>
                <w:sz w:val="18"/>
                <w:szCs w:val="18"/>
              </w:rPr>
              <w:t>China</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B0D8A57" w14:textId="77777777" w:rsidR="009F6D65" w:rsidRPr="00A00EF0" w:rsidRDefault="009F6D65" w:rsidP="008B3208">
            <w:pPr>
              <w:jc w:val="center"/>
              <w:rPr>
                <w:rFonts w:cstheme="minorHAnsi"/>
              </w:rPr>
            </w:pPr>
            <w:r w:rsidRPr="00A00EF0">
              <w:rPr>
                <w:rFonts w:eastAsia="Arial" w:cstheme="minorHAnsi"/>
                <w:sz w:val="18"/>
                <w:szCs w:val="18"/>
              </w:rPr>
              <w:t>1,141.5</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180D1D2" w14:textId="368894A0" w:rsidR="009F6D65" w:rsidRPr="00A00EF0" w:rsidRDefault="009F6D65" w:rsidP="008B3208">
            <w:pPr>
              <w:jc w:val="center"/>
              <w:rPr>
                <w:rFonts w:cstheme="minorHAnsi"/>
              </w:rPr>
            </w:pPr>
            <w:r w:rsidRPr="00A00EF0">
              <w:rPr>
                <w:rFonts w:eastAsia="Arial" w:cstheme="minorHAnsi"/>
                <w:sz w:val="18"/>
                <w:szCs w:val="18"/>
              </w:rPr>
              <w:t>46</w:t>
            </w:r>
            <w:r w:rsidR="000D0C03" w:rsidRPr="00A00EF0">
              <w:rPr>
                <w:rFonts w:eastAsia="Arial" w:cstheme="minorHAnsi"/>
                <w:sz w:val="18"/>
                <w:szCs w:val="18"/>
              </w:rPr>
              <w:t>.</w:t>
            </w:r>
            <w:r w:rsidRPr="00A00EF0">
              <w:rPr>
                <w:rFonts w:eastAsia="Arial" w:cstheme="minorHAnsi"/>
                <w:sz w:val="18"/>
                <w:szCs w:val="18"/>
              </w:rPr>
              <w:t>2%</w:t>
            </w:r>
          </w:p>
        </w:tc>
      </w:tr>
      <w:tr w:rsidR="009F6D65" w:rsidRPr="00A00EF0" w14:paraId="6C0FA501"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63B1FEB6" w14:textId="77777777" w:rsidR="009F6D65" w:rsidRPr="00A00EF0" w:rsidRDefault="009F6D65" w:rsidP="008B3208">
            <w:pPr>
              <w:rPr>
                <w:rFonts w:cstheme="minorHAnsi"/>
              </w:rPr>
            </w:pPr>
            <w:r w:rsidRPr="00A00EF0">
              <w:rPr>
                <w:rFonts w:eastAsia="Arial" w:cstheme="minorHAnsi"/>
                <w:b/>
                <w:bCs/>
                <w:sz w:val="18"/>
                <w:szCs w:val="18"/>
              </w:rPr>
              <w:t>Unión Europea</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E858B1F" w14:textId="77777777" w:rsidR="009F6D65" w:rsidRPr="00A00EF0" w:rsidRDefault="009F6D65" w:rsidP="008B3208">
            <w:pPr>
              <w:jc w:val="center"/>
              <w:rPr>
                <w:rFonts w:cstheme="minorHAnsi"/>
              </w:rPr>
            </w:pPr>
            <w:r w:rsidRPr="00A00EF0">
              <w:rPr>
                <w:rFonts w:eastAsia="Arial" w:cstheme="minorHAnsi"/>
                <w:sz w:val="18"/>
                <w:szCs w:val="18"/>
              </w:rPr>
              <w:t>205.7</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2436F988" w14:textId="00FD3510" w:rsidR="009F6D65" w:rsidRPr="00A00EF0" w:rsidRDefault="009F6D65" w:rsidP="008B3208">
            <w:pPr>
              <w:jc w:val="center"/>
              <w:rPr>
                <w:rFonts w:cstheme="minorHAnsi"/>
              </w:rPr>
            </w:pPr>
            <w:r w:rsidRPr="00A00EF0">
              <w:rPr>
                <w:rFonts w:eastAsia="Arial" w:cstheme="minorHAnsi"/>
                <w:sz w:val="18"/>
                <w:szCs w:val="18"/>
              </w:rPr>
              <w:t>8</w:t>
            </w:r>
            <w:r w:rsidR="000D0C03" w:rsidRPr="00A00EF0">
              <w:rPr>
                <w:rFonts w:eastAsia="Arial" w:cstheme="minorHAnsi"/>
                <w:sz w:val="18"/>
                <w:szCs w:val="18"/>
              </w:rPr>
              <w:t>.</w:t>
            </w:r>
            <w:r w:rsidRPr="00A00EF0">
              <w:rPr>
                <w:rFonts w:eastAsia="Arial" w:cstheme="minorHAnsi"/>
                <w:sz w:val="18"/>
                <w:szCs w:val="18"/>
              </w:rPr>
              <w:t>3%</w:t>
            </w:r>
          </w:p>
        </w:tc>
      </w:tr>
      <w:tr w:rsidR="009F6D65" w:rsidRPr="00A00EF0" w14:paraId="562E59C8"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F3A05F5" w14:textId="77777777" w:rsidR="009F6D65" w:rsidRPr="00A00EF0" w:rsidRDefault="009F6D65" w:rsidP="008B3208">
            <w:pPr>
              <w:rPr>
                <w:rFonts w:cstheme="minorHAnsi"/>
              </w:rPr>
            </w:pPr>
            <w:r w:rsidRPr="00A00EF0">
              <w:rPr>
                <w:rFonts w:eastAsia="Arial" w:cstheme="minorHAnsi"/>
                <w:b/>
                <w:bCs/>
                <w:sz w:val="18"/>
                <w:szCs w:val="18"/>
              </w:rPr>
              <w:t>India</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600365BD" w14:textId="77777777" w:rsidR="009F6D65" w:rsidRPr="00A00EF0" w:rsidRDefault="009F6D65" w:rsidP="008B3208">
            <w:pPr>
              <w:jc w:val="center"/>
              <w:rPr>
                <w:rFonts w:cstheme="minorHAnsi"/>
              </w:rPr>
            </w:pPr>
            <w:r w:rsidRPr="00A00EF0">
              <w:rPr>
                <w:rFonts w:eastAsia="Arial" w:cstheme="minorHAnsi"/>
                <w:sz w:val="18"/>
                <w:szCs w:val="18"/>
              </w:rPr>
              <w:t>179.5</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7D62E66A" w14:textId="6E64E420" w:rsidR="009F6D65" w:rsidRPr="00A00EF0" w:rsidRDefault="009F6D65" w:rsidP="008B3208">
            <w:pPr>
              <w:jc w:val="center"/>
              <w:rPr>
                <w:rFonts w:cstheme="minorHAnsi"/>
              </w:rPr>
            </w:pPr>
            <w:r w:rsidRPr="00A00EF0">
              <w:rPr>
                <w:rFonts w:eastAsia="Arial" w:cstheme="minorHAnsi"/>
                <w:sz w:val="18"/>
                <w:szCs w:val="18"/>
              </w:rPr>
              <w:t>7</w:t>
            </w:r>
            <w:r w:rsidR="000D0C03" w:rsidRPr="00A00EF0">
              <w:rPr>
                <w:rFonts w:eastAsia="Arial" w:cstheme="minorHAnsi"/>
                <w:sz w:val="18"/>
                <w:szCs w:val="18"/>
              </w:rPr>
              <w:t>.</w:t>
            </w:r>
            <w:r w:rsidRPr="00A00EF0">
              <w:rPr>
                <w:rFonts w:eastAsia="Arial" w:cstheme="minorHAnsi"/>
                <w:sz w:val="18"/>
                <w:szCs w:val="18"/>
              </w:rPr>
              <w:t>3%</w:t>
            </w:r>
          </w:p>
        </w:tc>
      </w:tr>
      <w:tr w:rsidR="009F6D65" w:rsidRPr="00A00EF0" w14:paraId="44626E93"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4B372F70" w14:textId="77777777" w:rsidR="009F6D65" w:rsidRPr="00A00EF0" w:rsidRDefault="009F6D65" w:rsidP="008B3208">
            <w:pPr>
              <w:rPr>
                <w:rFonts w:cstheme="minorHAnsi"/>
              </w:rPr>
            </w:pPr>
            <w:r w:rsidRPr="00A00EF0">
              <w:rPr>
                <w:rFonts w:eastAsia="Arial" w:cstheme="minorHAnsi"/>
                <w:b/>
                <w:bCs/>
                <w:sz w:val="18"/>
                <w:szCs w:val="18"/>
              </w:rPr>
              <w:t>Estados Unidos</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1F23B71A" w14:textId="77777777" w:rsidR="009F6D65" w:rsidRPr="00A00EF0" w:rsidRDefault="009F6D65" w:rsidP="008B3208">
            <w:pPr>
              <w:jc w:val="center"/>
              <w:rPr>
                <w:rFonts w:cstheme="minorHAnsi"/>
              </w:rPr>
            </w:pPr>
            <w:r w:rsidRPr="00A00EF0">
              <w:rPr>
                <w:rFonts w:eastAsia="Arial" w:cstheme="minorHAnsi"/>
                <w:sz w:val="18"/>
                <w:szCs w:val="18"/>
              </w:rPr>
              <w:t>119.3</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8342B00" w14:textId="55EDDC4D" w:rsidR="009F6D65" w:rsidRPr="00A00EF0" w:rsidRDefault="009F6D65" w:rsidP="008B3208">
            <w:pPr>
              <w:jc w:val="center"/>
              <w:rPr>
                <w:rFonts w:cstheme="minorHAnsi"/>
              </w:rPr>
            </w:pPr>
            <w:r w:rsidRPr="00A00EF0">
              <w:rPr>
                <w:rFonts w:eastAsia="Arial" w:cstheme="minorHAnsi"/>
                <w:sz w:val="18"/>
                <w:szCs w:val="18"/>
              </w:rPr>
              <w:t>4</w:t>
            </w:r>
            <w:r w:rsidR="000D0C03" w:rsidRPr="00A00EF0">
              <w:rPr>
                <w:rFonts w:eastAsia="Arial" w:cstheme="minorHAnsi"/>
                <w:sz w:val="18"/>
                <w:szCs w:val="18"/>
              </w:rPr>
              <w:t>.</w:t>
            </w:r>
            <w:r w:rsidRPr="00A00EF0">
              <w:rPr>
                <w:rFonts w:eastAsia="Arial" w:cstheme="minorHAnsi"/>
                <w:sz w:val="18"/>
                <w:szCs w:val="18"/>
              </w:rPr>
              <w:t>8%</w:t>
            </w:r>
          </w:p>
        </w:tc>
      </w:tr>
      <w:tr w:rsidR="009F6D65" w:rsidRPr="00A00EF0" w14:paraId="35A435AC"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F38D380" w14:textId="77777777" w:rsidR="009F6D65" w:rsidRPr="00A00EF0" w:rsidRDefault="009F6D65" w:rsidP="008B3208">
            <w:pPr>
              <w:rPr>
                <w:rFonts w:cstheme="minorHAnsi"/>
              </w:rPr>
            </w:pPr>
            <w:r w:rsidRPr="00A00EF0">
              <w:rPr>
                <w:rFonts w:eastAsia="Arial" w:cstheme="minorHAnsi"/>
                <w:b/>
                <w:bCs/>
                <w:sz w:val="18"/>
                <w:szCs w:val="18"/>
              </w:rPr>
              <w:t>Japón</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2167DAA" w14:textId="77777777" w:rsidR="009F6D65" w:rsidRPr="00A00EF0" w:rsidRDefault="009F6D65" w:rsidP="008B3208">
            <w:pPr>
              <w:jc w:val="center"/>
              <w:rPr>
                <w:rFonts w:cstheme="minorHAnsi"/>
              </w:rPr>
            </w:pPr>
            <w:r w:rsidRPr="00A00EF0">
              <w:rPr>
                <w:rFonts w:eastAsia="Arial" w:cstheme="minorHAnsi"/>
                <w:sz w:val="18"/>
                <w:szCs w:val="18"/>
              </w:rPr>
              <w:t>117.0</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3DFA406" w14:textId="4A1B4265" w:rsidR="009F6D65" w:rsidRPr="00A00EF0" w:rsidRDefault="009F6D65" w:rsidP="008B3208">
            <w:pPr>
              <w:jc w:val="center"/>
              <w:rPr>
                <w:rFonts w:cstheme="minorHAnsi"/>
              </w:rPr>
            </w:pPr>
            <w:r w:rsidRPr="00A00EF0">
              <w:rPr>
                <w:rFonts w:eastAsia="Arial" w:cstheme="minorHAnsi"/>
                <w:sz w:val="18"/>
                <w:szCs w:val="18"/>
              </w:rPr>
              <w:t>4</w:t>
            </w:r>
            <w:r w:rsidR="000D0C03" w:rsidRPr="00A00EF0">
              <w:rPr>
                <w:rFonts w:eastAsia="Arial" w:cstheme="minorHAnsi"/>
                <w:sz w:val="18"/>
                <w:szCs w:val="18"/>
              </w:rPr>
              <w:t>.</w:t>
            </w:r>
            <w:r w:rsidRPr="00A00EF0">
              <w:rPr>
                <w:rFonts w:eastAsia="Arial" w:cstheme="minorHAnsi"/>
                <w:sz w:val="18"/>
                <w:szCs w:val="18"/>
              </w:rPr>
              <w:t>7%</w:t>
            </w:r>
          </w:p>
        </w:tc>
      </w:tr>
      <w:tr w:rsidR="009F6D65" w:rsidRPr="00A00EF0" w14:paraId="07F63157"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77ABE9DD" w14:textId="77777777" w:rsidR="009F6D65" w:rsidRPr="00A00EF0" w:rsidRDefault="009F6D65" w:rsidP="008B3208">
            <w:pPr>
              <w:rPr>
                <w:rFonts w:cstheme="minorHAnsi"/>
              </w:rPr>
            </w:pPr>
            <w:r w:rsidRPr="00A00EF0">
              <w:rPr>
                <w:rFonts w:eastAsia="Arial" w:cstheme="minorHAnsi"/>
                <w:b/>
                <w:bCs/>
                <w:sz w:val="18"/>
                <w:szCs w:val="18"/>
              </w:rPr>
              <w:t>Rusia</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1937B015" w14:textId="77777777" w:rsidR="009F6D65" w:rsidRPr="00A00EF0" w:rsidRDefault="009F6D65" w:rsidP="008B3208">
            <w:pPr>
              <w:jc w:val="center"/>
              <w:rPr>
                <w:rFonts w:cstheme="minorHAnsi"/>
              </w:rPr>
            </w:pPr>
            <w:r w:rsidRPr="00A00EF0">
              <w:rPr>
                <w:rFonts w:eastAsia="Arial" w:cstheme="minorHAnsi"/>
                <w:sz w:val="18"/>
                <w:szCs w:val="18"/>
              </w:rPr>
              <w:t>90.8</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86AE595" w14:textId="2BABD05C" w:rsidR="009F6D65" w:rsidRPr="00A00EF0" w:rsidRDefault="009F6D65" w:rsidP="008B3208">
            <w:pPr>
              <w:jc w:val="center"/>
              <w:rPr>
                <w:rFonts w:cstheme="minorHAnsi"/>
              </w:rPr>
            </w:pPr>
            <w:r w:rsidRPr="00A00EF0">
              <w:rPr>
                <w:rFonts w:eastAsia="Arial" w:cstheme="minorHAnsi"/>
                <w:sz w:val="18"/>
                <w:szCs w:val="18"/>
              </w:rPr>
              <w:t>3</w:t>
            </w:r>
            <w:r w:rsidR="000D0C03" w:rsidRPr="00A00EF0">
              <w:rPr>
                <w:rFonts w:eastAsia="Arial" w:cstheme="minorHAnsi"/>
                <w:sz w:val="18"/>
                <w:szCs w:val="18"/>
              </w:rPr>
              <w:t>.</w:t>
            </w:r>
            <w:r w:rsidRPr="00A00EF0">
              <w:rPr>
                <w:rFonts w:eastAsia="Arial" w:cstheme="minorHAnsi"/>
                <w:sz w:val="18"/>
                <w:szCs w:val="18"/>
              </w:rPr>
              <w:t>7%</w:t>
            </w:r>
          </w:p>
        </w:tc>
      </w:tr>
      <w:tr w:rsidR="009F6D65" w:rsidRPr="00A00EF0" w14:paraId="170D4773"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ACF9087" w14:textId="77777777" w:rsidR="009F6D65" w:rsidRPr="00A00EF0" w:rsidRDefault="009F6D65" w:rsidP="008B3208">
            <w:pPr>
              <w:rPr>
                <w:rFonts w:cstheme="minorHAnsi"/>
              </w:rPr>
            </w:pPr>
            <w:r w:rsidRPr="00A00EF0">
              <w:rPr>
                <w:rFonts w:eastAsia="Arial" w:cstheme="minorHAnsi"/>
                <w:b/>
                <w:bCs/>
                <w:sz w:val="18"/>
                <w:szCs w:val="18"/>
              </w:rPr>
              <w:t>Corea del Sur</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57E84E2D" w14:textId="77777777" w:rsidR="009F6D65" w:rsidRPr="00A00EF0" w:rsidRDefault="009F6D65" w:rsidP="008B3208">
            <w:pPr>
              <w:jc w:val="center"/>
              <w:rPr>
                <w:rFonts w:cstheme="minorHAnsi"/>
              </w:rPr>
            </w:pPr>
            <w:r w:rsidRPr="00A00EF0">
              <w:rPr>
                <w:rFonts w:eastAsia="Arial" w:cstheme="minorHAnsi"/>
                <w:sz w:val="18"/>
                <w:szCs w:val="18"/>
              </w:rPr>
              <w:t>81.6</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60C0AF7" w14:textId="39558F8F" w:rsidR="009F6D65" w:rsidRPr="00A00EF0" w:rsidRDefault="009F6D65" w:rsidP="008B3208">
            <w:pPr>
              <w:jc w:val="center"/>
              <w:rPr>
                <w:rFonts w:cstheme="minorHAnsi"/>
              </w:rPr>
            </w:pPr>
            <w:r w:rsidRPr="00A00EF0">
              <w:rPr>
                <w:rFonts w:eastAsia="Arial" w:cstheme="minorHAnsi"/>
                <w:sz w:val="18"/>
                <w:szCs w:val="18"/>
              </w:rPr>
              <w:t>3</w:t>
            </w:r>
            <w:r w:rsidR="000D0C03" w:rsidRPr="00A00EF0">
              <w:rPr>
                <w:rFonts w:eastAsia="Arial" w:cstheme="minorHAnsi"/>
                <w:sz w:val="18"/>
                <w:szCs w:val="18"/>
              </w:rPr>
              <w:t>.</w:t>
            </w:r>
            <w:r w:rsidRPr="00A00EF0">
              <w:rPr>
                <w:rFonts w:eastAsia="Arial" w:cstheme="minorHAnsi"/>
                <w:sz w:val="18"/>
                <w:szCs w:val="18"/>
              </w:rPr>
              <w:t>3%</w:t>
            </w:r>
          </w:p>
        </w:tc>
      </w:tr>
    </w:tbl>
    <w:p w14:paraId="737AD693" w14:textId="77777777" w:rsidR="009F6D65" w:rsidRPr="007B42D3" w:rsidRDefault="009F6D65" w:rsidP="009F6D65">
      <w:pPr>
        <w:rPr>
          <w:rFonts w:cstheme="minorHAnsi"/>
          <w:lang w:val="en-US"/>
        </w:rPr>
      </w:pPr>
      <w:r w:rsidRPr="007B42D3">
        <w:rPr>
          <w:rFonts w:cstheme="minorHAnsi"/>
          <w:b/>
          <w:bCs/>
          <w:i/>
          <w:iCs/>
          <w:lang w:val="en-US"/>
        </w:rPr>
        <w:t xml:space="preserve">Fuente: OECD Steel Outlook 2025 – </w:t>
      </w:r>
      <w:proofErr w:type="spellStart"/>
      <w:r w:rsidRPr="007B42D3">
        <w:rPr>
          <w:rFonts w:cstheme="minorHAnsi"/>
          <w:b/>
          <w:bCs/>
          <w:i/>
          <w:iCs/>
          <w:lang w:val="en-US"/>
        </w:rPr>
        <w:t>Tabla</w:t>
      </w:r>
      <w:proofErr w:type="spellEnd"/>
      <w:r w:rsidRPr="007B42D3">
        <w:rPr>
          <w:rFonts w:cstheme="minorHAnsi"/>
          <w:b/>
          <w:bCs/>
          <w:i/>
          <w:iCs/>
          <w:lang w:val="en-US"/>
        </w:rPr>
        <w:t xml:space="preserve"> 2.1</w:t>
      </w:r>
    </w:p>
    <w:p w14:paraId="4A86B066" w14:textId="77777777" w:rsidR="009F6D65" w:rsidRPr="00A00EF0" w:rsidRDefault="009F6D65" w:rsidP="009F6D65">
      <w:pPr>
        <w:rPr>
          <w:rFonts w:cstheme="minorHAnsi"/>
        </w:rPr>
      </w:pPr>
      <w:r w:rsidRPr="00A00EF0">
        <w:rPr>
          <w:rFonts w:cstheme="minorHAnsi"/>
        </w:rPr>
        <w:t>Este nivel de concentración no tiene precedentes en la historia reciente de la industria siderúrgica. Para dimensionar esta magnitud, la capacidad productiva china supera ampliamente a la de cualquier otra economía individual y equivale aproximadamente a casi el doble de la capacidad combinada de Estados Unidos y la Unión Europea.</w:t>
      </w:r>
    </w:p>
    <w:p w14:paraId="2C2A2195" w14:textId="77777777" w:rsidR="009F6D65" w:rsidRPr="00A00EF0" w:rsidRDefault="009F6D65" w:rsidP="009F6D65">
      <w:pPr>
        <w:rPr>
          <w:rFonts w:cstheme="minorHAnsi"/>
        </w:rPr>
      </w:pPr>
      <w:r w:rsidRPr="00A00EF0">
        <w:rPr>
          <w:rFonts w:cstheme="minorHAnsi"/>
        </w:rPr>
        <w:t>Esta estructura altamente concentrada implica que las decisiones de producción y exportación de China tienen un impacto directo sobre el equilibrio del mercado mundial. En particular, los cambios en la demanda doméstica china o en las políticas industriales del país pueden generar alteraciones significativas en los precios internacionales y en los flujos comerciales de acero.</w:t>
      </w:r>
    </w:p>
    <w:p w14:paraId="67571383" w14:textId="0CB6531A" w:rsidR="009F6D65" w:rsidRPr="00A00EF0" w:rsidRDefault="009F6D65" w:rsidP="006B2EC9">
      <w:pPr>
        <w:pStyle w:val="Heading2"/>
        <w:rPr>
          <w:rFonts w:asciiTheme="minorHAnsi" w:hAnsiTheme="minorHAnsi" w:cstheme="minorHAnsi"/>
        </w:rPr>
      </w:pPr>
      <w:bookmarkStart w:id="3" w:name="_Toc224657485"/>
      <w:r w:rsidRPr="00A00EF0">
        <w:rPr>
          <w:rFonts w:asciiTheme="minorHAnsi" w:hAnsiTheme="minorHAnsi" w:cstheme="minorHAnsi"/>
        </w:rPr>
        <w:lastRenderedPageBreak/>
        <w:t>Exceso de capacidad estructural y presión sobre los mercados internacionales</w:t>
      </w:r>
      <w:bookmarkEnd w:id="3"/>
    </w:p>
    <w:p w14:paraId="1294863F" w14:textId="77777777" w:rsidR="009F6D65" w:rsidRPr="00A00EF0" w:rsidRDefault="009F6D65" w:rsidP="009F6D65">
      <w:pPr>
        <w:rPr>
          <w:rFonts w:cstheme="minorHAnsi"/>
        </w:rPr>
      </w:pPr>
      <w:r w:rsidRPr="00A00EF0">
        <w:rPr>
          <w:rFonts w:cstheme="minorHAnsi"/>
        </w:rPr>
        <w:t>Uno de los principales desafíos estructurales del mercado mundial del acero es la persistencia de niveles elevados de exceso de capacidad, fenómeno que ha sido ampliamente documentado por organismos internacionales.</w:t>
      </w:r>
    </w:p>
    <w:p w14:paraId="66EEE9D0" w14:textId="77777777" w:rsidR="009F6D65" w:rsidRPr="00A00EF0" w:rsidRDefault="009F6D65" w:rsidP="009F6D65">
      <w:pPr>
        <w:rPr>
          <w:rFonts w:cstheme="minorHAnsi"/>
        </w:rPr>
      </w:pPr>
      <w:r w:rsidRPr="00A00EF0">
        <w:rPr>
          <w:rFonts w:cstheme="minorHAnsi"/>
        </w:rPr>
        <w:t>El crecimiento acelerado de la industria siderúrgica china durante las últimas dos décadas estuvo impulsado por un modelo de desarrollo económico basado en la inversión en infraestructura, construcción y manufactura pesada. Este modelo generó una expansión masiva de la capacidad productiva, que en muchos casos superó el crecimiento de la demanda doméstica.</w:t>
      </w:r>
    </w:p>
    <w:p w14:paraId="768CC2FA" w14:textId="77777777" w:rsidR="009F6D65" w:rsidRPr="00A00EF0" w:rsidRDefault="009F6D65" w:rsidP="009F6D65">
      <w:pPr>
        <w:rPr>
          <w:rFonts w:cstheme="minorHAnsi"/>
        </w:rPr>
      </w:pPr>
      <w:r w:rsidRPr="00A00EF0">
        <w:rPr>
          <w:rFonts w:cstheme="minorHAnsi"/>
        </w:rPr>
        <w:t>A medida que la economía china ha transitado hacia un patrón de crecimiento menos intensivo en inversión, la demanda interna de acero ha comenzado a desacelerarse. Sin embargo, la capacidad productiva instalada no se ha ajustado en la misma magnitud.</w:t>
      </w:r>
    </w:p>
    <w:p w14:paraId="1120D8AD" w14:textId="77777777" w:rsidR="009F6D65" w:rsidRPr="00A00EF0" w:rsidRDefault="009F6D65" w:rsidP="009F6D65">
      <w:pPr>
        <w:rPr>
          <w:rFonts w:cstheme="minorHAnsi"/>
        </w:rPr>
      </w:pPr>
      <w:r w:rsidRPr="00A00EF0">
        <w:rPr>
          <w:rFonts w:cstheme="minorHAnsi"/>
        </w:rPr>
        <w:t>Como resultado, el mercado internacional se ha convertido en el principal mecanismo de absorción del excedente productivo chino.</w:t>
      </w:r>
    </w:p>
    <w:p w14:paraId="34250F09" w14:textId="77777777" w:rsidR="009F6D65" w:rsidRPr="00A00EF0" w:rsidRDefault="009F6D65" w:rsidP="009F6D65">
      <w:pPr>
        <w:rPr>
          <w:rFonts w:cstheme="minorHAnsi"/>
          <w:b/>
          <w:bCs/>
          <w:i/>
          <w:iCs/>
        </w:rPr>
      </w:pPr>
      <w:r w:rsidRPr="00A00EF0">
        <w:rPr>
          <w:rFonts w:cstheme="minorHAnsi"/>
          <w:noProof/>
        </w:rPr>
        <w:drawing>
          <wp:inline distT="0" distB="0" distL="0" distR="0" wp14:anchorId="2979692A" wp14:editId="2220596B">
            <wp:extent cx="5486400" cy="3200400"/>
            <wp:effectExtent l="0" t="0" r="0" b="0"/>
            <wp:docPr id="204712822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BE89DD" w14:textId="77777777" w:rsidR="009F6D65" w:rsidRPr="00A00EF0" w:rsidRDefault="009F6D65" w:rsidP="009F6D65">
      <w:pPr>
        <w:rPr>
          <w:rFonts w:cstheme="minorHAnsi"/>
          <w:i/>
          <w:iCs/>
          <w:sz w:val="20"/>
          <w:szCs w:val="20"/>
        </w:rPr>
      </w:pPr>
      <w:r w:rsidRPr="00A00EF0">
        <w:rPr>
          <w:rFonts w:cstheme="minorHAnsi"/>
          <w:i/>
          <w:iCs/>
          <w:sz w:val="20"/>
          <w:szCs w:val="20"/>
        </w:rPr>
        <w:t>Fuente: Estimado con datos de producción y capacidad de Perspectivas del Acero de la OECD 2025</w:t>
      </w:r>
    </w:p>
    <w:p w14:paraId="2D59B414" w14:textId="77777777" w:rsidR="009F6D65" w:rsidRPr="00A00EF0" w:rsidRDefault="009F6D65" w:rsidP="009F6D65">
      <w:pPr>
        <w:rPr>
          <w:rFonts w:cstheme="minorHAnsi"/>
        </w:rPr>
      </w:pPr>
      <w:r w:rsidRPr="00A00EF0">
        <w:rPr>
          <w:rFonts w:cstheme="minorHAnsi"/>
        </w:rPr>
        <w:t>Esta situación genera un desequilibrio estructural en el mercado mundial, donde una parte significativa de la producción global depende de las exportaciones para mantener niveles de utilización de capacidad económicamente viables.</w:t>
      </w:r>
    </w:p>
    <w:p w14:paraId="655E3DB4" w14:textId="77777777" w:rsidR="009F6D65" w:rsidRPr="00A00EF0" w:rsidRDefault="009F6D65" w:rsidP="009F6D65">
      <w:pPr>
        <w:rPr>
          <w:rFonts w:cstheme="minorHAnsi"/>
        </w:rPr>
      </w:pPr>
      <w:r w:rsidRPr="00A00EF0">
        <w:rPr>
          <w:rFonts w:cstheme="minorHAnsi"/>
        </w:rPr>
        <w:lastRenderedPageBreak/>
        <w:t>Para los mercados importadores, este exceso de oferta se traduce en una presión sostenida a la baja sobre los precios internacionales, particularmente en segmentos de productos básicos como el acero largo utilizado en la construcción.</w:t>
      </w:r>
    </w:p>
    <w:p w14:paraId="6B720572" w14:textId="1ECEC798" w:rsidR="009F6D65" w:rsidRPr="00A00EF0" w:rsidRDefault="009F6D65" w:rsidP="006B2EC9">
      <w:pPr>
        <w:pStyle w:val="Heading2"/>
        <w:rPr>
          <w:rFonts w:asciiTheme="minorHAnsi" w:hAnsiTheme="minorHAnsi" w:cstheme="minorHAnsi"/>
        </w:rPr>
      </w:pPr>
      <w:bookmarkStart w:id="4" w:name="_Toc224657486"/>
      <w:r w:rsidRPr="00A00EF0">
        <w:rPr>
          <w:rFonts w:asciiTheme="minorHAnsi" w:hAnsiTheme="minorHAnsi" w:cstheme="minorHAnsi"/>
        </w:rPr>
        <w:t>Dinámica reciente de las exportaciones chinas de acero</w:t>
      </w:r>
      <w:bookmarkEnd w:id="4"/>
    </w:p>
    <w:p w14:paraId="1047C534" w14:textId="77777777" w:rsidR="009F6D65" w:rsidRPr="00A00EF0" w:rsidRDefault="009F6D65" w:rsidP="009F6D65">
      <w:pPr>
        <w:rPr>
          <w:rFonts w:cstheme="minorHAnsi"/>
        </w:rPr>
      </w:pPr>
      <w:r w:rsidRPr="00A00EF0">
        <w:rPr>
          <w:rFonts w:cstheme="minorHAnsi"/>
        </w:rPr>
        <w:t>La evolución reciente del comercio internacional confirma la creciente dependencia de la industria siderúrgica china de los mercados externos.</w:t>
      </w:r>
    </w:p>
    <w:p w14:paraId="2C6506D3" w14:textId="77777777" w:rsidR="009F6D65" w:rsidRPr="00A00EF0" w:rsidRDefault="009F6D65" w:rsidP="009F6D65">
      <w:pPr>
        <w:rPr>
          <w:rFonts w:cstheme="minorHAnsi"/>
        </w:rPr>
      </w:pPr>
      <w:r w:rsidRPr="00A00EF0">
        <w:rPr>
          <w:rFonts w:cstheme="minorHAnsi"/>
        </w:rPr>
        <w:t>Las exportaciones chinas de acero han experimentado un crecimiento extraordinario en los últimos años. Entre 2020 y 2024, los envíos al exterior pasaron de 53.8 mmt a 118.2 mmt, lo que representa más del doble en apenas cuatro años.</w:t>
      </w:r>
    </w:p>
    <w:p w14:paraId="32BC4E7D" w14:textId="54B5CF8C" w:rsidR="00F95A88" w:rsidRPr="00A00EF0" w:rsidRDefault="00F95A88" w:rsidP="009F6D65">
      <w:pPr>
        <w:rPr>
          <w:rFonts w:cstheme="minorHAnsi"/>
          <w:b/>
          <w:bCs/>
          <w:sz w:val="22"/>
          <w:szCs w:val="22"/>
        </w:rPr>
      </w:pPr>
      <w:r w:rsidRPr="00A00EF0">
        <w:rPr>
          <w:rFonts w:cstheme="minorHAnsi"/>
          <w:b/>
          <w:bCs/>
          <w:sz w:val="22"/>
          <w:szCs w:val="22"/>
        </w:rPr>
        <w:t xml:space="preserve">Tabla </w:t>
      </w:r>
      <w:r w:rsidR="008F4F7E">
        <w:rPr>
          <w:rFonts w:cstheme="minorHAnsi"/>
          <w:b/>
          <w:bCs/>
          <w:sz w:val="22"/>
          <w:szCs w:val="22"/>
        </w:rPr>
        <w:t>1</w:t>
      </w:r>
      <w:r w:rsidRPr="00A00EF0">
        <w:rPr>
          <w:rFonts w:cstheme="minorHAnsi"/>
          <w:b/>
          <w:bCs/>
          <w:sz w:val="22"/>
          <w:szCs w:val="22"/>
        </w:rPr>
        <w:t>. Panorama de exportaciones de Acero</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2"/>
        <w:gridCol w:w="2052"/>
        <w:gridCol w:w="2052"/>
        <w:gridCol w:w="2052"/>
        <w:gridCol w:w="2052"/>
      </w:tblGrid>
      <w:tr w:rsidR="00E05DD5" w:rsidRPr="00A00EF0" w14:paraId="40942B6F" w14:textId="654C72B2" w:rsidTr="001B14CC">
        <w:trPr>
          <w:trHeight w:val="756"/>
        </w:trPr>
        <w:tc>
          <w:tcPr>
            <w:tcW w:w="2052"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3AC3A990" w14:textId="77777777" w:rsidR="00E05DD5" w:rsidRPr="00A00EF0" w:rsidRDefault="00E05DD5" w:rsidP="008B3208">
            <w:pPr>
              <w:jc w:val="center"/>
              <w:rPr>
                <w:rFonts w:cstheme="minorHAnsi"/>
              </w:rPr>
            </w:pPr>
            <w:r w:rsidRPr="00A00EF0">
              <w:rPr>
                <w:rFonts w:eastAsia="Arial" w:cstheme="minorHAnsi"/>
                <w:b/>
                <w:bCs/>
                <w:color w:val="FFFFFF"/>
                <w:sz w:val="18"/>
                <w:szCs w:val="18"/>
              </w:rPr>
              <w:t>Año</w:t>
            </w:r>
          </w:p>
        </w:tc>
        <w:tc>
          <w:tcPr>
            <w:tcW w:w="2052"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7F4CDC24" w14:textId="77777777" w:rsidR="00E05DD5" w:rsidRPr="00A00EF0" w:rsidRDefault="00E05DD5" w:rsidP="008B3208">
            <w:pPr>
              <w:jc w:val="center"/>
              <w:rPr>
                <w:rFonts w:cstheme="minorHAnsi"/>
              </w:rPr>
            </w:pPr>
            <w:r w:rsidRPr="00A00EF0">
              <w:rPr>
                <w:rFonts w:eastAsia="Arial" w:cstheme="minorHAnsi"/>
                <w:b/>
                <w:bCs/>
                <w:color w:val="FFFFFF"/>
                <w:sz w:val="18"/>
                <w:szCs w:val="18"/>
              </w:rPr>
              <w:t>Exportaciones China (mmt)</w:t>
            </w:r>
          </w:p>
        </w:tc>
        <w:tc>
          <w:tcPr>
            <w:tcW w:w="2052"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42A64152" w14:textId="77777777" w:rsidR="00E05DD5" w:rsidRPr="00A00EF0" w:rsidRDefault="00E05DD5" w:rsidP="008B3208">
            <w:pPr>
              <w:jc w:val="center"/>
              <w:rPr>
                <w:rFonts w:cstheme="minorHAnsi"/>
              </w:rPr>
            </w:pPr>
            <w:r w:rsidRPr="00A00EF0">
              <w:rPr>
                <w:rFonts w:eastAsia="Arial" w:cstheme="minorHAnsi"/>
                <w:b/>
                <w:bCs/>
                <w:color w:val="FFFFFF"/>
                <w:sz w:val="18"/>
                <w:szCs w:val="18"/>
              </w:rPr>
              <w:t>Var. anual</w:t>
            </w:r>
          </w:p>
        </w:tc>
        <w:tc>
          <w:tcPr>
            <w:tcW w:w="2052"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7F24C485" w14:textId="77777777" w:rsidR="00E05DD5" w:rsidRPr="00A00EF0" w:rsidRDefault="00E05DD5" w:rsidP="008B3208">
            <w:pPr>
              <w:jc w:val="center"/>
              <w:rPr>
                <w:rFonts w:cstheme="minorHAnsi"/>
              </w:rPr>
            </w:pPr>
            <w:r w:rsidRPr="00A00EF0">
              <w:rPr>
                <w:rFonts w:eastAsia="Arial" w:cstheme="minorHAnsi"/>
                <w:b/>
                <w:bCs/>
                <w:color w:val="FFFFFF"/>
                <w:sz w:val="18"/>
                <w:szCs w:val="18"/>
              </w:rPr>
              <w:t>Exportaciones Mundiales (excl. intra-UE, mmt)</w:t>
            </w:r>
          </w:p>
        </w:tc>
        <w:tc>
          <w:tcPr>
            <w:tcW w:w="2052" w:type="dxa"/>
            <w:tcBorders>
              <w:top w:val="single" w:sz="4" w:space="0" w:color="FFFFFF"/>
              <w:left w:val="single" w:sz="4" w:space="0" w:color="FFFFFF"/>
              <w:bottom w:val="single" w:sz="4" w:space="0" w:color="FFFFFF"/>
              <w:right w:val="single" w:sz="4" w:space="0" w:color="FFFFFF"/>
            </w:tcBorders>
            <w:shd w:val="clear" w:color="auto" w:fill="1F3864"/>
          </w:tcPr>
          <w:p w14:paraId="40D8FA3E" w14:textId="17E07164" w:rsidR="00E05DD5" w:rsidRPr="00A00EF0" w:rsidRDefault="00E05DD5" w:rsidP="008B3208">
            <w:pPr>
              <w:jc w:val="center"/>
              <w:rPr>
                <w:rFonts w:eastAsia="Arial" w:cstheme="minorHAnsi"/>
                <w:b/>
                <w:bCs/>
                <w:color w:val="FFFFFF"/>
                <w:sz w:val="18"/>
                <w:szCs w:val="18"/>
              </w:rPr>
            </w:pPr>
            <w:r>
              <w:rPr>
                <w:rFonts w:eastAsia="Arial" w:cstheme="minorHAnsi"/>
                <w:b/>
                <w:bCs/>
                <w:color w:val="FFFFFF"/>
                <w:sz w:val="18"/>
                <w:szCs w:val="18"/>
              </w:rPr>
              <w:t>MS% China</w:t>
            </w:r>
          </w:p>
        </w:tc>
      </w:tr>
      <w:tr w:rsidR="00E05DD5" w:rsidRPr="00A00EF0" w14:paraId="600A5EBD" w14:textId="5F0505B9" w:rsidTr="001B14CC">
        <w:trPr>
          <w:trHeight w:val="414"/>
        </w:trPr>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F532AC0" w14:textId="77777777" w:rsidR="00E05DD5" w:rsidRPr="00A00EF0" w:rsidRDefault="00E05DD5" w:rsidP="008B3208">
            <w:pPr>
              <w:rPr>
                <w:rFonts w:cstheme="minorHAnsi"/>
              </w:rPr>
            </w:pPr>
            <w:r w:rsidRPr="00A00EF0">
              <w:rPr>
                <w:rFonts w:eastAsia="Arial" w:cstheme="minorHAnsi"/>
                <w:b/>
                <w:bCs/>
                <w:sz w:val="18"/>
                <w:szCs w:val="18"/>
              </w:rPr>
              <w:t>2020</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49BD109" w14:textId="6AC08E89" w:rsidR="00E05DD5" w:rsidRPr="00A00EF0" w:rsidRDefault="00E05DD5" w:rsidP="008B3208">
            <w:pPr>
              <w:jc w:val="center"/>
              <w:rPr>
                <w:rFonts w:cstheme="minorHAnsi"/>
              </w:rPr>
            </w:pPr>
            <w:r w:rsidRPr="00A00EF0">
              <w:rPr>
                <w:rFonts w:eastAsia="Arial" w:cstheme="minorHAnsi"/>
                <w:sz w:val="18"/>
                <w:szCs w:val="18"/>
              </w:rPr>
              <w:t>53.8</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68AEEC1B" w14:textId="77777777" w:rsidR="00E05DD5" w:rsidRPr="00A00EF0" w:rsidRDefault="00E05DD5" w:rsidP="008B3208">
            <w:pPr>
              <w:jc w:val="center"/>
              <w:rPr>
                <w:rFonts w:cstheme="minorHAnsi"/>
              </w:rPr>
            </w:pPr>
            <w:r w:rsidRPr="00A00EF0">
              <w:rPr>
                <w:rFonts w:eastAsia="Arial" w:cstheme="minorHAnsi"/>
                <w:sz w:val="18"/>
                <w:szCs w:val="18"/>
              </w:rPr>
              <w:t>—</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9A4BD99" w14:textId="30412D9D" w:rsidR="00E05DD5" w:rsidRPr="00A00EF0" w:rsidRDefault="00E05DD5" w:rsidP="008B3208">
            <w:pPr>
              <w:jc w:val="center"/>
              <w:rPr>
                <w:rFonts w:cstheme="minorHAnsi"/>
              </w:rPr>
            </w:pPr>
            <w:r w:rsidRPr="00A00EF0">
              <w:rPr>
                <w:rFonts w:eastAsia="Arial" w:cstheme="minorHAnsi"/>
                <w:sz w:val="18"/>
                <w:szCs w:val="18"/>
              </w:rPr>
              <w:t>296.6</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Pr>
          <w:p w14:paraId="5EB964F2" w14:textId="60362C92" w:rsidR="00E05DD5" w:rsidRPr="00A00EF0" w:rsidRDefault="001B14CC" w:rsidP="008B3208">
            <w:pPr>
              <w:jc w:val="center"/>
              <w:rPr>
                <w:rFonts w:eastAsia="Arial" w:cstheme="minorHAnsi"/>
                <w:sz w:val="18"/>
                <w:szCs w:val="18"/>
              </w:rPr>
            </w:pPr>
            <w:r>
              <w:rPr>
                <w:rFonts w:eastAsia="Arial" w:cstheme="minorHAnsi"/>
                <w:sz w:val="18"/>
                <w:szCs w:val="18"/>
              </w:rPr>
              <w:t>18%</w:t>
            </w:r>
          </w:p>
        </w:tc>
      </w:tr>
      <w:tr w:rsidR="00E05DD5" w:rsidRPr="00A00EF0" w14:paraId="08B7AB13" w14:textId="0962707C" w:rsidTr="001B14CC">
        <w:trPr>
          <w:trHeight w:val="427"/>
        </w:trPr>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8E14F6E" w14:textId="77777777" w:rsidR="00E05DD5" w:rsidRPr="00A00EF0" w:rsidRDefault="00E05DD5" w:rsidP="008B3208">
            <w:pPr>
              <w:rPr>
                <w:rFonts w:cstheme="minorHAnsi"/>
              </w:rPr>
            </w:pPr>
            <w:r w:rsidRPr="00A00EF0">
              <w:rPr>
                <w:rFonts w:eastAsia="Arial" w:cstheme="minorHAnsi"/>
                <w:b/>
                <w:bCs/>
                <w:sz w:val="18"/>
                <w:szCs w:val="18"/>
              </w:rPr>
              <w:t>2021</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46B0EF79" w14:textId="5AAC5F6F" w:rsidR="00E05DD5" w:rsidRPr="00A00EF0" w:rsidRDefault="00E05DD5" w:rsidP="008B3208">
            <w:pPr>
              <w:jc w:val="center"/>
              <w:rPr>
                <w:rFonts w:cstheme="minorHAnsi"/>
              </w:rPr>
            </w:pPr>
            <w:r w:rsidRPr="00A00EF0">
              <w:rPr>
                <w:rFonts w:eastAsia="Arial" w:cstheme="minorHAnsi"/>
                <w:sz w:val="18"/>
                <w:szCs w:val="18"/>
              </w:rPr>
              <w:t>67.0</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CDFDDDC" w14:textId="4A268DD7" w:rsidR="00E05DD5" w:rsidRPr="00A00EF0" w:rsidRDefault="00E05DD5" w:rsidP="008B3208">
            <w:pPr>
              <w:jc w:val="center"/>
              <w:rPr>
                <w:rFonts w:cstheme="minorHAnsi"/>
              </w:rPr>
            </w:pPr>
            <w:r w:rsidRPr="00A00EF0">
              <w:rPr>
                <w:rFonts w:eastAsia="Arial" w:cstheme="minorHAnsi"/>
                <w:sz w:val="18"/>
                <w:szCs w:val="18"/>
              </w:rPr>
              <w:t>+24.5%</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34EFFCA" w14:textId="716C7F28" w:rsidR="00E05DD5" w:rsidRPr="00A00EF0" w:rsidRDefault="00E05DD5" w:rsidP="008B3208">
            <w:pPr>
              <w:jc w:val="center"/>
              <w:rPr>
                <w:rFonts w:cstheme="minorHAnsi"/>
              </w:rPr>
            </w:pPr>
            <w:r w:rsidRPr="00A00EF0">
              <w:rPr>
                <w:rFonts w:eastAsia="Arial" w:cstheme="minorHAnsi"/>
                <w:sz w:val="18"/>
                <w:szCs w:val="18"/>
              </w:rPr>
              <w:t>333.3</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Pr>
          <w:p w14:paraId="2081ECFC" w14:textId="1E25F03E" w:rsidR="00E05DD5" w:rsidRPr="00A00EF0" w:rsidRDefault="001B14CC" w:rsidP="008B3208">
            <w:pPr>
              <w:jc w:val="center"/>
              <w:rPr>
                <w:rFonts w:eastAsia="Arial" w:cstheme="minorHAnsi"/>
                <w:sz w:val="18"/>
                <w:szCs w:val="18"/>
              </w:rPr>
            </w:pPr>
            <w:r>
              <w:rPr>
                <w:rFonts w:eastAsia="Arial" w:cstheme="minorHAnsi"/>
                <w:sz w:val="18"/>
                <w:szCs w:val="18"/>
              </w:rPr>
              <w:t>20%</w:t>
            </w:r>
          </w:p>
        </w:tc>
      </w:tr>
      <w:tr w:rsidR="00E05DD5" w:rsidRPr="00A00EF0" w14:paraId="1E86DDE5" w14:textId="336D5245" w:rsidTr="001B14CC">
        <w:trPr>
          <w:trHeight w:val="414"/>
        </w:trPr>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92A9E59" w14:textId="77777777" w:rsidR="00E05DD5" w:rsidRPr="00A00EF0" w:rsidRDefault="00E05DD5" w:rsidP="008B3208">
            <w:pPr>
              <w:rPr>
                <w:rFonts w:cstheme="minorHAnsi"/>
              </w:rPr>
            </w:pPr>
            <w:r w:rsidRPr="00A00EF0">
              <w:rPr>
                <w:rFonts w:eastAsia="Arial" w:cstheme="minorHAnsi"/>
                <w:b/>
                <w:bCs/>
                <w:sz w:val="18"/>
                <w:szCs w:val="18"/>
              </w:rPr>
              <w:t>2022</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43096768" w14:textId="28D60980" w:rsidR="00E05DD5" w:rsidRPr="00A00EF0" w:rsidRDefault="00E05DD5" w:rsidP="008B3208">
            <w:pPr>
              <w:jc w:val="center"/>
              <w:rPr>
                <w:rFonts w:cstheme="minorHAnsi"/>
              </w:rPr>
            </w:pPr>
            <w:r w:rsidRPr="00A00EF0">
              <w:rPr>
                <w:rFonts w:eastAsia="Arial" w:cstheme="minorHAnsi"/>
                <w:sz w:val="18"/>
                <w:szCs w:val="18"/>
              </w:rPr>
              <w:t>69.0</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5AD0DC5F" w14:textId="0DD8678E" w:rsidR="00E05DD5" w:rsidRPr="00A00EF0" w:rsidRDefault="00E05DD5" w:rsidP="008B3208">
            <w:pPr>
              <w:jc w:val="center"/>
              <w:rPr>
                <w:rFonts w:cstheme="minorHAnsi"/>
              </w:rPr>
            </w:pPr>
            <w:r w:rsidRPr="00A00EF0">
              <w:rPr>
                <w:rFonts w:eastAsia="Arial" w:cstheme="minorHAnsi"/>
                <w:sz w:val="18"/>
                <w:szCs w:val="18"/>
              </w:rPr>
              <w:t>+3.0%</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9A3086C" w14:textId="2B1DA1F9" w:rsidR="00E05DD5" w:rsidRPr="00A00EF0" w:rsidRDefault="00E05DD5" w:rsidP="008B3208">
            <w:pPr>
              <w:jc w:val="center"/>
              <w:rPr>
                <w:rFonts w:cstheme="minorHAnsi"/>
              </w:rPr>
            </w:pPr>
            <w:r w:rsidRPr="00A00EF0">
              <w:rPr>
                <w:rFonts w:eastAsia="Arial" w:cstheme="minorHAnsi"/>
                <w:sz w:val="18"/>
                <w:szCs w:val="18"/>
              </w:rPr>
              <w:t>280.4</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Pr>
          <w:p w14:paraId="03F9E8ED" w14:textId="284517F2" w:rsidR="00E05DD5" w:rsidRPr="00A00EF0" w:rsidRDefault="001B14CC" w:rsidP="008B3208">
            <w:pPr>
              <w:jc w:val="center"/>
              <w:rPr>
                <w:rFonts w:eastAsia="Arial" w:cstheme="minorHAnsi"/>
                <w:sz w:val="18"/>
                <w:szCs w:val="18"/>
              </w:rPr>
            </w:pPr>
            <w:r>
              <w:rPr>
                <w:rFonts w:eastAsia="Arial" w:cstheme="minorHAnsi"/>
                <w:sz w:val="18"/>
                <w:szCs w:val="18"/>
              </w:rPr>
              <w:t>25%</w:t>
            </w:r>
          </w:p>
        </w:tc>
      </w:tr>
      <w:tr w:rsidR="00E05DD5" w:rsidRPr="00A00EF0" w14:paraId="00FA2F8D" w14:textId="256986FE" w:rsidTr="001B14CC">
        <w:trPr>
          <w:trHeight w:val="414"/>
        </w:trPr>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6FB58AF" w14:textId="77777777" w:rsidR="00E05DD5" w:rsidRPr="00A00EF0" w:rsidRDefault="00E05DD5" w:rsidP="008B3208">
            <w:pPr>
              <w:rPr>
                <w:rFonts w:cstheme="minorHAnsi"/>
              </w:rPr>
            </w:pPr>
            <w:r w:rsidRPr="00A00EF0">
              <w:rPr>
                <w:rFonts w:eastAsia="Arial" w:cstheme="minorHAnsi"/>
                <w:b/>
                <w:bCs/>
                <w:sz w:val="18"/>
                <w:szCs w:val="18"/>
              </w:rPr>
              <w:t>2023</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6385F7C8" w14:textId="0242D86B" w:rsidR="00E05DD5" w:rsidRPr="00A00EF0" w:rsidRDefault="00E05DD5" w:rsidP="008B3208">
            <w:pPr>
              <w:jc w:val="center"/>
              <w:rPr>
                <w:rFonts w:cstheme="minorHAnsi"/>
              </w:rPr>
            </w:pPr>
            <w:r w:rsidRPr="00A00EF0">
              <w:rPr>
                <w:rFonts w:eastAsia="Arial" w:cstheme="minorHAnsi"/>
                <w:sz w:val="18"/>
                <w:szCs w:val="18"/>
              </w:rPr>
              <w:t>95.2</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257F9511" w14:textId="7BB49B77" w:rsidR="00E05DD5" w:rsidRPr="00A00EF0" w:rsidRDefault="00E05DD5" w:rsidP="008B3208">
            <w:pPr>
              <w:jc w:val="center"/>
              <w:rPr>
                <w:rFonts w:cstheme="minorHAnsi"/>
              </w:rPr>
            </w:pPr>
            <w:r w:rsidRPr="00A00EF0">
              <w:rPr>
                <w:rFonts w:eastAsia="Arial" w:cstheme="minorHAnsi"/>
                <w:sz w:val="18"/>
                <w:szCs w:val="18"/>
              </w:rPr>
              <w:t>+37.9%</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2A8665C0" w14:textId="47EFFD4E" w:rsidR="00E05DD5" w:rsidRPr="00A00EF0" w:rsidRDefault="00E05DD5" w:rsidP="008B3208">
            <w:pPr>
              <w:jc w:val="center"/>
              <w:rPr>
                <w:rFonts w:cstheme="minorHAnsi"/>
              </w:rPr>
            </w:pPr>
            <w:r w:rsidRPr="00A00EF0">
              <w:rPr>
                <w:rFonts w:eastAsia="Arial" w:cstheme="minorHAnsi"/>
                <w:sz w:val="18"/>
                <w:szCs w:val="18"/>
              </w:rPr>
              <w:t>294.1</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Pr>
          <w:p w14:paraId="5C6C8F45" w14:textId="077748EE" w:rsidR="00E05DD5" w:rsidRPr="00A00EF0" w:rsidRDefault="001B14CC" w:rsidP="008B3208">
            <w:pPr>
              <w:jc w:val="center"/>
              <w:rPr>
                <w:rFonts w:eastAsia="Arial" w:cstheme="minorHAnsi"/>
                <w:sz w:val="18"/>
                <w:szCs w:val="18"/>
              </w:rPr>
            </w:pPr>
            <w:r>
              <w:rPr>
                <w:rFonts w:eastAsia="Arial" w:cstheme="minorHAnsi"/>
                <w:sz w:val="18"/>
                <w:szCs w:val="18"/>
              </w:rPr>
              <w:t>32%</w:t>
            </w:r>
          </w:p>
        </w:tc>
      </w:tr>
      <w:tr w:rsidR="00E05DD5" w:rsidRPr="00A00EF0" w14:paraId="1CF8B13D" w14:textId="4BC13178" w:rsidTr="001B14CC">
        <w:trPr>
          <w:trHeight w:val="414"/>
        </w:trPr>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8FEDB90" w14:textId="77777777" w:rsidR="00E05DD5" w:rsidRPr="00A00EF0" w:rsidRDefault="00E05DD5" w:rsidP="008B3208">
            <w:pPr>
              <w:rPr>
                <w:rFonts w:cstheme="minorHAnsi"/>
              </w:rPr>
            </w:pPr>
            <w:r w:rsidRPr="00A00EF0">
              <w:rPr>
                <w:rFonts w:eastAsia="Arial" w:cstheme="minorHAnsi"/>
                <w:b/>
                <w:bCs/>
                <w:sz w:val="18"/>
                <w:szCs w:val="18"/>
              </w:rPr>
              <w:t>2024</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439E4A8" w14:textId="02D8AFD1" w:rsidR="00E05DD5" w:rsidRPr="00A00EF0" w:rsidRDefault="00E05DD5" w:rsidP="008B3208">
            <w:pPr>
              <w:jc w:val="center"/>
              <w:rPr>
                <w:rFonts w:cstheme="minorHAnsi"/>
              </w:rPr>
            </w:pPr>
            <w:r w:rsidRPr="00A00EF0">
              <w:rPr>
                <w:rFonts w:eastAsia="Arial" w:cstheme="minorHAnsi"/>
                <w:sz w:val="18"/>
                <w:szCs w:val="18"/>
              </w:rPr>
              <w:t>118.2</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3C05A8A2" w14:textId="269B7785" w:rsidR="00E05DD5" w:rsidRPr="00A00EF0" w:rsidRDefault="00E05DD5" w:rsidP="008B3208">
            <w:pPr>
              <w:jc w:val="center"/>
              <w:rPr>
                <w:rFonts w:cstheme="minorHAnsi"/>
              </w:rPr>
            </w:pPr>
            <w:r w:rsidRPr="00A00EF0">
              <w:rPr>
                <w:rFonts w:eastAsia="Arial" w:cstheme="minorHAnsi"/>
                <w:sz w:val="18"/>
                <w:szCs w:val="18"/>
              </w:rPr>
              <w:t>+24.2%</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40231566" w14:textId="06AA14C1" w:rsidR="00E05DD5" w:rsidRPr="00A00EF0" w:rsidRDefault="00E05DD5" w:rsidP="008B3208">
            <w:pPr>
              <w:jc w:val="center"/>
              <w:rPr>
                <w:rFonts w:cstheme="minorHAnsi"/>
              </w:rPr>
            </w:pPr>
            <w:r w:rsidRPr="00A00EF0">
              <w:rPr>
                <w:rFonts w:eastAsia="Arial" w:cstheme="minorHAnsi"/>
                <w:sz w:val="18"/>
                <w:szCs w:val="18"/>
              </w:rPr>
              <w:t>322.3</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Pr>
          <w:p w14:paraId="4D93958B" w14:textId="5876DE39" w:rsidR="00E05DD5" w:rsidRPr="00A00EF0" w:rsidRDefault="001B14CC" w:rsidP="008B3208">
            <w:pPr>
              <w:jc w:val="center"/>
              <w:rPr>
                <w:rFonts w:eastAsia="Arial" w:cstheme="minorHAnsi"/>
                <w:sz w:val="18"/>
                <w:szCs w:val="18"/>
              </w:rPr>
            </w:pPr>
            <w:r>
              <w:rPr>
                <w:rFonts w:eastAsia="Arial" w:cstheme="minorHAnsi"/>
                <w:sz w:val="18"/>
                <w:szCs w:val="18"/>
              </w:rPr>
              <w:t>37%</w:t>
            </w:r>
          </w:p>
        </w:tc>
      </w:tr>
    </w:tbl>
    <w:p w14:paraId="0BB43A12" w14:textId="77777777" w:rsidR="009F6D65" w:rsidRPr="00E05DD5" w:rsidRDefault="009F6D65" w:rsidP="009F6D65">
      <w:pPr>
        <w:spacing w:before="40" w:after="60"/>
        <w:rPr>
          <w:rFonts w:cstheme="minorHAnsi"/>
          <w:lang w:val="en-US"/>
        </w:rPr>
      </w:pPr>
      <w:r w:rsidRPr="00E05DD5">
        <w:rPr>
          <w:rFonts w:eastAsia="Arial" w:cstheme="minorHAnsi"/>
          <w:i/>
          <w:iCs/>
          <w:color w:val="595959"/>
          <w:sz w:val="16"/>
          <w:szCs w:val="16"/>
          <w:lang w:val="en-US"/>
        </w:rPr>
        <w:t xml:space="preserve">Fuente: OECD Steel Outlook 2025, </w:t>
      </w:r>
      <w:proofErr w:type="spellStart"/>
      <w:r w:rsidRPr="00E05DD5">
        <w:rPr>
          <w:rFonts w:eastAsia="Arial" w:cstheme="minorHAnsi"/>
          <w:i/>
          <w:iCs/>
          <w:color w:val="595959"/>
          <w:sz w:val="16"/>
          <w:szCs w:val="16"/>
          <w:lang w:val="en-US"/>
        </w:rPr>
        <w:t>Tabla</w:t>
      </w:r>
      <w:proofErr w:type="spellEnd"/>
      <w:r w:rsidRPr="00E05DD5">
        <w:rPr>
          <w:rFonts w:eastAsia="Arial" w:cstheme="minorHAnsi"/>
          <w:i/>
          <w:iCs/>
          <w:color w:val="595959"/>
          <w:sz w:val="16"/>
          <w:szCs w:val="16"/>
          <w:lang w:val="en-US"/>
        </w:rPr>
        <w:t xml:space="preserve"> 5.1.</w:t>
      </w:r>
    </w:p>
    <w:p w14:paraId="1C246DE7" w14:textId="77777777" w:rsidR="009F6D65" w:rsidRPr="00E05DD5" w:rsidRDefault="009F6D65" w:rsidP="009F6D65">
      <w:pPr>
        <w:rPr>
          <w:rFonts w:cstheme="minorHAnsi"/>
          <w:lang w:val="en-US"/>
        </w:rPr>
      </w:pPr>
    </w:p>
    <w:p w14:paraId="3C98F496" w14:textId="77777777" w:rsidR="009F6D65" w:rsidRPr="00A00EF0" w:rsidRDefault="009F6D65" w:rsidP="009F6D65">
      <w:pPr>
        <w:rPr>
          <w:rFonts w:cstheme="minorHAnsi"/>
        </w:rPr>
      </w:pPr>
      <w:r w:rsidRPr="00A00EF0">
        <w:rPr>
          <w:rFonts w:cstheme="minorHAnsi"/>
        </w:rPr>
        <w:t>Este volumen representa aproximadamente 36.7% de las exportaciones mundiales de acero, excluyendo el comercio intra-Unión Europea.</w:t>
      </w:r>
    </w:p>
    <w:p w14:paraId="52EBE4C6" w14:textId="77777777" w:rsidR="009F6D65" w:rsidRPr="00A00EF0" w:rsidRDefault="009F6D65" w:rsidP="009F6D65">
      <w:pPr>
        <w:rPr>
          <w:rFonts w:cstheme="minorHAnsi"/>
        </w:rPr>
      </w:pPr>
      <w:r w:rsidRPr="00A00EF0">
        <w:rPr>
          <w:rFonts w:cstheme="minorHAnsi"/>
        </w:rPr>
        <w:t>Paralelamente, las importaciones chinas de acero han disminuido de forma significativa, reduciéndose 77.5% entre 2020 y 2024.</w:t>
      </w:r>
    </w:p>
    <w:p w14:paraId="3EB4684E" w14:textId="77777777" w:rsidR="009F6D65" w:rsidRPr="00A00EF0" w:rsidRDefault="009F6D65" w:rsidP="009F6D65">
      <w:pPr>
        <w:rPr>
          <w:rFonts w:cstheme="minorHAnsi"/>
        </w:rPr>
      </w:pPr>
      <w:r w:rsidRPr="00A00EF0">
        <w:rPr>
          <w:rFonts w:cstheme="minorHAnsi"/>
        </w:rPr>
        <w:t>Esta combinación de exportaciones crecientes e importaciones decrecientes ha generado un superávit comercial siderúrgico superior a 109 mmt, consolidando el papel de China como el principal exportador neto de acero a nivel mundial.</w:t>
      </w:r>
    </w:p>
    <w:p w14:paraId="50EB673E" w14:textId="77777777" w:rsidR="00E05DD5" w:rsidRDefault="00E05DD5">
      <w:pPr>
        <w:rPr>
          <w:rFonts w:eastAsiaTheme="majorEastAsia" w:cstheme="minorHAnsi"/>
          <w:color w:val="2F5496" w:themeColor="accent1" w:themeShade="BF"/>
          <w:sz w:val="32"/>
          <w:szCs w:val="32"/>
        </w:rPr>
      </w:pPr>
      <w:r>
        <w:rPr>
          <w:rFonts w:cstheme="minorHAnsi"/>
        </w:rPr>
        <w:br w:type="page"/>
      </w:r>
    </w:p>
    <w:p w14:paraId="2A125327" w14:textId="186AB696" w:rsidR="009F6D65" w:rsidRPr="00A00EF0" w:rsidRDefault="009F6D65" w:rsidP="006B2EC9">
      <w:pPr>
        <w:pStyle w:val="Heading2"/>
        <w:rPr>
          <w:rFonts w:asciiTheme="minorHAnsi" w:hAnsiTheme="minorHAnsi" w:cstheme="minorHAnsi"/>
        </w:rPr>
      </w:pPr>
      <w:bookmarkStart w:id="5" w:name="_Toc224657487"/>
      <w:r w:rsidRPr="00A00EF0">
        <w:rPr>
          <w:rFonts w:asciiTheme="minorHAnsi" w:hAnsiTheme="minorHAnsi" w:cstheme="minorHAnsi"/>
        </w:rPr>
        <w:lastRenderedPageBreak/>
        <w:t>Subsidios y distorsiones en la competencia internacional</w:t>
      </w:r>
      <w:bookmarkEnd w:id="5"/>
    </w:p>
    <w:p w14:paraId="1C0CB857" w14:textId="77777777" w:rsidR="009F6D65" w:rsidRPr="00A00EF0" w:rsidRDefault="009F6D65" w:rsidP="009F6D65">
      <w:pPr>
        <w:rPr>
          <w:rFonts w:cstheme="minorHAnsi"/>
        </w:rPr>
      </w:pPr>
      <w:r w:rsidRPr="00A00EF0">
        <w:rPr>
          <w:rFonts w:cstheme="minorHAnsi"/>
        </w:rPr>
        <w:t>El desempeño exportador de la industria siderúrgica china no puede entenderse sin considerar el papel de las políticas industriales y los mecanismos de apoyo estatal.</w:t>
      </w:r>
    </w:p>
    <w:p w14:paraId="35D52F48" w14:textId="2E27662E" w:rsidR="00F95A88" w:rsidRPr="00A00EF0" w:rsidRDefault="00F95A88" w:rsidP="009F6D65">
      <w:pPr>
        <w:rPr>
          <w:rFonts w:cstheme="minorHAnsi"/>
          <w:b/>
          <w:bCs/>
          <w:sz w:val="22"/>
          <w:szCs w:val="22"/>
        </w:rPr>
      </w:pPr>
      <w:r w:rsidRPr="00A00EF0">
        <w:rPr>
          <w:rFonts w:cstheme="minorHAnsi"/>
          <w:b/>
          <w:bCs/>
          <w:sz w:val="22"/>
          <w:szCs w:val="22"/>
        </w:rPr>
        <w:t>Gráfica x. Subsidios en el sector de Acero como porcentaje de ingresos de empresas</w:t>
      </w:r>
    </w:p>
    <w:p w14:paraId="2F08ABC9" w14:textId="0594BAF6" w:rsidR="009F6D65" w:rsidRPr="00A00EF0" w:rsidRDefault="009F6D65" w:rsidP="009F6D65">
      <w:pPr>
        <w:rPr>
          <w:rFonts w:cstheme="minorHAnsi"/>
          <w:b/>
          <w:bCs/>
          <w:i/>
          <w:iCs/>
        </w:rPr>
      </w:pPr>
      <w:r w:rsidRPr="00A00EF0">
        <w:rPr>
          <w:rFonts w:cstheme="minorHAnsi"/>
          <w:noProof/>
          <w:sz w:val="20"/>
          <w:szCs w:val="20"/>
        </w:rPr>
        <w:drawing>
          <wp:inline distT="0" distB="0" distL="0" distR="0" wp14:anchorId="4FDD4F77" wp14:editId="4D8BD7EB">
            <wp:extent cx="5943566" cy="3918857"/>
            <wp:effectExtent l="0" t="0" r="635" b="5715"/>
            <wp:docPr id="201909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94128" name=""/>
                    <pic:cNvPicPr/>
                  </pic:nvPicPr>
                  <pic:blipFill rotWithShape="1">
                    <a:blip r:embed="rId9"/>
                    <a:srcRect t="11226" b="9956"/>
                    <a:stretch>
                      <a:fillRect/>
                    </a:stretch>
                  </pic:blipFill>
                  <pic:spPr bwMode="auto">
                    <a:xfrm>
                      <a:off x="0" y="0"/>
                      <a:ext cx="5943600" cy="3918879"/>
                    </a:xfrm>
                    <a:prstGeom prst="rect">
                      <a:avLst/>
                    </a:prstGeom>
                    <a:ln>
                      <a:noFill/>
                    </a:ln>
                    <a:extLst>
                      <a:ext uri="{53640926-AAD7-44D8-BBD7-CCE9431645EC}">
                        <a14:shadowObscured xmlns:a14="http://schemas.microsoft.com/office/drawing/2010/main"/>
                      </a:ext>
                    </a:extLst>
                  </pic:spPr>
                </pic:pic>
              </a:graphicData>
            </a:graphic>
          </wp:inline>
        </w:drawing>
      </w:r>
    </w:p>
    <w:p w14:paraId="57671CA3" w14:textId="3B75F549" w:rsidR="00F95A88" w:rsidRPr="00A00EF0" w:rsidRDefault="00F95A88" w:rsidP="00F95A88">
      <w:pPr>
        <w:spacing w:before="40" w:after="60"/>
        <w:rPr>
          <w:rFonts w:cstheme="minorHAnsi"/>
        </w:rPr>
      </w:pPr>
      <w:r w:rsidRPr="00A00EF0">
        <w:rPr>
          <w:rFonts w:eastAsia="Arial" w:cstheme="minorHAnsi"/>
          <w:i/>
          <w:iCs/>
          <w:color w:val="595959"/>
          <w:sz w:val="16"/>
          <w:szCs w:val="16"/>
        </w:rPr>
        <w:t>Fuente: OECD Steel Outlook 2025</w:t>
      </w:r>
    </w:p>
    <w:p w14:paraId="398250EB" w14:textId="77777777" w:rsidR="00F95A88" w:rsidRPr="00A00EF0" w:rsidRDefault="00F95A88" w:rsidP="009F6D65">
      <w:pPr>
        <w:rPr>
          <w:rFonts w:cstheme="minorHAnsi"/>
        </w:rPr>
      </w:pPr>
    </w:p>
    <w:p w14:paraId="7AB3111D" w14:textId="0957786B" w:rsidR="009F6D65" w:rsidRPr="00A00EF0" w:rsidRDefault="009F6D65" w:rsidP="009F6D65">
      <w:pPr>
        <w:rPr>
          <w:rFonts w:cstheme="minorHAnsi"/>
        </w:rPr>
      </w:pPr>
      <w:r w:rsidRPr="00A00EF0">
        <w:rPr>
          <w:rFonts w:cstheme="minorHAnsi"/>
        </w:rPr>
        <w:t>De acuerdo con los datos de la base OECD MAGIC, las empresas manufactureras chinas presentan una tasa de subsidio cercana al 2% de sus ingresos, con episodios donde esta cifra ha alcanzado hasta 7%, mientras que en los países de la OCDE las tasas se sitúan entre 0</w:t>
      </w:r>
      <w:r w:rsidR="00F95A88" w:rsidRPr="00A00EF0">
        <w:rPr>
          <w:rFonts w:cstheme="minorHAnsi"/>
        </w:rPr>
        <w:t>.</w:t>
      </w:r>
      <w:r w:rsidRPr="00A00EF0">
        <w:rPr>
          <w:rFonts w:cstheme="minorHAnsi"/>
        </w:rPr>
        <w:t>2% y 0</w:t>
      </w:r>
      <w:r w:rsidR="00F95A88" w:rsidRPr="00A00EF0">
        <w:rPr>
          <w:rFonts w:cstheme="minorHAnsi"/>
        </w:rPr>
        <w:t>.</w:t>
      </w:r>
      <w:r w:rsidRPr="00A00EF0">
        <w:rPr>
          <w:rFonts w:cstheme="minorHAnsi"/>
        </w:rPr>
        <w:t>3%.</w:t>
      </w:r>
    </w:p>
    <w:p w14:paraId="42A4703C" w14:textId="77777777" w:rsidR="009F6D65" w:rsidRPr="00A00EF0" w:rsidRDefault="009F6D65" w:rsidP="009F6D65">
      <w:pPr>
        <w:rPr>
          <w:rFonts w:cstheme="minorHAnsi"/>
        </w:rPr>
      </w:pPr>
      <w:r w:rsidRPr="00A00EF0">
        <w:rPr>
          <w:rFonts w:cstheme="minorHAnsi"/>
        </w:rPr>
        <w:t>Esto implica que el nivel de apoyo estatal a la industria en China es aproximadamente diez veces superior al observado en las economías de mercado avanzadas.</w:t>
      </w:r>
    </w:p>
    <w:p w14:paraId="39727A73" w14:textId="77777777" w:rsidR="009F6D65" w:rsidRPr="00A00EF0" w:rsidRDefault="009F6D65" w:rsidP="009F6D65">
      <w:pPr>
        <w:rPr>
          <w:rFonts w:cstheme="minorHAnsi"/>
        </w:rPr>
      </w:pPr>
      <w:r w:rsidRPr="00A00EF0">
        <w:rPr>
          <w:rFonts w:cstheme="minorHAnsi"/>
        </w:rPr>
        <w:t>Los instrumentos de apoyo incluyen, entre otros, financiamiento a tasas por debajo del mercado, reestructuración de deuda de empresas estatales, subsidios fiscales y energéticos, y acceso preferencial a crédito de bancos estatales.</w:t>
      </w:r>
    </w:p>
    <w:p w14:paraId="77D060A5" w14:textId="77777777" w:rsidR="009F6D65" w:rsidRPr="00A00EF0" w:rsidRDefault="009F6D65" w:rsidP="009F6D65">
      <w:pPr>
        <w:rPr>
          <w:rFonts w:cstheme="minorHAnsi"/>
        </w:rPr>
      </w:pPr>
      <w:r w:rsidRPr="00A00EF0">
        <w:rPr>
          <w:rFonts w:cstheme="minorHAnsi"/>
        </w:rPr>
        <w:lastRenderedPageBreak/>
        <w:t>Estos mecanismos permiten que empresas con baja rentabilidad o pérdidas operativas continúen produciendo y exportando acero incluso en contextos donde los precios internacionales no cubren los costos económicos reales de producción.</w:t>
      </w:r>
    </w:p>
    <w:p w14:paraId="1018961A" w14:textId="6CECAD19" w:rsidR="009F6D65" w:rsidRPr="00A00EF0" w:rsidRDefault="009F6D65" w:rsidP="006B2EC9">
      <w:pPr>
        <w:pStyle w:val="Heading2"/>
        <w:rPr>
          <w:rFonts w:asciiTheme="minorHAnsi" w:hAnsiTheme="minorHAnsi" w:cstheme="minorHAnsi"/>
        </w:rPr>
      </w:pPr>
      <w:bookmarkStart w:id="6" w:name="_Toc224657488"/>
      <w:r w:rsidRPr="00A00EF0">
        <w:rPr>
          <w:rFonts w:asciiTheme="minorHAnsi" w:hAnsiTheme="minorHAnsi" w:cstheme="minorHAnsi"/>
        </w:rPr>
        <w:t>Expansión internacional de la capacidad siderúrgica china</w:t>
      </w:r>
      <w:bookmarkEnd w:id="6"/>
    </w:p>
    <w:p w14:paraId="1A43162D" w14:textId="77777777" w:rsidR="009F6D65" w:rsidRPr="00A00EF0" w:rsidRDefault="009F6D65" w:rsidP="009F6D65">
      <w:pPr>
        <w:rPr>
          <w:rFonts w:cstheme="minorHAnsi"/>
        </w:rPr>
      </w:pPr>
      <w:r w:rsidRPr="00A00EF0">
        <w:rPr>
          <w:rFonts w:cstheme="minorHAnsi"/>
        </w:rPr>
        <w:t>Además de su capacidad doméstica, China ha impulsado una estrategia activa de internacionalización de su industria siderúrgica.</w:t>
      </w:r>
    </w:p>
    <w:p w14:paraId="1AB66EB4" w14:textId="77777777" w:rsidR="009F6D65" w:rsidRPr="00A00EF0" w:rsidRDefault="009F6D65" w:rsidP="009F6D65">
      <w:pPr>
        <w:rPr>
          <w:rFonts w:cstheme="minorHAnsi"/>
        </w:rPr>
      </w:pPr>
      <w:r w:rsidRPr="00A00EF0">
        <w:rPr>
          <w:rFonts w:cstheme="minorHAnsi"/>
        </w:rPr>
        <w:t xml:space="preserve">Según el OECD Steel Outlook 2025, China representa aproximadamente 50% de la inversión transfronteriza global en capacidad siderúrgica, y alrededor del 65% de estas inversiones involucran empresas estatales chinas. Estas inversiones están frecuentemente vinculadas a proyectos de infraestructura asociados con la Iniciativa de la Franja y la Ruta (Belt and Road </w:t>
      </w:r>
      <w:proofErr w:type="spellStart"/>
      <w:r w:rsidRPr="00A00EF0">
        <w:rPr>
          <w:rFonts w:cstheme="minorHAnsi"/>
        </w:rPr>
        <w:t>Initiative</w:t>
      </w:r>
      <w:proofErr w:type="spellEnd"/>
      <w:r w:rsidRPr="00A00EF0">
        <w:rPr>
          <w:rFonts w:cstheme="minorHAnsi"/>
        </w:rPr>
        <w:t>).</w:t>
      </w:r>
    </w:p>
    <w:p w14:paraId="63C1A543" w14:textId="77777777" w:rsidR="009F6D65" w:rsidRPr="00A00EF0" w:rsidRDefault="009F6D65" w:rsidP="009F6D65">
      <w:pPr>
        <w:rPr>
          <w:rFonts w:cstheme="minorHAnsi"/>
        </w:rPr>
      </w:pPr>
      <w:r w:rsidRPr="00A00EF0">
        <w:rPr>
          <w:rFonts w:cstheme="minorHAnsi"/>
        </w:rPr>
        <w:t>La expansión de capacidad en terceros países tiene implicaciones importantes para el comercio internacional, ya que puede facilitar la triangulación de exportaciones o el desvío de comercio, permitiendo que productos siderúrgicos vinculados a empresas chinas ingresen a mercados internacionales desde jurisdicciones distintas.</w:t>
      </w:r>
    </w:p>
    <w:p w14:paraId="46A21949" w14:textId="77777777" w:rsidR="00E45D24" w:rsidRDefault="00E45D24">
      <w:pPr>
        <w:rPr>
          <w:rFonts w:asciiTheme="majorHAnsi" w:eastAsiaTheme="majorEastAsia" w:hAnsiTheme="majorHAnsi" w:cstheme="majorBidi"/>
          <w:color w:val="2F5496" w:themeColor="accent1" w:themeShade="BF"/>
          <w:sz w:val="32"/>
          <w:szCs w:val="32"/>
        </w:rPr>
      </w:pPr>
      <w:r>
        <w:br w:type="page"/>
      </w:r>
    </w:p>
    <w:p w14:paraId="16EDEC2F" w14:textId="6B235C8A" w:rsidR="009F6D65" w:rsidRPr="00A00EF0" w:rsidRDefault="009F6D65" w:rsidP="00843C1F">
      <w:pPr>
        <w:pStyle w:val="Heading2"/>
      </w:pPr>
      <w:bookmarkStart w:id="7" w:name="_Toc224657489"/>
      <w:r w:rsidRPr="00A00EF0">
        <w:lastRenderedPageBreak/>
        <w:t>Reacción internacional: aumento de medidas antidumping</w:t>
      </w:r>
      <w:bookmarkEnd w:id="7"/>
    </w:p>
    <w:p w14:paraId="21941F56" w14:textId="77777777" w:rsidR="001D3EEA" w:rsidRPr="001D3EEA" w:rsidRDefault="001D3EEA" w:rsidP="001D3EEA">
      <w:pPr>
        <w:rPr>
          <w:rFonts w:cstheme="minorHAnsi"/>
        </w:rPr>
      </w:pPr>
      <w:r w:rsidRPr="001D3EEA">
        <w:rPr>
          <w:rFonts w:cstheme="minorHAnsi"/>
        </w:rPr>
        <w:t>Las distorsiones observadas en el mercado internacional del acero han generado una respuesta creciente por parte de numerosos gobiernos mediante la implementación de medidas de defensa comercial y otras intervenciones destinadas a proteger sus industrias domésticas.</w:t>
      </w:r>
    </w:p>
    <w:p w14:paraId="071F4960" w14:textId="6828AEFE" w:rsidR="00F30F53" w:rsidRDefault="001D3EEA" w:rsidP="009F6D65">
      <w:pPr>
        <w:rPr>
          <w:rFonts w:cstheme="minorHAnsi"/>
        </w:rPr>
      </w:pPr>
      <w:r w:rsidRPr="001D3EEA">
        <w:rPr>
          <w:rFonts w:cstheme="minorHAnsi"/>
        </w:rPr>
        <w:t>Durante 2024, un total de 19 países iniciaron 81 investigaciones antidumping relacionadas con productos de acero, lo que representa un aumento significativo en comparación con años anteriores. La Tabla x presenta la distribución de estas investigaciones según el país investigador.</w:t>
      </w:r>
    </w:p>
    <w:p w14:paraId="47AA0312" w14:textId="2A764473" w:rsidR="00F95A88" w:rsidRPr="00A00EF0" w:rsidRDefault="00F95A88" w:rsidP="009F6D65">
      <w:pPr>
        <w:rPr>
          <w:rFonts w:cstheme="minorHAnsi"/>
          <w:b/>
          <w:bCs/>
          <w:sz w:val="22"/>
          <w:szCs w:val="22"/>
        </w:rPr>
      </w:pPr>
      <w:r w:rsidRPr="00A00EF0">
        <w:rPr>
          <w:rFonts w:cstheme="minorHAnsi"/>
          <w:b/>
          <w:bCs/>
          <w:sz w:val="22"/>
          <w:szCs w:val="22"/>
        </w:rPr>
        <w:t xml:space="preserve">Tabla </w:t>
      </w:r>
      <w:r w:rsidR="008F4F7E">
        <w:rPr>
          <w:rFonts w:cstheme="minorHAnsi"/>
          <w:b/>
          <w:bCs/>
          <w:sz w:val="22"/>
          <w:szCs w:val="22"/>
        </w:rPr>
        <w:t>2</w:t>
      </w:r>
      <w:r w:rsidRPr="00A00EF0">
        <w:rPr>
          <w:rFonts w:cstheme="minorHAnsi"/>
          <w:b/>
          <w:bCs/>
          <w:sz w:val="22"/>
          <w:szCs w:val="22"/>
        </w:rPr>
        <w:t>. Cantidad de medidas antidumping iniciadas en 2024 para productos de Acero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F6D65" w:rsidRPr="00A00EF0" w14:paraId="25FE54DF" w14:textId="77777777" w:rsidTr="008B3208">
        <w:tc>
          <w:tcPr>
            <w:tcW w:w="4680"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68CC83BF" w14:textId="77777777" w:rsidR="009F6D65" w:rsidRPr="00A00EF0" w:rsidRDefault="009F6D65" w:rsidP="008B3208">
            <w:pPr>
              <w:jc w:val="center"/>
              <w:rPr>
                <w:rFonts w:cstheme="minorHAnsi"/>
              </w:rPr>
            </w:pPr>
            <w:r w:rsidRPr="00A00EF0">
              <w:rPr>
                <w:rFonts w:eastAsia="Arial" w:cstheme="minorHAnsi"/>
                <w:b/>
                <w:bCs/>
                <w:color w:val="FFFFFF"/>
                <w:sz w:val="18"/>
                <w:szCs w:val="18"/>
              </w:rPr>
              <w:t>País Investigador</w:t>
            </w:r>
          </w:p>
        </w:tc>
        <w:tc>
          <w:tcPr>
            <w:tcW w:w="4680"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08E7218A" w14:textId="77777777" w:rsidR="009F6D65" w:rsidRPr="00A00EF0" w:rsidRDefault="009F6D65" w:rsidP="008B3208">
            <w:pPr>
              <w:jc w:val="center"/>
              <w:rPr>
                <w:rFonts w:cstheme="minorHAnsi"/>
              </w:rPr>
            </w:pPr>
            <w:r w:rsidRPr="00A00EF0">
              <w:rPr>
                <w:rFonts w:eastAsia="Arial" w:cstheme="minorHAnsi"/>
                <w:b/>
                <w:bCs/>
                <w:color w:val="FFFFFF"/>
                <w:sz w:val="18"/>
                <w:szCs w:val="18"/>
              </w:rPr>
              <w:t>Investigaciones Iniciadas (2024)</w:t>
            </w:r>
          </w:p>
        </w:tc>
      </w:tr>
      <w:tr w:rsidR="009F6D65" w:rsidRPr="00A00EF0" w14:paraId="6BE23A49"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90AA928" w14:textId="77777777" w:rsidR="009F6D65" w:rsidRPr="00A00EF0" w:rsidRDefault="009F6D65" w:rsidP="008B3208">
            <w:pPr>
              <w:rPr>
                <w:rFonts w:cstheme="minorHAnsi"/>
              </w:rPr>
            </w:pPr>
            <w:r w:rsidRPr="00A00EF0">
              <w:rPr>
                <w:rFonts w:eastAsia="Arial" w:cstheme="minorHAnsi"/>
                <w:b/>
                <w:bCs/>
                <w:sz w:val="18"/>
                <w:szCs w:val="18"/>
              </w:rPr>
              <w:t>Turquía</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9083B93" w14:textId="77777777" w:rsidR="009F6D65" w:rsidRPr="00A00EF0" w:rsidRDefault="009F6D65" w:rsidP="008B3208">
            <w:pPr>
              <w:jc w:val="center"/>
              <w:rPr>
                <w:rFonts w:cstheme="minorHAnsi"/>
              </w:rPr>
            </w:pPr>
            <w:r w:rsidRPr="00A00EF0">
              <w:rPr>
                <w:rFonts w:eastAsia="Arial" w:cstheme="minorHAnsi"/>
                <w:sz w:val="18"/>
                <w:szCs w:val="18"/>
              </w:rPr>
              <w:t>10</w:t>
            </w:r>
          </w:p>
        </w:tc>
      </w:tr>
      <w:tr w:rsidR="009F6D65" w:rsidRPr="00A00EF0" w14:paraId="050E5146"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60E2F216" w14:textId="77777777" w:rsidR="009F6D65" w:rsidRPr="00A00EF0" w:rsidRDefault="009F6D65" w:rsidP="008B3208">
            <w:pPr>
              <w:rPr>
                <w:rFonts w:cstheme="minorHAnsi"/>
              </w:rPr>
            </w:pPr>
            <w:r w:rsidRPr="00A00EF0">
              <w:rPr>
                <w:rFonts w:eastAsia="Arial" w:cstheme="minorHAnsi"/>
                <w:b/>
                <w:bCs/>
                <w:sz w:val="18"/>
                <w:szCs w:val="18"/>
              </w:rPr>
              <w:t>Estados Unidos</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7D6E21A9" w14:textId="77777777" w:rsidR="009F6D65" w:rsidRPr="00A00EF0" w:rsidRDefault="009F6D65" w:rsidP="008B3208">
            <w:pPr>
              <w:jc w:val="center"/>
              <w:rPr>
                <w:rFonts w:cstheme="minorHAnsi"/>
              </w:rPr>
            </w:pPr>
            <w:r w:rsidRPr="00A00EF0">
              <w:rPr>
                <w:rFonts w:eastAsia="Arial" w:cstheme="minorHAnsi"/>
                <w:sz w:val="18"/>
                <w:szCs w:val="18"/>
              </w:rPr>
              <w:t>10</w:t>
            </w:r>
          </w:p>
        </w:tc>
      </w:tr>
      <w:tr w:rsidR="009F6D65" w:rsidRPr="00A00EF0" w14:paraId="5636286A"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150AE18" w14:textId="77777777" w:rsidR="009F6D65" w:rsidRPr="00A00EF0" w:rsidRDefault="009F6D65" w:rsidP="008B3208">
            <w:pPr>
              <w:rPr>
                <w:rFonts w:cstheme="minorHAnsi"/>
              </w:rPr>
            </w:pPr>
            <w:r w:rsidRPr="00A00EF0">
              <w:rPr>
                <w:rFonts w:eastAsia="Arial" w:cstheme="minorHAnsi"/>
                <w:b/>
                <w:bCs/>
                <w:sz w:val="18"/>
                <w:szCs w:val="18"/>
              </w:rPr>
              <w:t>Australia</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5F338304" w14:textId="77777777" w:rsidR="009F6D65" w:rsidRPr="00A00EF0" w:rsidRDefault="009F6D65" w:rsidP="008B3208">
            <w:pPr>
              <w:jc w:val="center"/>
              <w:rPr>
                <w:rFonts w:cstheme="minorHAnsi"/>
              </w:rPr>
            </w:pPr>
            <w:r w:rsidRPr="00A00EF0">
              <w:rPr>
                <w:rFonts w:eastAsia="Arial" w:cstheme="minorHAnsi"/>
                <w:sz w:val="18"/>
                <w:szCs w:val="18"/>
              </w:rPr>
              <w:t>8</w:t>
            </w:r>
          </w:p>
        </w:tc>
      </w:tr>
      <w:tr w:rsidR="009F6D65" w:rsidRPr="00A00EF0" w14:paraId="6AECF8A6"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76B93CED" w14:textId="77777777" w:rsidR="009F6D65" w:rsidRPr="00A00EF0" w:rsidRDefault="009F6D65" w:rsidP="008B3208">
            <w:pPr>
              <w:rPr>
                <w:rFonts w:cstheme="minorHAnsi"/>
              </w:rPr>
            </w:pPr>
            <w:r w:rsidRPr="00A00EF0">
              <w:rPr>
                <w:rFonts w:eastAsia="Arial" w:cstheme="minorHAnsi"/>
                <w:b/>
                <w:bCs/>
                <w:sz w:val="18"/>
                <w:szCs w:val="18"/>
              </w:rPr>
              <w:t>Brasil</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B6348CF" w14:textId="77777777" w:rsidR="009F6D65" w:rsidRPr="00A00EF0" w:rsidRDefault="009F6D65" w:rsidP="008B3208">
            <w:pPr>
              <w:jc w:val="center"/>
              <w:rPr>
                <w:rFonts w:cstheme="minorHAnsi"/>
              </w:rPr>
            </w:pPr>
            <w:r w:rsidRPr="00A00EF0">
              <w:rPr>
                <w:rFonts w:eastAsia="Arial" w:cstheme="minorHAnsi"/>
                <w:sz w:val="18"/>
                <w:szCs w:val="18"/>
              </w:rPr>
              <w:t>8</w:t>
            </w:r>
          </w:p>
        </w:tc>
      </w:tr>
      <w:tr w:rsidR="009F6D65" w:rsidRPr="00A00EF0" w14:paraId="6655C79B"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00BF523" w14:textId="77777777" w:rsidR="009F6D65" w:rsidRPr="00A00EF0" w:rsidRDefault="009F6D65" w:rsidP="008B3208">
            <w:pPr>
              <w:rPr>
                <w:rFonts w:cstheme="minorHAnsi"/>
              </w:rPr>
            </w:pPr>
            <w:r w:rsidRPr="00A00EF0">
              <w:rPr>
                <w:rFonts w:eastAsia="Arial" w:cstheme="minorHAnsi"/>
                <w:b/>
                <w:bCs/>
                <w:sz w:val="18"/>
                <w:szCs w:val="18"/>
              </w:rPr>
              <w:t>Canadá</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5C80ADF" w14:textId="77777777" w:rsidR="009F6D65" w:rsidRPr="00A00EF0" w:rsidRDefault="009F6D65" w:rsidP="008B3208">
            <w:pPr>
              <w:jc w:val="center"/>
              <w:rPr>
                <w:rFonts w:cstheme="minorHAnsi"/>
              </w:rPr>
            </w:pPr>
            <w:r w:rsidRPr="00A00EF0">
              <w:rPr>
                <w:rFonts w:eastAsia="Arial" w:cstheme="minorHAnsi"/>
                <w:sz w:val="18"/>
                <w:szCs w:val="18"/>
              </w:rPr>
              <w:t>7</w:t>
            </w:r>
          </w:p>
        </w:tc>
      </w:tr>
      <w:tr w:rsidR="009F6D65" w:rsidRPr="00A00EF0" w14:paraId="1094694F"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3D760CD" w14:textId="77777777" w:rsidR="009F6D65" w:rsidRPr="00A00EF0" w:rsidRDefault="009F6D65" w:rsidP="008B3208">
            <w:pPr>
              <w:rPr>
                <w:rFonts w:cstheme="minorHAnsi"/>
              </w:rPr>
            </w:pPr>
            <w:r w:rsidRPr="00A00EF0">
              <w:rPr>
                <w:rFonts w:eastAsia="Arial" w:cstheme="minorHAnsi"/>
                <w:b/>
                <w:bCs/>
                <w:sz w:val="18"/>
                <w:szCs w:val="18"/>
              </w:rPr>
              <w:t>Malasia</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78A943A1" w14:textId="77777777" w:rsidR="009F6D65" w:rsidRPr="00A00EF0" w:rsidRDefault="009F6D65" w:rsidP="008B3208">
            <w:pPr>
              <w:jc w:val="center"/>
              <w:rPr>
                <w:rFonts w:cstheme="minorHAnsi"/>
              </w:rPr>
            </w:pPr>
            <w:r w:rsidRPr="00A00EF0">
              <w:rPr>
                <w:rFonts w:eastAsia="Arial" w:cstheme="minorHAnsi"/>
                <w:sz w:val="18"/>
                <w:szCs w:val="18"/>
              </w:rPr>
              <w:t>7</w:t>
            </w:r>
          </w:p>
        </w:tc>
      </w:tr>
      <w:tr w:rsidR="009F6D65" w:rsidRPr="00A00EF0" w14:paraId="0E831D05"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898ABE1" w14:textId="77777777" w:rsidR="009F6D65" w:rsidRPr="00A00EF0" w:rsidRDefault="009F6D65" w:rsidP="008B3208">
            <w:pPr>
              <w:rPr>
                <w:rFonts w:cstheme="minorHAnsi"/>
              </w:rPr>
            </w:pPr>
            <w:r w:rsidRPr="00A00EF0">
              <w:rPr>
                <w:rFonts w:eastAsia="Arial" w:cstheme="minorHAnsi"/>
                <w:b/>
                <w:bCs/>
                <w:sz w:val="18"/>
                <w:szCs w:val="18"/>
              </w:rPr>
              <w:t>Unión Europea (EU27)</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406A8B7" w14:textId="77777777" w:rsidR="009F6D65" w:rsidRPr="00A00EF0" w:rsidRDefault="009F6D65" w:rsidP="008B3208">
            <w:pPr>
              <w:jc w:val="center"/>
              <w:rPr>
                <w:rFonts w:cstheme="minorHAnsi"/>
              </w:rPr>
            </w:pPr>
            <w:r w:rsidRPr="00A00EF0">
              <w:rPr>
                <w:rFonts w:eastAsia="Arial" w:cstheme="minorHAnsi"/>
                <w:sz w:val="18"/>
                <w:szCs w:val="18"/>
              </w:rPr>
              <w:t>6</w:t>
            </w:r>
          </w:p>
        </w:tc>
      </w:tr>
      <w:tr w:rsidR="009F6D65" w:rsidRPr="00A00EF0" w14:paraId="1F5DADC9"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56FD068E" w14:textId="77777777" w:rsidR="009F6D65" w:rsidRPr="00A00EF0" w:rsidRDefault="009F6D65" w:rsidP="008B3208">
            <w:pPr>
              <w:rPr>
                <w:rFonts w:cstheme="minorHAnsi"/>
              </w:rPr>
            </w:pPr>
            <w:r w:rsidRPr="00A00EF0">
              <w:rPr>
                <w:rFonts w:eastAsia="Arial" w:cstheme="minorHAnsi"/>
                <w:b/>
                <w:bCs/>
                <w:sz w:val="18"/>
                <w:szCs w:val="18"/>
              </w:rPr>
              <w:t>Sudáfrica</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43F16933" w14:textId="77777777" w:rsidR="009F6D65" w:rsidRPr="00A00EF0" w:rsidRDefault="009F6D65" w:rsidP="008B3208">
            <w:pPr>
              <w:jc w:val="center"/>
              <w:rPr>
                <w:rFonts w:cstheme="minorHAnsi"/>
              </w:rPr>
            </w:pPr>
            <w:r w:rsidRPr="00A00EF0">
              <w:rPr>
                <w:rFonts w:eastAsia="Arial" w:cstheme="minorHAnsi"/>
                <w:sz w:val="18"/>
                <w:szCs w:val="18"/>
              </w:rPr>
              <w:t>5</w:t>
            </w:r>
          </w:p>
        </w:tc>
      </w:tr>
      <w:tr w:rsidR="009F6D65" w:rsidRPr="00A00EF0" w14:paraId="738C689E"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67E0ACD8" w14:textId="77777777" w:rsidR="009F6D65" w:rsidRPr="00A00EF0" w:rsidRDefault="009F6D65" w:rsidP="008B3208">
            <w:pPr>
              <w:rPr>
                <w:rFonts w:cstheme="minorHAnsi"/>
              </w:rPr>
            </w:pPr>
            <w:r w:rsidRPr="00A00EF0">
              <w:rPr>
                <w:rFonts w:eastAsia="Arial" w:cstheme="minorHAnsi"/>
                <w:b/>
                <w:bCs/>
                <w:sz w:val="18"/>
                <w:szCs w:val="18"/>
              </w:rPr>
              <w:t>Viet Nam</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3153B67B" w14:textId="77777777" w:rsidR="009F6D65" w:rsidRPr="00A00EF0" w:rsidRDefault="009F6D65" w:rsidP="008B3208">
            <w:pPr>
              <w:jc w:val="center"/>
              <w:rPr>
                <w:rFonts w:cstheme="minorHAnsi"/>
              </w:rPr>
            </w:pPr>
            <w:r w:rsidRPr="00A00EF0">
              <w:rPr>
                <w:rFonts w:eastAsia="Arial" w:cstheme="minorHAnsi"/>
                <w:sz w:val="18"/>
                <w:szCs w:val="18"/>
              </w:rPr>
              <w:t>4</w:t>
            </w:r>
          </w:p>
        </w:tc>
      </w:tr>
      <w:tr w:rsidR="009F6D65" w:rsidRPr="00A00EF0" w14:paraId="6CD471B5"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6C9670BA" w14:textId="77777777" w:rsidR="009F6D65" w:rsidRPr="00A00EF0" w:rsidRDefault="009F6D65" w:rsidP="008B3208">
            <w:pPr>
              <w:rPr>
                <w:rFonts w:cstheme="minorHAnsi"/>
              </w:rPr>
            </w:pPr>
            <w:r w:rsidRPr="00A00EF0">
              <w:rPr>
                <w:rFonts w:eastAsia="Arial" w:cstheme="minorHAnsi"/>
                <w:b/>
                <w:bCs/>
                <w:sz w:val="18"/>
                <w:szCs w:val="18"/>
              </w:rPr>
              <w:t>Corea del Sur</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626F8F2C" w14:textId="77777777" w:rsidR="009F6D65" w:rsidRPr="00A00EF0" w:rsidRDefault="009F6D65" w:rsidP="008B3208">
            <w:pPr>
              <w:jc w:val="center"/>
              <w:rPr>
                <w:rFonts w:cstheme="minorHAnsi"/>
              </w:rPr>
            </w:pPr>
            <w:r w:rsidRPr="00A00EF0">
              <w:rPr>
                <w:rFonts w:eastAsia="Arial" w:cstheme="minorHAnsi"/>
                <w:sz w:val="18"/>
                <w:szCs w:val="18"/>
              </w:rPr>
              <w:t>3</w:t>
            </w:r>
          </w:p>
        </w:tc>
      </w:tr>
      <w:tr w:rsidR="009F6D65" w:rsidRPr="00A00EF0" w14:paraId="1A4CAE57"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D1B2E15" w14:textId="77777777" w:rsidR="009F6D65" w:rsidRPr="00A00EF0" w:rsidRDefault="009F6D65" w:rsidP="008B3208">
            <w:pPr>
              <w:rPr>
                <w:rFonts w:cstheme="minorHAnsi"/>
              </w:rPr>
            </w:pPr>
            <w:r w:rsidRPr="00A00EF0">
              <w:rPr>
                <w:rFonts w:eastAsia="Arial" w:cstheme="minorHAnsi"/>
                <w:b/>
                <w:bCs/>
                <w:sz w:val="18"/>
                <w:szCs w:val="18"/>
              </w:rPr>
              <w:t>República Dominicana</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6C3A2E4" w14:textId="77777777" w:rsidR="009F6D65" w:rsidRPr="00A00EF0" w:rsidRDefault="009F6D65" w:rsidP="008B3208">
            <w:pPr>
              <w:jc w:val="center"/>
              <w:rPr>
                <w:rFonts w:cstheme="minorHAnsi"/>
              </w:rPr>
            </w:pPr>
            <w:r w:rsidRPr="00A00EF0">
              <w:rPr>
                <w:rFonts w:eastAsia="Arial" w:cstheme="minorHAnsi"/>
                <w:sz w:val="18"/>
                <w:szCs w:val="18"/>
              </w:rPr>
              <w:t>1</w:t>
            </w:r>
          </w:p>
        </w:tc>
      </w:tr>
      <w:tr w:rsidR="009F6D65" w:rsidRPr="00A00EF0" w14:paraId="234E1A28"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AC90B36" w14:textId="77777777" w:rsidR="009F6D65" w:rsidRPr="00A00EF0" w:rsidRDefault="009F6D65" w:rsidP="008B3208">
            <w:pPr>
              <w:rPr>
                <w:rFonts w:cstheme="minorHAnsi"/>
              </w:rPr>
            </w:pPr>
            <w:r w:rsidRPr="00A00EF0">
              <w:rPr>
                <w:rFonts w:eastAsia="Arial" w:cstheme="minorHAnsi"/>
                <w:b/>
                <w:bCs/>
                <w:sz w:val="18"/>
                <w:szCs w:val="18"/>
              </w:rPr>
              <w:t>Otros países</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5DBFD4A8" w14:textId="77777777" w:rsidR="009F6D65" w:rsidRPr="00A00EF0" w:rsidRDefault="009F6D65" w:rsidP="008B3208">
            <w:pPr>
              <w:jc w:val="center"/>
              <w:rPr>
                <w:rFonts w:cstheme="minorHAnsi"/>
              </w:rPr>
            </w:pPr>
            <w:r w:rsidRPr="00A00EF0">
              <w:rPr>
                <w:rFonts w:eastAsia="Arial" w:cstheme="minorHAnsi"/>
                <w:sz w:val="18"/>
                <w:szCs w:val="18"/>
              </w:rPr>
              <w:t>12</w:t>
            </w:r>
          </w:p>
        </w:tc>
      </w:tr>
      <w:tr w:rsidR="009F6D65" w:rsidRPr="00A00EF0" w14:paraId="09CE9353"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64E444E" w14:textId="77777777" w:rsidR="009F6D65" w:rsidRPr="00A00EF0" w:rsidRDefault="009F6D65" w:rsidP="008B3208">
            <w:pPr>
              <w:rPr>
                <w:rFonts w:cstheme="minorHAnsi"/>
              </w:rPr>
            </w:pPr>
            <w:r w:rsidRPr="00A00EF0">
              <w:rPr>
                <w:rFonts w:eastAsia="Arial" w:cstheme="minorHAnsi"/>
                <w:b/>
                <w:bCs/>
                <w:sz w:val="18"/>
                <w:szCs w:val="18"/>
              </w:rPr>
              <w:t>TOTAL</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39F1AAA" w14:textId="77777777" w:rsidR="009F6D65" w:rsidRPr="00A00EF0" w:rsidRDefault="009F6D65" w:rsidP="008B3208">
            <w:pPr>
              <w:jc w:val="center"/>
              <w:rPr>
                <w:rFonts w:cstheme="minorHAnsi"/>
              </w:rPr>
            </w:pPr>
            <w:r w:rsidRPr="00A00EF0">
              <w:rPr>
                <w:rFonts w:eastAsia="Arial" w:cstheme="minorHAnsi"/>
                <w:sz w:val="18"/>
                <w:szCs w:val="18"/>
              </w:rPr>
              <w:t>81</w:t>
            </w:r>
          </w:p>
        </w:tc>
      </w:tr>
    </w:tbl>
    <w:p w14:paraId="54F68708" w14:textId="7731FCFA" w:rsidR="009F6D65" w:rsidRPr="00A00EF0" w:rsidRDefault="009F6D65" w:rsidP="009F6D65">
      <w:pPr>
        <w:spacing w:before="40" w:after="60"/>
        <w:rPr>
          <w:rFonts w:cstheme="minorHAnsi"/>
        </w:rPr>
      </w:pPr>
      <w:r w:rsidRPr="007B42D3">
        <w:rPr>
          <w:rFonts w:eastAsia="Arial" w:cstheme="minorHAnsi"/>
          <w:i/>
          <w:iCs/>
          <w:color w:val="595959"/>
          <w:sz w:val="16"/>
          <w:szCs w:val="16"/>
          <w:lang w:val="en-US"/>
        </w:rPr>
        <w:t xml:space="preserve">Fuente: OECD Steel Outlook 2025, </w:t>
      </w:r>
      <w:proofErr w:type="spellStart"/>
      <w:r w:rsidRPr="007B42D3">
        <w:rPr>
          <w:rFonts w:eastAsia="Arial" w:cstheme="minorHAnsi"/>
          <w:i/>
          <w:iCs/>
          <w:color w:val="595959"/>
          <w:sz w:val="16"/>
          <w:szCs w:val="16"/>
          <w:lang w:val="en-US"/>
        </w:rPr>
        <w:t>Tabla</w:t>
      </w:r>
      <w:proofErr w:type="spellEnd"/>
      <w:r w:rsidRPr="007B42D3">
        <w:rPr>
          <w:rFonts w:eastAsia="Arial" w:cstheme="minorHAnsi"/>
          <w:i/>
          <w:iCs/>
          <w:color w:val="595959"/>
          <w:sz w:val="16"/>
          <w:szCs w:val="16"/>
          <w:lang w:val="en-US"/>
        </w:rPr>
        <w:t xml:space="preserve"> 5.3. </w:t>
      </w:r>
      <w:r w:rsidRPr="00A00EF0">
        <w:rPr>
          <w:rFonts w:eastAsia="Arial" w:cstheme="minorHAnsi"/>
          <w:i/>
          <w:iCs/>
          <w:color w:val="595959"/>
          <w:sz w:val="16"/>
          <w:szCs w:val="16"/>
        </w:rPr>
        <w:t>Cálculos OCDE.</w:t>
      </w:r>
    </w:p>
    <w:p w14:paraId="7D4A0C95" w14:textId="77777777" w:rsidR="001D3EEA" w:rsidRDefault="001D3EEA" w:rsidP="001D3EEA">
      <w:pPr>
        <w:rPr>
          <w:rFonts w:cstheme="minorHAnsi"/>
        </w:rPr>
      </w:pPr>
    </w:p>
    <w:p w14:paraId="43964DD0" w14:textId="7DE60B3D" w:rsidR="001D3EEA" w:rsidRPr="001D3EEA" w:rsidRDefault="001D3EEA" w:rsidP="001D3EEA">
      <w:pPr>
        <w:rPr>
          <w:rFonts w:cstheme="minorHAnsi"/>
        </w:rPr>
      </w:pPr>
      <w:r w:rsidRPr="001D3EEA">
        <w:rPr>
          <w:rFonts w:cstheme="minorHAnsi"/>
        </w:rPr>
        <w:t xml:space="preserve">Cerca del 80% de estas investigaciones se dirigieron contra productores asiáticos, siendo China el país más frecuentemente investigado. Este patrón refleja la preocupación creciente de las </w:t>
      </w:r>
      <w:r w:rsidRPr="001D3EEA">
        <w:rPr>
          <w:rFonts w:cstheme="minorHAnsi"/>
        </w:rPr>
        <w:lastRenderedPageBreak/>
        <w:t>autoridades comerciales respecto a las condiciones de competencia en el mercado internacional del acero.</w:t>
      </w:r>
    </w:p>
    <w:p w14:paraId="412DD21B" w14:textId="1CD19FD9" w:rsidR="007B42D3" w:rsidRDefault="001D3EEA">
      <w:pPr>
        <w:rPr>
          <w:rFonts w:cstheme="minorHAnsi"/>
        </w:rPr>
      </w:pPr>
      <w:r w:rsidRPr="001D3EEA">
        <w:rPr>
          <w:rFonts w:cstheme="minorHAnsi"/>
        </w:rPr>
        <w:t>Más allá de las investigaciones iniciadas en un año específico, el sector del acero se caracteriza por un elevado número de intervenciones de política comercial a nivel mundial. Como se observa en la Tabla x, el número total de intervenciones de protección en la industria del acero (HS 72) ha aumentado de manera significativa entre los períodos analizados. Mientras que entre 2009 y 2017 se registraron 1,324 intervenciones, en el período 2018-2026 la cifra aumentó a 2,640, alcanzando un total de 3,964 intervenciones.</w:t>
      </w:r>
    </w:p>
    <w:tbl>
      <w:tblPr>
        <w:tblW w:w="9033" w:type="dxa"/>
        <w:tblCellMar>
          <w:left w:w="0" w:type="dxa"/>
          <w:right w:w="0" w:type="dxa"/>
        </w:tblCellMar>
        <w:tblLook w:val="04A0" w:firstRow="1" w:lastRow="0" w:firstColumn="1" w:lastColumn="0" w:noHBand="0" w:noVBand="1"/>
      </w:tblPr>
      <w:tblGrid>
        <w:gridCol w:w="2870"/>
        <w:gridCol w:w="2250"/>
        <w:gridCol w:w="2013"/>
        <w:gridCol w:w="1678"/>
        <w:gridCol w:w="222"/>
      </w:tblGrid>
      <w:tr w:rsidR="007B42D3" w:rsidRPr="007B42D3" w14:paraId="121C424D" w14:textId="77777777" w:rsidTr="007B42D3">
        <w:trPr>
          <w:trHeight w:val="1794"/>
        </w:trPr>
        <w:tc>
          <w:tcPr>
            <w:tcW w:w="8811" w:type="dxa"/>
            <w:gridSpan w:val="4"/>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B82C08" w14:textId="2BA6D4EF" w:rsidR="007B42D3" w:rsidRPr="007B42D3" w:rsidRDefault="007B42D3" w:rsidP="007B42D3">
            <w:pPr>
              <w:spacing w:line="276" w:lineRule="auto"/>
              <w:jc w:val="center"/>
              <w:rPr>
                <w:rFonts w:ascii="Arial" w:eastAsia="Times New Roman" w:hAnsi="Arial" w:cs="Arial"/>
                <w:kern w:val="0"/>
                <w:sz w:val="28"/>
                <w:szCs w:val="28"/>
                <w14:ligatures w14:val="none"/>
              </w:rPr>
            </w:pPr>
            <w:r w:rsidRPr="007B42D3">
              <w:rPr>
                <w:rFonts w:ascii="Calibri" w:eastAsia="Times New Roman" w:hAnsi="Calibri" w:cs="Calibri"/>
                <w:b/>
                <w:bCs/>
                <w:color w:val="000000"/>
                <w:kern w:val="0"/>
                <w:sz w:val="28"/>
                <w:szCs w:val="28"/>
                <w14:ligatures w14:val="none"/>
              </w:rPr>
              <w:t>Cantidad Intervenciones de Protección a la Industria del Acero (HS 72)                                                                                                               Análisis Comparativo por periodo - Mundial</w:t>
            </w:r>
          </w:p>
        </w:tc>
        <w:tc>
          <w:tcPr>
            <w:tcW w:w="222" w:type="dxa"/>
            <w:tcBorders>
              <w:top w:val="nil"/>
              <w:left w:val="single" w:sz="8" w:space="0" w:color="000000"/>
              <w:bottom w:val="nil"/>
              <w:right w:val="nil"/>
            </w:tcBorders>
            <w:tcMar>
              <w:top w:w="15" w:type="dxa"/>
              <w:left w:w="15" w:type="dxa"/>
              <w:bottom w:w="0" w:type="dxa"/>
              <w:right w:w="15" w:type="dxa"/>
            </w:tcMar>
            <w:vAlign w:val="center"/>
            <w:hideMark/>
          </w:tcPr>
          <w:p w14:paraId="3A7E15EF" w14:textId="77777777" w:rsidR="007B42D3" w:rsidRPr="007B42D3" w:rsidRDefault="007B42D3" w:rsidP="007B42D3">
            <w:pPr>
              <w:spacing w:line="276" w:lineRule="auto"/>
              <w:rPr>
                <w:rFonts w:ascii="Arial" w:eastAsia="Times New Roman" w:hAnsi="Arial" w:cs="Arial"/>
                <w:kern w:val="0"/>
                <w:sz w:val="28"/>
                <w:szCs w:val="28"/>
                <w14:ligatures w14:val="none"/>
              </w:rPr>
            </w:pPr>
            <w:r w:rsidRPr="007B42D3">
              <w:rPr>
                <w:rFonts w:ascii="Calibri" w:eastAsia="Calibri" w:hAnsi="Calibri" w:cs="Times New Roman"/>
                <w:color w:val="000000" w:themeColor="text1"/>
                <w:sz w:val="28"/>
                <w:szCs w:val="28"/>
                <w14:ligatures w14:val="none"/>
              </w:rPr>
              <w:t> </w:t>
            </w:r>
          </w:p>
        </w:tc>
      </w:tr>
      <w:tr w:rsidR="007B42D3" w:rsidRPr="007B42D3" w14:paraId="04B25C94" w14:textId="77777777" w:rsidTr="001D3EEA">
        <w:trPr>
          <w:trHeight w:val="99"/>
        </w:trPr>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14:paraId="61283A98" w14:textId="77777777" w:rsidR="007B42D3" w:rsidRPr="007B42D3" w:rsidRDefault="007B42D3" w:rsidP="007B42D3">
            <w:pPr>
              <w:spacing w:after="0" w:line="240" w:lineRule="auto"/>
              <w:rPr>
                <w:rFonts w:ascii="Arial" w:eastAsia="Times New Roman" w:hAnsi="Arial" w:cs="Arial"/>
                <w:kern w:val="0"/>
                <w:sz w:val="28"/>
                <w:szCs w:val="28"/>
                <w14:ligatures w14:val="none"/>
              </w:rPr>
            </w:pPr>
          </w:p>
        </w:tc>
        <w:tc>
          <w:tcPr>
            <w:tcW w:w="222" w:type="dxa"/>
            <w:tcBorders>
              <w:top w:val="nil"/>
              <w:left w:val="single" w:sz="8" w:space="0" w:color="000000"/>
              <w:bottom w:val="nil"/>
              <w:right w:val="nil"/>
            </w:tcBorders>
            <w:tcMar>
              <w:top w:w="15" w:type="dxa"/>
              <w:left w:w="108" w:type="dxa"/>
              <w:bottom w:w="0" w:type="dxa"/>
              <w:right w:w="108" w:type="dxa"/>
            </w:tcMar>
            <w:vAlign w:val="bottom"/>
            <w:hideMark/>
          </w:tcPr>
          <w:p w14:paraId="5F5CC304" w14:textId="77777777" w:rsidR="007B42D3" w:rsidRPr="007B42D3" w:rsidRDefault="007B42D3" w:rsidP="007B42D3">
            <w:pPr>
              <w:spacing w:after="0" w:line="240" w:lineRule="auto"/>
              <w:rPr>
                <w:rFonts w:ascii="Arial" w:eastAsia="Times New Roman" w:hAnsi="Arial" w:cs="Arial"/>
                <w:kern w:val="0"/>
                <w:sz w:val="28"/>
                <w:szCs w:val="28"/>
                <w14:ligatures w14:val="none"/>
              </w:rPr>
            </w:pPr>
          </w:p>
        </w:tc>
      </w:tr>
      <w:tr w:rsidR="007B42D3" w:rsidRPr="007B42D3" w14:paraId="2A575F69" w14:textId="77777777" w:rsidTr="007B42D3">
        <w:trPr>
          <w:trHeight w:val="942"/>
        </w:trPr>
        <w:tc>
          <w:tcPr>
            <w:tcW w:w="28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96515D" w14:textId="77777777"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ascii="Calibri" w:eastAsia="Times New Roman" w:hAnsi="Calibri" w:cs="Calibri"/>
                <w:b/>
                <w:bCs/>
                <w:color w:val="000000"/>
                <w:kern w:val="0"/>
                <w:sz w:val="28"/>
                <w:szCs w:val="28"/>
                <w14:ligatures w14:val="none"/>
              </w:rPr>
              <w:t xml:space="preserve">Periodo </w:t>
            </w:r>
          </w:p>
        </w:tc>
        <w:tc>
          <w:tcPr>
            <w:tcW w:w="22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BC2E16" w14:textId="7260BC68"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ascii="Calibri" w:eastAsia="Times New Roman" w:hAnsi="Calibri" w:cs="Calibri"/>
                <w:b/>
                <w:bCs/>
                <w:color w:val="000000"/>
                <w:kern w:val="0"/>
                <w:sz w:val="28"/>
                <w:szCs w:val="28"/>
                <w14:ligatures w14:val="none"/>
              </w:rPr>
              <w:t>2009 - 2017</w:t>
            </w:r>
          </w:p>
        </w:tc>
        <w:tc>
          <w:tcPr>
            <w:tcW w:w="2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40B88B" w14:textId="77777777"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ascii="Calibri" w:eastAsia="Times New Roman" w:hAnsi="Calibri" w:cs="Calibri"/>
                <w:b/>
                <w:bCs/>
                <w:color w:val="000000"/>
                <w:kern w:val="0"/>
                <w:sz w:val="28"/>
                <w:szCs w:val="28"/>
                <w14:ligatures w14:val="none"/>
              </w:rPr>
              <w:t>2018 - 2026</w:t>
            </w:r>
          </w:p>
        </w:tc>
        <w:tc>
          <w:tcPr>
            <w:tcW w:w="1678" w:type="dxa"/>
            <w:tcBorders>
              <w:top w:val="single" w:sz="8" w:space="0" w:color="000000"/>
              <w:left w:val="single" w:sz="8" w:space="0" w:color="000000"/>
              <w:bottom w:val="single" w:sz="8" w:space="0" w:color="000000"/>
              <w:right w:val="single" w:sz="8" w:space="0" w:color="000000"/>
            </w:tcBorders>
            <w:shd w:val="clear" w:color="auto" w:fill="E2F0D9"/>
            <w:tcMar>
              <w:top w:w="15" w:type="dxa"/>
              <w:left w:w="108" w:type="dxa"/>
              <w:bottom w:w="0" w:type="dxa"/>
              <w:right w:w="108" w:type="dxa"/>
            </w:tcMar>
            <w:vAlign w:val="center"/>
            <w:hideMark/>
          </w:tcPr>
          <w:p w14:paraId="79F468F6" w14:textId="77777777"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ascii="Calibri" w:eastAsia="Calibri" w:hAnsi="Calibri" w:cs="Times New Roman"/>
                <w:b/>
                <w:bCs/>
                <w:color w:val="000000" w:themeColor="text1"/>
                <w:sz w:val="28"/>
                <w:szCs w:val="28"/>
                <w:lang w:val="en-US"/>
                <w14:ligatures w14:val="none"/>
              </w:rPr>
              <w:t>Total</w:t>
            </w:r>
          </w:p>
        </w:tc>
        <w:tc>
          <w:tcPr>
            <w:tcW w:w="222" w:type="dxa"/>
            <w:tcBorders>
              <w:top w:val="nil"/>
              <w:left w:val="single" w:sz="8" w:space="0" w:color="000000"/>
              <w:bottom w:val="nil"/>
              <w:right w:val="nil"/>
            </w:tcBorders>
            <w:tcMar>
              <w:top w:w="15" w:type="dxa"/>
              <w:left w:w="108" w:type="dxa"/>
              <w:bottom w:w="0" w:type="dxa"/>
              <w:right w:w="108" w:type="dxa"/>
            </w:tcMar>
            <w:vAlign w:val="center"/>
            <w:hideMark/>
          </w:tcPr>
          <w:p w14:paraId="306B959C" w14:textId="77777777" w:rsidR="007B42D3" w:rsidRPr="007B42D3" w:rsidRDefault="007B42D3" w:rsidP="007B42D3">
            <w:pPr>
              <w:spacing w:after="0" w:line="240" w:lineRule="auto"/>
              <w:rPr>
                <w:rFonts w:ascii="Arial" w:eastAsia="Times New Roman" w:hAnsi="Arial" w:cs="Arial"/>
                <w:kern w:val="0"/>
                <w:sz w:val="28"/>
                <w:szCs w:val="28"/>
                <w:lang w:val="en-US"/>
                <w14:ligatures w14:val="none"/>
              </w:rPr>
            </w:pPr>
          </w:p>
        </w:tc>
      </w:tr>
      <w:tr w:rsidR="007B42D3" w:rsidRPr="007B42D3" w14:paraId="3B47C046" w14:textId="77777777" w:rsidTr="001D3EEA">
        <w:trPr>
          <w:trHeight w:val="721"/>
        </w:trPr>
        <w:tc>
          <w:tcPr>
            <w:tcW w:w="28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F3FB89" w14:textId="77777777" w:rsidR="007B42D3" w:rsidRPr="007B42D3" w:rsidRDefault="007B42D3" w:rsidP="007B42D3">
            <w:pPr>
              <w:spacing w:line="276" w:lineRule="auto"/>
              <w:rPr>
                <w:rFonts w:ascii="Arial" w:eastAsia="Times New Roman" w:hAnsi="Arial" w:cs="Arial"/>
                <w:kern w:val="0"/>
                <w:sz w:val="28"/>
                <w:szCs w:val="28"/>
                <w:lang w:val="en-US"/>
                <w14:ligatures w14:val="none"/>
              </w:rPr>
            </w:pPr>
            <w:r w:rsidRPr="007B42D3">
              <w:rPr>
                <w:rFonts w:ascii="Calibri" w:eastAsia="Times New Roman" w:hAnsi="Calibri" w:cs="Calibri"/>
                <w:b/>
                <w:bCs/>
                <w:color w:val="000000"/>
                <w:kern w:val="0"/>
                <w:sz w:val="28"/>
                <w:szCs w:val="28"/>
                <w14:ligatures w14:val="none"/>
              </w:rPr>
              <w:t>Total</w:t>
            </w:r>
          </w:p>
        </w:tc>
        <w:tc>
          <w:tcPr>
            <w:tcW w:w="22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05A00B" w14:textId="77777777"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eastAsia="Times New Roman" w:hAnsi="Calibri" w:cs="Calibri"/>
                <w:b/>
                <w:bCs/>
                <w:color w:val="000000"/>
                <w:kern w:val="0"/>
                <w:sz w:val="28"/>
                <w:szCs w:val="28"/>
                <w14:ligatures w14:val="none"/>
              </w:rPr>
              <w:t>1,324</w:t>
            </w:r>
          </w:p>
        </w:tc>
        <w:tc>
          <w:tcPr>
            <w:tcW w:w="2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D9A7C8" w14:textId="77777777"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eastAsia="Times New Roman" w:hAnsi="Calibri" w:cs="Calibri"/>
                <w:b/>
                <w:bCs/>
                <w:color w:val="000000"/>
                <w:kern w:val="0"/>
                <w:sz w:val="28"/>
                <w:szCs w:val="28"/>
                <w14:ligatures w14:val="none"/>
              </w:rPr>
              <w:t>2,640</w:t>
            </w:r>
          </w:p>
        </w:tc>
        <w:tc>
          <w:tcPr>
            <w:tcW w:w="1678" w:type="dxa"/>
            <w:tcBorders>
              <w:top w:val="single" w:sz="8" w:space="0" w:color="000000"/>
              <w:left w:val="single" w:sz="8" w:space="0" w:color="000000"/>
              <w:bottom w:val="single" w:sz="8" w:space="0" w:color="000000"/>
              <w:right w:val="single" w:sz="8" w:space="0" w:color="000000"/>
            </w:tcBorders>
            <w:shd w:val="clear" w:color="auto" w:fill="E2F0D9"/>
            <w:tcMar>
              <w:top w:w="10" w:type="dxa"/>
              <w:left w:w="10" w:type="dxa"/>
              <w:bottom w:w="0" w:type="dxa"/>
              <w:right w:w="10" w:type="dxa"/>
            </w:tcMar>
            <w:vAlign w:val="center"/>
            <w:hideMark/>
          </w:tcPr>
          <w:p w14:paraId="2A0658B5" w14:textId="496C1813" w:rsidR="007B42D3" w:rsidRPr="007B42D3" w:rsidRDefault="007B42D3" w:rsidP="007B42D3">
            <w:pPr>
              <w:spacing w:after="0" w:line="240" w:lineRule="auto"/>
              <w:jc w:val="center"/>
              <w:textAlignment w:val="bottom"/>
              <w:rPr>
                <w:rFonts w:ascii="Arial" w:eastAsia="Times New Roman" w:hAnsi="Arial" w:cs="Arial"/>
                <w:kern w:val="0"/>
                <w:sz w:val="28"/>
                <w:szCs w:val="28"/>
                <w:lang w:val="en-US"/>
                <w14:ligatures w14:val="none"/>
              </w:rPr>
            </w:pPr>
            <w:r w:rsidRPr="007B42D3">
              <w:rPr>
                <w:rFonts w:eastAsia="Times New Roman" w:hAnsi="Calibri" w:cs="Calibri"/>
                <w:b/>
                <w:bCs/>
                <w:color w:val="000000"/>
                <w:kern w:val="24"/>
                <w:sz w:val="28"/>
                <w:szCs w:val="28"/>
                <w:lang w:val="en-US"/>
                <w14:ligatures w14:val="none"/>
              </w:rPr>
              <w:t>3</w:t>
            </w:r>
            <w:r>
              <w:rPr>
                <w:rFonts w:eastAsia="Times New Roman" w:hAnsi="Calibri" w:cs="Calibri"/>
                <w:b/>
                <w:bCs/>
                <w:color w:val="000000"/>
                <w:kern w:val="24"/>
                <w:sz w:val="28"/>
                <w:szCs w:val="28"/>
                <w:lang w:val="en-US"/>
                <w14:ligatures w14:val="none"/>
              </w:rPr>
              <w:t>,</w:t>
            </w:r>
            <w:r w:rsidRPr="007B42D3">
              <w:rPr>
                <w:rFonts w:eastAsia="Times New Roman" w:hAnsi="Calibri" w:cs="Calibri"/>
                <w:b/>
                <w:bCs/>
                <w:color w:val="000000"/>
                <w:kern w:val="24"/>
                <w:sz w:val="28"/>
                <w:szCs w:val="28"/>
                <w:lang w:val="en-US"/>
                <w14:ligatures w14:val="none"/>
              </w:rPr>
              <w:t>964</w:t>
            </w:r>
          </w:p>
        </w:tc>
        <w:tc>
          <w:tcPr>
            <w:tcW w:w="222" w:type="dxa"/>
            <w:tcBorders>
              <w:top w:val="nil"/>
              <w:left w:val="single" w:sz="8" w:space="0" w:color="000000"/>
              <w:bottom w:val="nil"/>
              <w:right w:val="nil"/>
            </w:tcBorders>
            <w:tcMar>
              <w:top w:w="15" w:type="dxa"/>
              <w:left w:w="108" w:type="dxa"/>
              <w:bottom w:w="0" w:type="dxa"/>
              <w:right w:w="108" w:type="dxa"/>
            </w:tcMar>
            <w:vAlign w:val="center"/>
            <w:hideMark/>
          </w:tcPr>
          <w:p w14:paraId="5085E24F" w14:textId="77777777" w:rsidR="007B42D3" w:rsidRPr="007B42D3" w:rsidRDefault="007B42D3" w:rsidP="007B42D3">
            <w:pPr>
              <w:spacing w:after="0" w:line="240" w:lineRule="auto"/>
              <w:rPr>
                <w:rFonts w:ascii="Arial" w:eastAsia="Times New Roman" w:hAnsi="Arial" w:cs="Arial"/>
                <w:kern w:val="0"/>
                <w:sz w:val="28"/>
                <w:szCs w:val="28"/>
                <w:lang w:val="en-US"/>
                <w14:ligatures w14:val="none"/>
              </w:rPr>
            </w:pPr>
          </w:p>
        </w:tc>
      </w:tr>
    </w:tbl>
    <w:p w14:paraId="00F52F69" w14:textId="30EE1B14" w:rsidR="007B42D3" w:rsidRDefault="007B42D3">
      <w:pPr>
        <w:rPr>
          <w:rFonts w:cstheme="minorHAnsi"/>
        </w:rPr>
      </w:pPr>
    </w:p>
    <w:p w14:paraId="6B468AF0" w14:textId="77777777" w:rsidR="001D3EEA" w:rsidRPr="001D3EEA" w:rsidRDefault="001D3EEA" w:rsidP="001D3EEA">
      <w:pPr>
        <w:rPr>
          <w:rFonts w:cstheme="minorHAnsi"/>
        </w:rPr>
      </w:pPr>
      <w:r w:rsidRPr="001D3EEA">
        <w:rPr>
          <w:rFonts w:cstheme="minorHAnsi"/>
        </w:rPr>
        <w:t>Este incremento evidencia que el acero es uno de los sectores industriales con mayor nivel de intervención en el comercio internacional, reflejando las tensiones estructurales que caracterizan este mercado.</w:t>
      </w:r>
    </w:p>
    <w:p w14:paraId="37891FB2" w14:textId="08BE7BBF" w:rsidR="001D3EEA" w:rsidRPr="001D3EEA" w:rsidRDefault="001D3EEA">
      <w:pPr>
        <w:rPr>
          <w:rFonts w:cstheme="minorHAnsi"/>
        </w:rPr>
      </w:pPr>
      <w:r w:rsidRPr="001D3EEA">
        <w:rPr>
          <w:rFonts w:cstheme="minorHAnsi"/>
        </w:rPr>
        <w:t>Una proporción importante de estas intervenciones está vinculada a medidas que afectan directamente a exportaciones originarias de China. Como se muestra en la Tabla x, un total de 1,221 intervenciones de protección en el sector del acero afectan a China. De estas, 390 intervenciones incluyen específicamente productos de varillas de acero (HS 721420).</w:t>
      </w:r>
    </w:p>
    <w:tbl>
      <w:tblPr>
        <w:tblpPr w:leftFromText="180" w:rightFromText="180" w:vertAnchor="text" w:horzAnchor="margin" w:tblpY="481"/>
        <w:tblW w:w="9290" w:type="dxa"/>
        <w:tblCellMar>
          <w:left w:w="0" w:type="dxa"/>
          <w:right w:w="0" w:type="dxa"/>
        </w:tblCellMar>
        <w:tblLook w:val="04A0" w:firstRow="1" w:lastRow="0" w:firstColumn="1" w:lastColumn="0" w:noHBand="0" w:noVBand="1"/>
      </w:tblPr>
      <w:tblGrid>
        <w:gridCol w:w="3893"/>
        <w:gridCol w:w="1677"/>
        <w:gridCol w:w="1677"/>
        <w:gridCol w:w="1543"/>
        <w:gridCol w:w="500"/>
      </w:tblGrid>
      <w:tr w:rsidR="0054034E" w:rsidRPr="0054034E" w14:paraId="36428E80" w14:textId="77777777" w:rsidTr="0054034E">
        <w:trPr>
          <w:trHeight w:val="321"/>
        </w:trPr>
        <w:tc>
          <w:tcPr>
            <w:tcW w:w="8790" w:type="dxa"/>
            <w:gridSpan w:val="4"/>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614677" w14:textId="683CAE56" w:rsidR="0054034E" w:rsidRPr="0054034E" w:rsidRDefault="0054034E" w:rsidP="0054034E">
            <w:pPr>
              <w:spacing w:after="120" w:line="240" w:lineRule="auto"/>
              <w:jc w:val="center"/>
              <w:rPr>
                <w:rFonts w:ascii="Arial" w:eastAsia="Times New Roman" w:hAnsi="Arial" w:cs="Arial"/>
                <w:kern w:val="0"/>
                <w:sz w:val="22"/>
                <w:szCs w:val="22"/>
                <w14:ligatures w14:val="none"/>
              </w:rPr>
            </w:pPr>
            <w:r w:rsidRPr="0054034E">
              <w:rPr>
                <w:rFonts w:ascii="Calibri" w:eastAsia="Times New Roman" w:hAnsi="Calibri" w:cs="Arial"/>
                <w:b/>
                <w:bCs/>
                <w:color w:val="000000"/>
                <w:sz w:val="22"/>
                <w:szCs w:val="22"/>
                <w14:ligatures w14:val="none"/>
              </w:rPr>
              <w:t>Cantidad Intervenciones de Protección a la Industria del Acero (HS 72)</w:t>
            </w:r>
          </w:p>
          <w:p w14:paraId="7ED8EE63" w14:textId="77777777" w:rsidR="0054034E" w:rsidRPr="0054034E" w:rsidRDefault="0054034E" w:rsidP="0054034E">
            <w:pPr>
              <w:spacing w:after="120" w:line="240" w:lineRule="auto"/>
              <w:jc w:val="center"/>
              <w:rPr>
                <w:rFonts w:ascii="Arial" w:eastAsia="Times New Roman" w:hAnsi="Arial" w:cs="Arial"/>
                <w:kern w:val="0"/>
                <w:sz w:val="22"/>
                <w:szCs w:val="22"/>
                <w14:ligatures w14:val="none"/>
              </w:rPr>
            </w:pPr>
            <w:r w:rsidRPr="0054034E">
              <w:rPr>
                <w:rFonts w:ascii="Calibri" w:eastAsia="Times New Roman" w:hAnsi="Calibri" w:cs="Arial"/>
                <w:b/>
                <w:bCs/>
                <w:color w:val="000000"/>
                <w:sz w:val="22"/>
                <w:szCs w:val="22"/>
                <w14:ligatures w14:val="none"/>
              </w:rPr>
              <w:t>Excluyendo las intervenciones de "Contratación Pública”</w:t>
            </w:r>
          </w:p>
          <w:p w14:paraId="633E3DC7" w14:textId="7AF8FE9E" w:rsidR="0054034E" w:rsidRPr="0054034E" w:rsidRDefault="0054034E" w:rsidP="0054034E">
            <w:pPr>
              <w:spacing w:after="120" w:line="240" w:lineRule="auto"/>
              <w:jc w:val="center"/>
              <w:rPr>
                <w:rFonts w:ascii="Arial" w:eastAsia="Times New Roman" w:hAnsi="Arial" w:cs="Arial"/>
                <w:kern w:val="0"/>
                <w:sz w:val="22"/>
                <w:szCs w:val="22"/>
                <w:lang w:val="en-US"/>
                <w14:ligatures w14:val="none"/>
              </w:rPr>
            </w:pPr>
            <w:r w:rsidRPr="0054034E">
              <w:rPr>
                <w:rFonts w:ascii="Calibri" w:eastAsia="Times New Roman" w:hAnsi="Calibri" w:cs="Arial"/>
                <w:b/>
                <w:bCs/>
                <w:color w:val="000000"/>
                <w:sz w:val="22"/>
                <w:szCs w:val="22"/>
                <w14:ligatures w14:val="none"/>
              </w:rPr>
              <w:t>Análisis Comparativo por periodo</w:t>
            </w:r>
          </w:p>
        </w:tc>
        <w:tc>
          <w:tcPr>
            <w:tcW w:w="500" w:type="dxa"/>
            <w:tcBorders>
              <w:top w:val="nil"/>
              <w:left w:val="single" w:sz="8" w:space="0" w:color="000000"/>
              <w:bottom w:val="nil"/>
              <w:right w:val="nil"/>
            </w:tcBorders>
            <w:tcMar>
              <w:top w:w="15" w:type="dxa"/>
              <w:left w:w="15" w:type="dxa"/>
              <w:bottom w:w="0" w:type="dxa"/>
              <w:right w:w="15" w:type="dxa"/>
            </w:tcMar>
            <w:vAlign w:val="center"/>
            <w:hideMark/>
          </w:tcPr>
          <w:p w14:paraId="65D4F832" w14:textId="3D4CEA63"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p>
        </w:tc>
      </w:tr>
      <w:tr w:rsidR="0054034E" w:rsidRPr="0054034E" w14:paraId="6820B625" w14:textId="77777777" w:rsidTr="0054034E">
        <w:trPr>
          <w:trHeight w:val="585"/>
        </w:trPr>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14:paraId="32619367"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c>
          <w:tcPr>
            <w:tcW w:w="500" w:type="dxa"/>
            <w:tcBorders>
              <w:top w:val="nil"/>
              <w:left w:val="single" w:sz="8" w:space="0" w:color="000000"/>
              <w:bottom w:val="nil"/>
              <w:right w:val="nil"/>
            </w:tcBorders>
            <w:tcMar>
              <w:top w:w="15" w:type="dxa"/>
              <w:left w:w="108" w:type="dxa"/>
              <w:bottom w:w="0" w:type="dxa"/>
              <w:right w:w="108" w:type="dxa"/>
            </w:tcMar>
            <w:vAlign w:val="center"/>
            <w:hideMark/>
          </w:tcPr>
          <w:p w14:paraId="64609428"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r>
      <w:tr w:rsidR="0054034E" w:rsidRPr="0054034E" w14:paraId="2B4CB2A8" w14:textId="77777777" w:rsidTr="0054034E">
        <w:trPr>
          <w:trHeight w:val="380"/>
        </w:trPr>
        <w:tc>
          <w:tcPr>
            <w:tcW w:w="3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F88DB2"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ascii="Calibri" w:eastAsia="Times New Roman" w:hAnsi="Calibri" w:cs="Arial"/>
                <w:b/>
                <w:bCs/>
                <w:color w:val="000000"/>
                <w:sz w:val="22"/>
                <w:szCs w:val="22"/>
                <w14:ligatures w14:val="none"/>
              </w:rPr>
              <w:t>Categoría</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60C0DA"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ascii="Calibri" w:eastAsia="Times New Roman" w:hAnsi="Calibri" w:cs="Arial"/>
                <w:b/>
                <w:bCs/>
                <w:color w:val="000000"/>
                <w:sz w:val="22"/>
                <w:szCs w:val="22"/>
                <w14:ligatures w14:val="none"/>
              </w:rPr>
              <w:t>(2008 - 2017)</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D34736"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ascii="Calibri" w:eastAsia="Times New Roman" w:hAnsi="Calibri" w:cs="Arial"/>
                <w:b/>
                <w:bCs/>
                <w:color w:val="000000"/>
                <w:sz w:val="22"/>
                <w:szCs w:val="22"/>
                <w14:ligatures w14:val="none"/>
              </w:rPr>
              <w:t>(2018 - 2026)</w:t>
            </w:r>
          </w:p>
        </w:tc>
        <w:tc>
          <w:tcPr>
            <w:tcW w:w="1541" w:type="dxa"/>
            <w:tcBorders>
              <w:top w:val="single" w:sz="8" w:space="0" w:color="000000"/>
              <w:left w:val="single" w:sz="8" w:space="0" w:color="000000"/>
              <w:bottom w:val="single" w:sz="8" w:space="0" w:color="000000"/>
              <w:right w:val="single" w:sz="8" w:space="0" w:color="000000"/>
            </w:tcBorders>
            <w:shd w:val="clear" w:color="auto" w:fill="E2F0D9"/>
            <w:tcMar>
              <w:top w:w="15" w:type="dxa"/>
              <w:left w:w="108" w:type="dxa"/>
              <w:bottom w:w="0" w:type="dxa"/>
              <w:right w:w="108" w:type="dxa"/>
            </w:tcMar>
            <w:vAlign w:val="center"/>
            <w:hideMark/>
          </w:tcPr>
          <w:p w14:paraId="4D5F9831"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ascii="Aptos" w:eastAsia="Aptos" w:hAnsi="Aptos" w:cs="Arial"/>
                <w:b/>
                <w:bCs/>
                <w:color w:val="000000" w:themeColor="text1"/>
                <w:sz w:val="22"/>
                <w:szCs w:val="22"/>
                <w14:ligatures w14:val="none"/>
              </w:rPr>
              <w:t>Total</w:t>
            </w:r>
          </w:p>
        </w:tc>
        <w:tc>
          <w:tcPr>
            <w:tcW w:w="500" w:type="dxa"/>
            <w:tcBorders>
              <w:top w:val="nil"/>
              <w:left w:val="single" w:sz="8" w:space="0" w:color="000000"/>
              <w:bottom w:val="nil"/>
              <w:right w:val="nil"/>
            </w:tcBorders>
            <w:tcMar>
              <w:top w:w="15" w:type="dxa"/>
              <w:left w:w="108" w:type="dxa"/>
              <w:bottom w:w="0" w:type="dxa"/>
              <w:right w:w="108" w:type="dxa"/>
            </w:tcMar>
            <w:vAlign w:val="center"/>
            <w:hideMark/>
          </w:tcPr>
          <w:p w14:paraId="675E64C4"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r>
      <w:tr w:rsidR="0054034E" w:rsidRPr="0054034E" w14:paraId="7E4D8BDB" w14:textId="77777777" w:rsidTr="0054034E">
        <w:trPr>
          <w:trHeight w:val="597"/>
        </w:trPr>
        <w:tc>
          <w:tcPr>
            <w:tcW w:w="3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6EAFBF" w14:textId="44E4FB77" w:rsidR="0054034E" w:rsidRPr="0054034E" w:rsidRDefault="0054034E" w:rsidP="0054034E">
            <w:pPr>
              <w:spacing w:after="200" w:line="276" w:lineRule="auto"/>
              <w:jc w:val="center"/>
              <w:rPr>
                <w:rFonts w:ascii="Arial" w:eastAsia="Times New Roman" w:hAnsi="Arial" w:cs="Arial"/>
                <w:kern w:val="0"/>
                <w:sz w:val="22"/>
                <w:szCs w:val="22"/>
                <w14:ligatures w14:val="none"/>
              </w:rPr>
            </w:pPr>
            <w:r w:rsidRPr="0054034E">
              <w:rPr>
                <w:rFonts w:ascii="Calibri" w:eastAsia="Times New Roman" w:hAnsi="Calibri" w:cs="Arial"/>
                <w:color w:val="000000"/>
                <w:sz w:val="22"/>
                <w:szCs w:val="22"/>
                <w14:ligatures w14:val="none"/>
              </w:rPr>
              <w:lastRenderedPageBreak/>
              <w:t xml:space="preserve">Intervenciones de protección </w:t>
            </w:r>
            <w:r>
              <w:rPr>
                <w:rFonts w:ascii="Calibri" w:eastAsia="Times New Roman" w:hAnsi="Calibri" w:cs="Arial"/>
                <w:color w:val="000000"/>
                <w:sz w:val="22"/>
                <w:szCs w:val="22"/>
                <w14:ligatures w14:val="none"/>
              </w:rPr>
              <w:t>que afectan</w:t>
            </w:r>
            <w:r w:rsidRPr="0054034E">
              <w:rPr>
                <w:rFonts w:ascii="Calibri" w:eastAsia="Times New Roman" w:hAnsi="Calibri" w:cs="Arial"/>
                <w:color w:val="000000"/>
                <w:sz w:val="22"/>
                <w:szCs w:val="22"/>
                <w14:ligatures w14:val="none"/>
              </w:rPr>
              <w:t xml:space="preserve"> a </w:t>
            </w:r>
            <w:r>
              <w:rPr>
                <w:rFonts w:ascii="Calibri" w:eastAsia="Times New Roman" w:hAnsi="Calibri" w:cs="Arial"/>
                <w:color w:val="000000"/>
                <w:sz w:val="22"/>
                <w:szCs w:val="22"/>
                <w14:ligatures w14:val="none"/>
              </w:rPr>
              <w:t xml:space="preserve">China </w:t>
            </w:r>
            <w:r w:rsidRPr="0054034E">
              <w:rPr>
                <w:rFonts w:ascii="Calibri" w:eastAsia="Times New Roman" w:hAnsi="Calibri" w:cs="Arial"/>
                <w:color w:val="000000"/>
                <w:sz w:val="22"/>
                <w:szCs w:val="22"/>
                <w14:ligatures w14:val="none"/>
              </w:rPr>
              <w:t>industria Acero (HS72)</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590EA1"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Times New Roman" w:hAnsi="Calibri" w:cs="Arial"/>
                <w:color w:val="000000"/>
                <w:sz w:val="22"/>
                <w:szCs w:val="22"/>
                <w14:ligatures w14:val="none"/>
              </w:rPr>
              <w:t>550</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92DA9B"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Aptos" w:hAnsi="Calibri" w:cs="Arial"/>
                <w:color w:val="000000"/>
                <w:sz w:val="22"/>
                <w:szCs w:val="22"/>
                <w14:ligatures w14:val="none"/>
              </w:rPr>
              <w:t>671</w:t>
            </w:r>
          </w:p>
        </w:tc>
        <w:tc>
          <w:tcPr>
            <w:tcW w:w="1541" w:type="dxa"/>
            <w:tcBorders>
              <w:top w:val="single" w:sz="8" w:space="0" w:color="000000"/>
              <w:left w:val="single" w:sz="8" w:space="0" w:color="000000"/>
              <w:bottom w:val="single" w:sz="8" w:space="0" w:color="000000"/>
              <w:right w:val="single" w:sz="8" w:space="0" w:color="000000"/>
            </w:tcBorders>
            <w:shd w:val="clear" w:color="auto" w:fill="E2F0D9"/>
            <w:tcMar>
              <w:top w:w="10" w:type="dxa"/>
              <w:left w:w="10" w:type="dxa"/>
              <w:bottom w:w="0" w:type="dxa"/>
              <w:right w:w="10" w:type="dxa"/>
            </w:tcMar>
            <w:vAlign w:val="center"/>
            <w:hideMark/>
          </w:tcPr>
          <w:p w14:paraId="74D934E9" w14:textId="0D29A23D" w:rsidR="0054034E" w:rsidRPr="0054034E" w:rsidRDefault="0054034E" w:rsidP="0054034E">
            <w:pPr>
              <w:spacing w:after="0" w:line="240" w:lineRule="auto"/>
              <w:jc w:val="center"/>
              <w:textAlignment w:val="bottom"/>
              <w:rPr>
                <w:rFonts w:ascii="Arial" w:eastAsia="Times New Roman" w:hAnsi="Arial" w:cs="Arial"/>
                <w:kern w:val="0"/>
                <w:sz w:val="22"/>
                <w:szCs w:val="22"/>
                <w:lang w:val="en-US"/>
                <w14:ligatures w14:val="none"/>
              </w:rPr>
            </w:pPr>
            <w:r w:rsidRPr="0054034E">
              <w:rPr>
                <w:rFonts w:eastAsia="Times New Roman" w:hAnsi="Calibri" w:cs="Calibri"/>
                <w:color w:val="000000"/>
                <w:kern w:val="24"/>
                <w:sz w:val="22"/>
                <w:szCs w:val="22"/>
                <w14:ligatures w14:val="none"/>
              </w:rPr>
              <w:t>1,221</w:t>
            </w:r>
          </w:p>
        </w:tc>
        <w:tc>
          <w:tcPr>
            <w:tcW w:w="500" w:type="dxa"/>
            <w:tcBorders>
              <w:top w:val="nil"/>
              <w:left w:val="single" w:sz="8" w:space="0" w:color="000000"/>
              <w:bottom w:val="nil"/>
              <w:right w:val="nil"/>
            </w:tcBorders>
            <w:tcMar>
              <w:top w:w="15" w:type="dxa"/>
              <w:left w:w="108" w:type="dxa"/>
              <w:bottom w:w="0" w:type="dxa"/>
              <w:right w:w="108" w:type="dxa"/>
            </w:tcMar>
            <w:vAlign w:val="center"/>
            <w:hideMark/>
          </w:tcPr>
          <w:p w14:paraId="4BCFCF39"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r>
      <w:tr w:rsidR="0054034E" w:rsidRPr="0054034E" w14:paraId="682D7BC3" w14:textId="77777777" w:rsidTr="0054034E">
        <w:trPr>
          <w:trHeight w:val="712"/>
        </w:trPr>
        <w:tc>
          <w:tcPr>
            <w:tcW w:w="3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FB3BB4" w14:textId="071CDF88" w:rsidR="0054034E" w:rsidRPr="0054034E" w:rsidRDefault="0054034E" w:rsidP="0054034E">
            <w:pPr>
              <w:spacing w:after="200" w:line="276" w:lineRule="auto"/>
              <w:jc w:val="center"/>
              <w:rPr>
                <w:rFonts w:ascii="Arial" w:eastAsia="Times New Roman" w:hAnsi="Arial" w:cs="Arial"/>
                <w:kern w:val="0"/>
                <w:sz w:val="22"/>
                <w:szCs w:val="22"/>
                <w14:ligatures w14:val="none"/>
              </w:rPr>
            </w:pPr>
            <w:r w:rsidRPr="0054034E">
              <w:rPr>
                <w:rFonts w:ascii="Calibri" w:eastAsia="Times New Roman" w:hAnsi="Calibri" w:cs="Arial"/>
                <w:color w:val="000000"/>
                <w:sz w:val="22"/>
                <w:szCs w:val="22"/>
                <w14:ligatures w14:val="none"/>
              </w:rPr>
              <w:t xml:space="preserve">Intervenciones de protección </w:t>
            </w:r>
            <w:r>
              <w:rPr>
                <w:rFonts w:ascii="Calibri" w:eastAsia="Times New Roman" w:hAnsi="Calibri" w:cs="Arial"/>
                <w:color w:val="000000"/>
                <w:sz w:val="22"/>
                <w:szCs w:val="22"/>
                <w14:ligatures w14:val="none"/>
              </w:rPr>
              <w:t>que afectan</w:t>
            </w:r>
            <w:r w:rsidRPr="0054034E">
              <w:rPr>
                <w:rFonts w:ascii="Calibri" w:eastAsia="Times New Roman" w:hAnsi="Calibri" w:cs="Arial"/>
                <w:color w:val="000000"/>
                <w:sz w:val="22"/>
                <w:szCs w:val="22"/>
                <w14:ligatures w14:val="none"/>
              </w:rPr>
              <w:t xml:space="preserve"> a </w:t>
            </w:r>
            <w:r>
              <w:rPr>
                <w:rFonts w:ascii="Calibri" w:eastAsia="Times New Roman" w:hAnsi="Calibri" w:cs="Arial"/>
                <w:color w:val="000000"/>
                <w:sz w:val="22"/>
                <w:szCs w:val="22"/>
                <w14:ligatures w14:val="none"/>
              </w:rPr>
              <w:t xml:space="preserve">China </w:t>
            </w:r>
            <w:r w:rsidRPr="0054034E">
              <w:rPr>
                <w:rFonts w:ascii="Calibri" w:eastAsia="Times New Roman" w:hAnsi="Calibri" w:cs="Arial"/>
                <w:color w:val="000000"/>
                <w:sz w:val="22"/>
                <w:szCs w:val="22"/>
                <w14:ligatures w14:val="none"/>
              </w:rPr>
              <w:t xml:space="preserve">e incluyen </w:t>
            </w:r>
            <w:r w:rsidRPr="0054034E">
              <w:rPr>
                <w:rFonts w:ascii="Calibri" w:eastAsia="Times New Roman" w:hAnsi="Calibri" w:cs="Arial"/>
                <w:b/>
                <w:bCs/>
                <w:color w:val="000000"/>
                <w:sz w:val="22"/>
                <w:szCs w:val="22"/>
                <w14:ligatures w14:val="none"/>
              </w:rPr>
              <w:t xml:space="preserve">varillas </w:t>
            </w:r>
            <w:r w:rsidRPr="0054034E">
              <w:rPr>
                <w:rFonts w:ascii="Calibri" w:eastAsia="Times New Roman" w:hAnsi="Calibri" w:cs="Arial"/>
                <w:color w:val="000000"/>
                <w:sz w:val="22"/>
                <w:szCs w:val="22"/>
                <w14:ligatures w14:val="none"/>
              </w:rPr>
              <w:t>(HS 721420)</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2E5F00"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Times New Roman" w:hAnsi="Calibri" w:cs="Arial"/>
                <w:color w:val="000000"/>
                <w:sz w:val="22"/>
                <w:szCs w:val="22"/>
                <w14:ligatures w14:val="none"/>
              </w:rPr>
              <w:t>207</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FF7184"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Times New Roman" w:hAnsi="Calibri" w:cs="Arial"/>
                <w:color w:val="000000"/>
                <w:sz w:val="22"/>
                <w:szCs w:val="22"/>
                <w14:ligatures w14:val="none"/>
              </w:rPr>
              <w:t>183</w:t>
            </w:r>
          </w:p>
        </w:tc>
        <w:tc>
          <w:tcPr>
            <w:tcW w:w="1541" w:type="dxa"/>
            <w:tcBorders>
              <w:top w:val="single" w:sz="8" w:space="0" w:color="000000"/>
              <w:left w:val="single" w:sz="8" w:space="0" w:color="000000"/>
              <w:bottom w:val="single" w:sz="8" w:space="0" w:color="000000"/>
              <w:right w:val="single" w:sz="8" w:space="0" w:color="000000"/>
            </w:tcBorders>
            <w:shd w:val="clear" w:color="auto" w:fill="E2F0D9"/>
            <w:tcMar>
              <w:top w:w="10" w:type="dxa"/>
              <w:left w:w="10" w:type="dxa"/>
              <w:bottom w:w="0" w:type="dxa"/>
              <w:right w:w="10" w:type="dxa"/>
            </w:tcMar>
            <w:vAlign w:val="center"/>
            <w:hideMark/>
          </w:tcPr>
          <w:p w14:paraId="1FB2D216" w14:textId="2322AB0A" w:rsidR="0054034E" w:rsidRPr="0054034E" w:rsidRDefault="0054034E" w:rsidP="0054034E">
            <w:pPr>
              <w:spacing w:after="0" w:line="240" w:lineRule="auto"/>
              <w:jc w:val="center"/>
              <w:textAlignment w:val="bottom"/>
              <w:rPr>
                <w:rFonts w:ascii="Arial" w:eastAsia="Times New Roman" w:hAnsi="Arial" w:cs="Arial"/>
                <w:kern w:val="0"/>
                <w:sz w:val="22"/>
                <w:szCs w:val="22"/>
                <w:lang w:val="en-US"/>
                <w14:ligatures w14:val="none"/>
              </w:rPr>
            </w:pPr>
            <w:r w:rsidRPr="0054034E">
              <w:rPr>
                <w:rFonts w:eastAsia="Times New Roman" w:hAnsi="Calibri" w:cs="Calibri"/>
                <w:color w:val="000000"/>
                <w:kern w:val="24"/>
                <w:sz w:val="22"/>
                <w:szCs w:val="22"/>
                <w14:ligatures w14:val="none"/>
              </w:rPr>
              <w:t>390</w:t>
            </w:r>
          </w:p>
        </w:tc>
        <w:tc>
          <w:tcPr>
            <w:tcW w:w="500" w:type="dxa"/>
            <w:tcBorders>
              <w:top w:val="nil"/>
              <w:left w:val="single" w:sz="8" w:space="0" w:color="000000"/>
              <w:bottom w:val="nil"/>
              <w:right w:val="nil"/>
            </w:tcBorders>
            <w:tcMar>
              <w:top w:w="15" w:type="dxa"/>
              <w:left w:w="108" w:type="dxa"/>
              <w:bottom w:w="0" w:type="dxa"/>
              <w:right w:w="108" w:type="dxa"/>
            </w:tcMar>
            <w:vAlign w:val="center"/>
            <w:hideMark/>
          </w:tcPr>
          <w:p w14:paraId="2A325682"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r>
      <w:tr w:rsidR="0054034E" w:rsidRPr="0054034E" w14:paraId="4D63C4F2" w14:textId="77777777" w:rsidTr="0054034E">
        <w:trPr>
          <w:trHeight w:val="953"/>
        </w:trPr>
        <w:tc>
          <w:tcPr>
            <w:tcW w:w="3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F1CD12" w14:textId="37865315" w:rsidR="0054034E" w:rsidRPr="0054034E" w:rsidRDefault="0054034E" w:rsidP="0054034E">
            <w:pPr>
              <w:spacing w:after="200" w:line="276" w:lineRule="auto"/>
              <w:jc w:val="center"/>
              <w:rPr>
                <w:rFonts w:ascii="Arial" w:eastAsia="Times New Roman" w:hAnsi="Arial" w:cs="Arial"/>
                <w:kern w:val="0"/>
                <w:sz w:val="22"/>
                <w:szCs w:val="22"/>
                <w14:ligatures w14:val="none"/>
              </w:rPr>
            </w:pPr>
            <w:r w:rsidRPr="0054034E">
              <w:rPr>
                <w:rFonts w:ascii="Calibri" w:eastAsia="Times New Roman" w:hAnsi="Calibri" w:cs="Arial"/>
                <w:color w:val="000000"/>
                <w:sz w:val="22"/>
                <w:szCs w:val="22"/>
                <w14:ligatures w14:val="none"/>
              </w:rPr>
              <w:t xml:space="preserve">Intervenciones de protección </w:t>
            </w:r>
            <w:r>
              <w:rPr>
                <w:rFonts w:ascii="Calibri" w:eastAsia="Times New Roman" w:hAnsi="Calibri" w:cs="Arial"/>
                <w:color w:val="000000"/>
                <w:sz w:val="22"/>
                <w:szCs w:val="22"/>
                <w14:ligatures w14:val="none"/>
              </w:rPr>
              <w:t xml:space="preserve">que afectan a China </w:t>
            </w:r>
            <w:r w:rsidRPr="0054034E">
              <w:rPr>
                <w:rFonts w:ascii="Calibri" w:eastAsia="Times New Roman" w:hAnsi="Calibri" w:cs="Arial"/>
                <w:color w:val="000000"/>
                <w:sz w:val="22"/>
                <w:szCs w:val="22"/>
                <w14:ligatures w14:val="none"/>
              </w:rPr>
              <w:t xml:space="preserve">que incluyen </w:t>
            </w:r>
            <w:r w:rsidRPr="0054034E">
              <w:rPr>
                <w:rFonts w:ascii="Calibri" w:eastAsia="Times New Roman" w:hAnsi="Calibri" w:cs="Arial"/>
                <w:b/>
                <w:bCs/>
                <w:color w:val="000000"/>
                <w:sz w:val="22"/>
                <w:szCs w:val="22"/>
                <w14:ligatures w14:val="none"/>
              </w:rPr>
              <w:t>varillas</w:t>
            </w:r>
            <w:r w:rsidRPr="0054034E">
              <w:rPr>
                <w:rFonts w:ascii="Calibri" w:eastAsia="Times New Roman" w:hAnsi="Calibri" w:cs="Arial"/>
                <w:color w:val="000000"/>
                <w:sz w:val="22"/>
                <w:szCs w:val="22"/>
                <w14:ligatures w14:val="none"/>
              </w:rPr>
              <w:t xml:space="preserve"> (HS 721420) </w:t>
            </w:r>
            <w:r>
              <w:rPr>
                <w:rFonts w:ascii="Calibri" w:eastAsia="Times New Roman" w:hAnsi="Calibri" w:cs="Arial"/>
                <w:b/>
                <w:bCs/>
                <w:color w:val="000000"/>
                <w:sz w:val="22"/>
                <w:szCs w:val="22"/>
                <w14:ligatures w14:val="none"/>
              </w:rPr>
              <w:t>y</w:t>
            </w:r>
            <w:r w:rsidRPr="0054034E">
              <w:rPr>
                <w:rFonts w:ascii="Calibri" w:eastAsia="Times New Roman" w:hAnsi="Calibri" w:cs="Arial"/>
                <w:b/>
                <w:bCs/>
                <w:color w:val="000000"/>
                <w:sz w:val="22"/>
                <w:szCs w:val="22"/>
                <w14:ligatures w14:val="none"/>
              </w:rPr>
              <w:t xml:space="preserve"> siguen vigentes</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54EE39"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Times New Roman" w:hAnsi="Calibri" w:cs="Arial"/>
                <w:color w:val="000000"/>
                <w:sz w:val="22"/>
                <w:szCs w:val="22"/>
                <w14:ligatures w14:val="none"/>
              </w:rPr>
              <w:t>141</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43F3DE"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Times New Roman" w:hAnsi="Calibri" w:cs="Arial"/>
                <w:color w:val="000000"/>
                <w:sz w:val="22"/>
                <w:szCs w:val="22"/>
                <w14:ligatures w14:val="none"/>
              </w:rPr>
              <w:t>107</w:t>
            </w:r>
          </w:p>
        </w:tc>
        <w:tc>
          <w:tcPr>
            <w:tcW w:w="1541" w:type="dxa"/>
            <w:tcBorders>
              <w:top w:val="single" w:sz="8" w:space="0" w:color="000000"/>
              <w:left w:val="single" w:sz="8" w:space="0" w:color="000000"/>
              <w:bottom w:val="single" w:sz="8" w:space="0" w:color="000000"/>
              <w:right w:val="single" w:sz="8" w:space="0" w:color="000000"/>
            </w:tcBorders>
            <w:shd w:val="clear" w:color="auto" w:fill="E2F0D9"/>
            <w:tcMar>
              <w:top w:w="10" w:type="dxa"/>
              <w:left w:w="10" w:type="dxa"/>
              <w:bottom w:w="0" w:type="dxa"/>
              <w:right w:w="10" w:type="dxa"/>
            </w:tcMar>
            <w:vAlign w:val="center"/>
            <w:hideMark/>
          </w:tcPr>
          <w:p w14:paraId="78EF92D1" w14:textId="524D9F49" w:rsidR="0054034E" w:rsidRPr="0054034E" w:rsidRDefault="0054034E" w:rsidP="0054034E">
            <w:pPr>
              <w:spacing w:after="0" w:line="240" w:lineRule="auto"/>
              <w:jc w:val="center"/>
              <w:textAlignment w:val="bottom"/>
              <w:rPr>
                <w:rFonts w:ascii="Arial" w:eastAsia="Times New Roman" w:hAnsi="Arial" w:cs="Arial"/>
                <w:kern w:val="0"/>
                <w:sz w:val="22"/>
                <w:szCs w:val="22"/>
                <w:lang w:val="en-US"/>
                <w14:ligatures w14:val="none"/>
              </w:rPr>
            </w:pPr>
            <w:r w:rsidRPr="0054034E">
              <w:rPr>
                <w:rFonts w:eastAsia="Times New Roman" w:hAnsi="Calibri" w:cs="Calibri"/>
                <w:color w:val="000000"/>
                <w:kern w:val="24"/>
                <w:sz w:val="22"/>
                <w:szCs w:val="22"/>
                <w14:ligatures w14:val="none"/>
              </w:rPr>
              <w:t>248</w:t>
            </w:r>
          </w:p>
        </w:tc>
        <w:tc>
          <w:tcPr>
            <w:tcW w:w="500" w:type="dxa"/>
            <w:tcBorders>
              <w:top w:val="nil"/>
              <w:left w:val="single" w:sz="8" w:space="0" w:color="000000"/>
              <w:bottom w:val="nil"/>
              <w:right w:val="nil"/>
            </w:tcBorders>
            <w:tcMar>
              <w:top w:w="15" w:type="dxa"/>
              <w:left w:w="108" w:type="dxa"/>
              <w:bottom w:w="0" w:type="dxa"/>
              <w:right w:w="108" w:type="dxa"/>
            </w:tcMar>
            <w:vAlign w:val="center"/>
            <w:hideMark/>
          </w:tcPr>
          <w:p w14:paraId="19E04FD8"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r>
    </w:tbl>
    <w:p w14:paraId="26A9B8B4" w14:textId="77777777" w:rsidR="0054034E" w:rsidRDefault="0054034E">
      <w:pPr>
        <w:rPr>
          <w:rFonts w:cstheme="minorHAnsi"/>
        </w:rPr>
      </w:pPr>
    </w:p>
    <w:p w14:paraId="01B4E49D" w14:textId="77777777" w:rsidR="007B42D3" w:rsidRDefault="007B42D3">
      <w:pPr>
        <w:rPr>
          <w:rFonts w:cstheme="minorHAnsi"/>
        </w:rPr>
      </w:pPr>
    </w:p>
    <w:p w14:paraId="1B206E15" w14:textId="77777777" w:rsidR="001D3EEA" w:rsidRPr="001D3EEA" w:rsidRDefault="001D3EEA" w:rsidP="001D3EEA">
      <w:pPr>
        <w:rPr>
          <w:rFonts w:cstheme="minorHAnsi"/>
        </w:rPr>
      </w:pPr>
      <w:r w:rsidRPr="001D3EEA">
        <w:rPr>
          <w:rFonts w:cstheme="minorHAnsi"/>
        </w:rPr>
        <w:t>Asimismo, 248 de estas intervenciones relacionadas con varillas de acero continúan vigentes, lo que demuestra que las preocupaciones internacionales respecto a las condiciones de competencia en este mercado persisten en el tiempo.</w:t>
      </w:r>
    </w:p>
    <w:p w14:paraId="7D20EE50" w14:textId="17504B0D" w:rsidR="00A3023A" w:rsidRPr="00A3023A" w:rsidRDefault="001D3EEA" w:rsidP="00A3023A">
      <w:pPr>
        <w:rPr>
          <w:rFonts w:cstheme="minorHAnsi"/>
        </w:rPr>
      </w:pPr>
      <w:r w:rsidRPr="001D3EEA">
        <w:rPr>
          <w:rFonts w:cstheme="minorHAnsi"/>
        </w:rPr>
        <w:t>El patrón descrito se confirma al analizar la evolución histórica de las medidas antidumping aplicadas en el sector del hierro y el acero a nivel mundial. Como se observa en la Tabla x, desde 2008 se han implementado 357 medidas antidumping que continúan vigentes en este sector, de las cuales 193, equivalentes al 54% del total, involucran a China.</w:t>
      </w:r>
    </w:p>
    <w:p w14:paraId="75B4246A" w14:textId="4D317BBD" w:rsidR="000564FB" w:rsidRPr="00A00EF0" w:rsidRDefault="000564FB" w:rsidP="009F6D65">
      <w:pPr>
        <w:rPr>
          <w:rFonts w:cstheme="minorHAnsi"/>
          <w:b/>
          <w:bCs/>
          <w:sz w:val="22"/>
          <w:szCs w:val="22"/>
        </w:rPr>
      </w:pPr>
      <w:r w:rsidRPr="00A00EF0">
        <w:rPr>
          <w:rFonts w:cstheme="minorHAnsi"/>
          <w:b/>
          <w:bCs/>
          <w:sz w:val="22"/>
          <w:szCs w:val="22"/>
        </w:rPr>
        <w:t xml:space="preserve">Tabla </w:t>
      </w:r>
      <w:r w:rsidR="008F4F7E">
        <w:rPr>
          <w:rFonts w:cstheme="minorHAnsi"/>
          <w:b/>
          <w:bCs/>
          <w:sz w:val="22"/>
          <w:szCs w:val="22"/>
        </w:rPr>
        <w:t>3</w:t>
      </w:r>
      <w:r w:rsidRPr="00A00EF0">
        <w:rPr>
          <w:rFonts w:cstheme="minorHAnsi"/>
          <w:b/>
          <w:bCs/>
          <w:sz w:val="22"/>
          <w:szCs w:val="22"/>
        </w:rPr>
        <w:t>. Cantidad de medidas antidumping vigentes, según año de implementación para el sector de Hierro y Acero</w:t>
      </w:r>
    </w:p>
    <w:tbl>
      <w:tblPr>
        <w:tblW w:w="5380" w:type="dxa"/>
        <w:jc w:val="center"/>
        <w:tblLook w:val="04A0" w:firstRow="1" w:lastRow="0" w:firstColumn="1" w:lastColumn="0" w:noHBand="0" w:noVBand="1"/>
      </w:tblPr>
      <w:tblGrid>
        <w:gridCol w:w="971"/>
        <w:gridCol w:w="1357"/>
        <w:gridCol w:w="1066"/>
        <w:gridCol w:w="1986"/>
      </w:tblGrid>
      <w:tr w:rsidR="000564FB" w:rsidRPr="000564FB" w14:paraId="254720B5" w14:textId="77777777" w:rsidTr="000564FB">
        <w:trPr>
          <w:trHeight w:val="945"/>
          <w:jc w:val="center"/>
        </w:trPr>
        <w:tc>
          <w:tcPr>
            <w:tcW w:w="5380" w:type="dxa"/>
            <w:gridSpan w:val="4"/>
            <w:tcBorders>
              <w:top w:val="nil"/>
              <w:left w:val="nil"/>
              <w:bottom w:val="nil"/>
              <w:right w:val="nil"/>
            </w:tcBorders>
            <w:shd w:val="clear" w:color="000000" w:fill="3E7D7E"/>
            <w:vAlign w:val="center"/>
            <w:hideMark/>
          </w:tcPr>
          <w:p w14:paraId="510AC57D" w14:textId="0947D1F0" w:rsidR="000564FB" w:rsidRPr="000564FB" w:rsidRDefault="000564FB" w:rsidP="000564FB">
            <w:pPr>
              <w:spacing w:after="0" w:line="240" w:lineRule="auto"/>
              <w:jc w:val="center"/>
              <w:rPr>
                <w:rFonts w:eastAsia="Times New Roman" w:cstheme="minorHAnsi"/>
                <w:b/>
                <w:bCs/>
                <w:color w:val="FFFFFF"/>
                <w:kern w:val="0"/>
                <w:sz w:val="22"/>
                <w:szCs w:val="22"/>
                <w:highlight w:val="yellow"/>
                <w14:ligatures w14:val="none"/>
              </w:rPr>
            </w:pPr>
            <w:r w:rsidRPr="00E45D24">
              <w:rPr>
                <w:rFonts w:eastAsia="Times New Roman" w:cstheme="minorHAnsi"/>
                <w:b/>
                <w:bCs/>
                <w:color w:val="FFFFFF"/>
                <w:kern w:val="0"/>
                <w:sz w:val="22"/>
                <w:szCs w:val="22"/>
                <w14:ligatures w14:val="none"/>
              </w:rPr>
              <w:t>Cantidad de medidas antidumping activas por año de implementación para el sector de Hierro y Acero</w:t>
            </w:r>
          </w:p>
        </w:tc>
      </w:tr>
      <w:tr w:rsidR="000564FB" w:rsidRPr="000564FB" w14:paraId="7242072D" w14:textId="77777777" w:rsidTr="000564FB">
        <w:trPr>
          <w:trHeight w:val="300"/>
          <w:jc w:val="center"/>
        </w:trPr>
        <w:tc>
          <w:tcPr>
            <w:tcW w:w="971" w:type="dxa"/>
            <w:tcBorders>
              <w:top w:val="nil"/>
              <w:left w:val="nil"/>
              <w:bottom w:val="single" w:sz="4" w:space="0" w:color="auto"/>
              <w:right w:val="nil"/>
            </w:tcBorders>
            <w:noWrap/>
            <w:vAlign w:val="bottom"/>
            <w:hideMark/>
          </w:tcPr>
          <w:p w14:paraId="34BE807E"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Año</w:t>
            </w:r>
          </w:p>
        </w:tc>
        <w:tc>
          <w:tcPr>
            <w:tcW w:w="1357" w:type="dxa"/>
            <w:tcBorders>
              <w:top w:val="nil"/>
              <w:left w:val="nil"/>
              <w:bottom w:val="single" w:sz="4" w:space="0" w:color="auto"/>
              <w:right w:val="nil"/>
            </w:tcBorders>
            <w:noWrap/>
            <w:vAlign w:val="bottom"/>
            <w:hideMark/>
          </w:tcPr>
          <w:p w14:paraId="0B543938"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Mundo</w:t>
            </w:r>
          </w:p>
        </w:tc>
        <w:tc>
          <w:tcPr>
            <w:tcW w:w="1066" w:type="dxa"/>
            <w:tcBorders>
              <w:top w:val="nil"/>
              <w:left w:val="nil"/>
              <w:bottom w:val="single" w:sz="4" w:space="0" w:color="auto"/>
              <w:right w:val="nil"/>
            </w:tcBorders>
            <w:noWrap/>
            <w:vAlign w:val="bottom"/>
            <w:hideMark/>
          </w:tcPr>
          <w:p w14:paraId="3923CBD9"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China</w:t>
            </w:r>
          </w:p>
        </w:tc>
        <w:tc>
          <w:tcPr>
            <w:tcW w:w="1986" w:type="dxa"/>
            <w:tcBorders>
              <w:top w:val="nil"/>
              <w:left w:val="nil"/>
              <w:bottom w:val="single" w:sz="4" w:space="0" w:color="auto"/>
              <w:right w:val="nil"/>
            </w:tcBorders>
            <w:noWrap/>
            <w:vAlign w:val="bottom"/>
            <w:hideMark/>
          </w:tcPr>
          <w:p w14:paraId="2D5007A5"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Porcentaje</w:t>
            </w:r>
          </w:p>
        </w:tc>
      </w:tr>
      <w:tr w:rsidR="00E45D24" w:rsidRPr="000564FB" w14:paraId="549550D5" w14:textId="77777777" w:rsidTr="000564FB">
        <w:trPr>
          <w:trHeight w:val="300"/>
          <w:jc w:val="center"/>
        </w:trPr>
        <w:tc>
          <w:tcPr>
            <w:tcW w:w="971" w:type="dxa"/>
            <w:tcBorders>
              <w:top w:val="nil"/>
              <w:left w:val="nil"/>
              <w:bottom w:val="nil"/>
              <w:right w:val="nil"/>
            </w:tcBorders>
            <w:noWrap/>
            <w:vAlign w:val="bottom"/>
            <w:hideMark/>
          </w:tcPr>
          <w:p w14:paraId="6A1A3910"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2008</w:t>
            </w:r>
          </w:p>
        </w:tc>
        <w:tc>
          <w:tcPr>
            <w:tcW w:w="1357" w:type="dxa"/>
            <w:tcBorders>
              <w:top w:val="nil"/>
              <w:left w:val="nil"/>
              <w:bottom w:val="nil"/>
              <w:right w:val="nil"/>
            </w:tcBorders>
            <w:noWrap/>
            <w:vAlign w:val="bottom"/>
            <w:hideMark/>
          </w:tcPr>
          <w:p w14:paraId="0B0C146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w:t>
            </w:r>
          </w:p>
        </w:tc>
        <w:tc>
          <w:tcPr>
            <w:tcW w:w="1066" w:type="dxa"/>
            <w:tcBorders>
              <w:top w:val="nil"/>
              <w:left w:val="nil"/>
              <w:bottom w:val="nil"/>
              <w:right w:val="nil"/>
            </w:tcBorders>
            <w:noWrap/>
            <w:vAlign w:val="bottom"/>
            <w:hideMark/>
          </w:tcPr>
          <w:p w14:paraId="69784581" w14:textId="2FBDB094"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3</w:t>
            </w:r>
          </w:p>
        </w:tc>
        <w:tc>
          <w:tcPr>
            <w:tcW w:w="1986" w:type="dxa"/>
            <w:tcBorders>
              <w:top w:val="nil"/>
              <w:left w:val="nil"/>
              <w:bottom w:val="nil"/>
              <w:right w:val="nil"/>
            </w:tcBorders>
            <w:noWrap/>
            <w:vAlign w:val="bottom"/>
            <w:hideMark/>
          </w:tcPr>
          <w:p w14:paraId="460F50A3"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75%</w:t>
            </w:r>
          </w:p>
        </w:tc>
      </w:tr>
      <w:tr w:rsidR="00E45D24" w:rsidRPr="000564FB" w14:paraId="7477D774"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7F4AF07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2009</w:t>
            </w:r>
          </w:p>
        </w:tc>
        <w:tc>
          <w:tcPr>
            <w:tcW w:w="1357" w:type="dxa"/>
            <w:tcBorders>
              <w:top w:val="nil"/>
              <w:left w:val="nil"/>
              <w:bottom w:val="nil"/>
              <w:right w:val="nil"/>
            </w:tcBorders>
            <w:shd w:val="clear" w:color="000000" w:fill="ACD3C4"/>
            <w:noWrap/>
            <w:vAlign w:val="bottom"/>
            <w:hideMark/>
          </w:tcPr>
          <w:p w14:paraId="78F8E7F0"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13</w:t>
            </w:r>
          </w:p>
        </w:tc>
        <w:tc>
          <w:tcPr>
            <w:tcW w:w="1066" w:type="dxa"/>
            <w:tcBorders>
              <w:top w:val="nil"/>
              <w:left w:val="nil"/>
              <w:bottom w:val="nil"/>
              <w:right w:val="nil"/>
            </w:tcBorders>
            <w:shd w:val="clear" w:color="000000" w:fill="ACD3C4"/>
            <w:noWrap/>
            <w:vAlign w:val="bottom"/>
            <w:hideMark/>
          </w:tcPr>
          <w:p w14:paraId="7FE6DE31" w14:textId="7FFD9008"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9</w:t>
            </w:r>
          </w:p>
        </w:tc>
        <w:tc>
          <w:tcPr>
            <w:tcW w:w="1986" w:type="dxa"/>
            <w:tcBorders>
              <w:top w:val="nil"/>
              <w:left w:val="nil"/>
              <w:bottom w:val="nil"/>
              <w:right w:val="nil"/>
            </w:tcBorders>
            <w:shd w:val="clear" w:color="000000" w:fill="ACD3C4"/>
            <w:noWrap/>
            <w:vAlign w:val="bottom"/>
            <w:hideMark/>
          </w:tcPr>
          <w:p w14:paraId="56E6EF51"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69%</w:t>
            </w:r>
          </w:p>
        </w:tc>
      </w:tr>
      <w:tr w:rsidR="00E45D24" w:rsidRPr="000564FB" w14:paraId="2C636B62" w14:textId="77777777" w:rsidTr="000564FB">
        <w:trPr>
          <w:trHeight w:val="300"/>
          <w:jc w:val="center"/>
        </w:trPr>
        <w:tc>
          <w:tcPr>
            <w:tcW w:w="971" w:type="dxa"/>
            <w:tcBorders>
              <w:top w:val="nil"/>
              <w:left w:val="nil"/>
              <w:bottom w:val="nil"/>
              <w:right w:val="nil"/>
            </w:tcBorders>
            <w:noWrap/>
            <w:vAlign w:val="bottom"/>
            <w:hideMark/>
          </w:tcPr>
          <w:p w14:paraId="349185F6"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2010</w:t>
            </w:r>
          </w:p>
        </w:tc>
        <w:tc>
          <w:tcPr>
            <w:tcW w:w="1357" w:type="dxa"/>
            <w:tcBorders>
              <w:top w:val="nil"/>
              <w:left w:val="nil"/>
              <w:bottom w:val="nil"/>
              <w:right w:val="nil"/>
            </w:tcBorders>
            <w:noWrap/>
            <w:vAlign w:val="bottom"/>
            <w:hideMark/>
          </w:tcPr>
          <w:p w14:paraId="4DCCFBE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11</w:t>
            </w:r>
          </w:p>
        </w:tc>
        <w:tc>
          <w:tcPr>
            <w:tcW w:w="1066" w:type="dxa"/>
            <w:tcBorders>
              <w:top w:val="nil"/>
              <w:left w:val="nil"/>
              <w:bottom w:val="nil"/>
              <w:right w:val="nil"/>
            </w:tcBorders>
            <w:noWrap/>
            <w:vAlign w:val="bottom"/>
            <w:hideMark/>
          </w:tcPr>
          <w:p w14:paraId="4BE94023" w14:textId="295D3B83"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6</w:t>
            </w:r>
          </w:p>
        </w:tc>
        <w:tc>
          <w:tcPr>
            <w:tcW w:w="1986" w:type="dxa"/>
            <w:tcBorders>
              <w:top w:val="nil"/>
              <w:left w:val="nil"/>
              <w:bottom w:val="nil"/>
              <w:right w:val="nil"/>
            </w:tcBorders>
            <w:noWrap/>
            <w:vAlign w:val="bottom"/>
            <w:hideMark/>
          </w:tcPr>
          <w:p w14:paraId="4E4E496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55%</w:t>
            </w:r>
          </w:p>
        </w:tc>
      </w:tr>
      <w:tr w:rsidR="00E45D24" w:rsidRPr="000564FB" w14:paraId="616042B2"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7D1B5C73"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2011</w:t>
            </w:r>
          </w:p>
        </w:tc>
        <w:tc>
          <w:tcPr>
            <w:tcW w:w="1357" w:type="dxa"/>
            <w:tcBorders>
              <w:top w:val="nil"/>
              <w:left w:val="nil"/>
              <w:bottom w:val="nil"/>
              <w:right w:val="nil"/>
            </w:tcBorders>
            <w:shd w:val="clear" w:color="000000" w:fill="ACD3C4"/>
            <w:noWrap/>
            <w:vAlign w:val="bottom"/>
            <w:hideMark/>
          </w:tcPr>
          <w:p w14:paraId="1DB69D6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21</w:t>
            </w:r>
          </w:p>
        </w:tc>
        <w:tc>
          <w:tcPr>
            <w:tcW w:w="1066" w:type="dxa"/>
            <w:tcBorders>
              <w:top w:val="nil"/>
              <w:left w:val="nil"/>
              <w:bottom w:val="nil"/>
              <w:right w:val="nil"/>
            </w:tcBorders>
            <w:shd w:val="clear" w:color="000000" w:fill="ACD3C4"/>
            <w:noWrap/>
            <w:vAlign w:val="bottom"/>
            <w:hideMark/>
          </w:tcPr>
          <w:p w14:paraId="01C1CC3F" w14:textId="179021F1"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7</w:t>
            </w:r>
          </w:p>
        </w:tc>
        <w:tc>
          <w:tcPr>
            <w:tcW w:w="1986" w:type="dxa"/>
            <w:tcBorders>
              <w:top w:val="nil"/>
              <w:left w:val="nil"/>
              <w:bottom w:val="nil"/>
              <w:right w:val="nil"/>
            </w:tcBorders>
            <w:shd w:val="clear" w:color="000000" w:fill="ACD3C4"/>
            <w:noWrap/>
            <w:vAlign w:val="bottom"/>
            <w:hideMark/>
          </w:tcPr>
          <w:p w14:paraId="02C52D1C"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33%</w:t>
            </w:r>
          </w:p>
        </w:tc>
      </w:tr>
      <w:tr w:rsidR="00E45D24" w:rsidRPr="000564FB" w14:paraId="3BB7E36A" w14:textId="77777777" w:rsidTr="000564FB">
        <w:trPr>
          <w:trHeight w:val="300"/>
          <w:jc w:val="center"/>
        </w:trPr>
        <w:tc>
          <w:tcPr>
            <w:tcW w:w="971" w:type="dxa"/>
            <w:tcBorders>
              <w:top w:val="nil"/>
              <w:left w:val="nil"/>
              <w:bottom w:val="nil"/>
              <w:right w:val="nil"/>
            </w:tcBorders>
            <w:noWrap/>
            <w:vAlign w:val="bottom"/>
            <w:hideMark/>
          </w:tcPr>
          <w:p w14:paraId="44EB87FE"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2012</w:t>
            </w:r>
          </w:p>
        </w:tc>
        <w:tc>
          <w:tcPr>
            <w:tcW w:w="1357" w:type="dxa"/>
            <w:tcBorders>
              <w:top w:val="nil"/>
              <w:left w:val="nil"/>
              <w:bottom w:val="nil"/>
              <w:right w:val="nil"/>
            </w:tcBorders>
            <w:noWrap/>
            <w:vAlign w:val="bottom"/>
            <w:hideMark/>
          </w:tcPr>
          <w:p w14:paraId="1ACCEB99"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31</w:t>
            </w:r>
          </w:p>
        </w:tc>
        <w:tc>
          <w:tcPr>
            <w:tcW w:w="1066" w:type="dxa"/>
            <w:tcBorders>
              <w:top w:val="nil"/>
              <w:left w:val="nil"/>
              <w:bottom w:val="nil"/>
              <w:right w:val="nil"/>
            </w:tcBorders>
            <w:noWrap/>
            <w:vAlign w:val="bottom"/>
            <w:hideMark/>
          </w:tcPr>
          <w:p w14:paraId="42771BA2" w14:textId="46CEC0BE"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11</w:t>
            </w:r>
          </w:p>
        </w:tc>
        <w:tc>
          <w:tcPr>
            <w:tcW w:w="1986" w:type="dxa"/>
            <w:tcBorders>
              <w:top w:val="nil"/>
              <w:left w:val="nil"/>
              <w:bottom w:val="nil"/>
              <w:right w:val="nil"/>
            </w:tcBorders>
            <w:noWrap/>
            <w:vAlign w:val="bottom"/>
            <w:hideMark/>
          </w:tcPr>
          <w:p w14:paraId="6E6BE187"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35%</w:t>
            </w:r>
          </w:p>
        </w:tc>
      </w:tr>
      <w:tr w:rsidR="00E45D24" w:rsidRPr="000564FB" w14:paraId="62613AB5"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189C3E97"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2013</w:t>
            </w:r>
          </w:p>
        </w:tc>
        <w:tc>
          <w:tcPr>
            <w:tcW w:w="1357" w:type="dxa"/>
            <w:tcBorders>
              <w:top w:val="nil"/>
              <w:left w:val="nil"/>
              <w:bottom w:val="nil"/>
              <w:right w:val="nil"/>
            </w:tcBorders>
            <w:shd w:val="clear" w:color="000000" w:fill="ACD3C4"/>
            <w:noWrap/>
            <w:vAlign w:val="bottom"/>
            <w:hideMark/>
          </w:tcPr>
          <w:p w14:paraId="3D19DB9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30</w:t>
            </w:r>
          </w:p>
        </w:tc>
        <w:tc>
          <w:tcPr>
            <w:tcW w:w="1066" w:type="dxa"/>
            <w:tcBorders>
              <w:top w:val="nil"/>
              <w:left w:val="nil"/>
              <w:bottom w:val="nil"/>
              <w:right w:val="nil"/>
            </w:tcBorders>
            <w:shd w:val="clear" w:color="000000" w:fill="ACD3C4"/>
            <w:noWrap/>
            <w:vAlign w:val="bottom"/>
            <w:hideMark/>
          </w:tcPr>
          <w:p w14:paraId="240A9E5B" w14:textId="18CA6A71"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23</w:t>
            </w:r>
          </w:p>
        </w:tc>
        <w:tc>
          <w:tcPr>
            <w:tcW w:w="1986" w:type="dxa"/>
            <w:tcBorders>
              <w:top w:val="nil"/>
              <w:left w:val="nil"/>
              <w:bottom w:val="nil"/>
              <w:right w:val="nil"/>
            </w:tcBorders>
            <w:shd w:val="clear" w:color="000000" w:fill="ACD3C4"/>
            <w:noWrap/>
            <w:vAlign w:val="bottom"/>
            <w:hideMark/>
          </w:tcPr>
          <w:p w14:paraId="4669C2C1"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77%</w:t>
            </w:r>
          </w:p>
        </w:tc>
      </w:tr>
      <w:tr w:rsidR="00E45D24" w:rsidRPr="000564FB" w14:paraId="7C3D0E84" w14:textId="77777777" w:rsidTr="000564FB">
        <w:trPr>
          <w:trHeight w:val="300"/>
          <w:jc w:val="center"/>
        </w:trPr>
        <w:tc>
          <w:tcPr>
            <w:tcW w:w="971" w:type="dxa"/>
            <w:tcBorders>
              <w:top w:val="nil"/>
              <w:left w:val="nil"/>
              <w:bottom w:val="nil"/>
              <w:right w:val="nil"/>
            </w:tcBorders>
            <w:noWrap/>
            <w:vAlign w:val="bottom"/>
            <w:hideMark/>
          </w:tcPr>
          <w:p w14:paraId="47160E5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2014</w:t>
            </w:r>
          </w:p>
        </w:tc>
        <w:tc>
          <w:tcPr>
            <w:tcW w:w="1357" w:type="dxa"/>
            <w:tcBorders>
              <w:top w:val="nil"/>
              <w:left w:val="nil"/>
              <w:bottom w:val="nil"/>
              <w:right w:val="nil"/>
            </w:tcBorders>
            <w:noWrap/>
            <w:vAlign w:val="bottom"/>
            <w:hideMark/>
          </w:tcPr>
          <w:p w14:paraId="3431F31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22</w:t>
            </w:r>
          </w:p>
        </w:tc>
        <w:tc>
          <w:tcPr>
            <w:tcW w:w="1066" w:type="dxa"/>
            <w:tcBorders>
              <w:top w:val="nil"/>
              <w:left w:val="nil"/>
              <w:bottom w:val="nil"/>
              <w:right w:val="nil"/>
            </w:tcBorders>
            <w:noWrap/>
            <w:vAlign w:val="bottom"/>
            <w:hideMark/>
          </w:tcPr>
          <w:p w14:paraId="7B482D2B" w14:textId="58AFDA3F"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11</w:t>
            </w:r>
          </w:p>
        </w:tc>
        <w:tc>
          <w:tcPr>
            <w:tcW w:w="1986" w:type="dxa"/>
            <w:tcBorders>
              <w:top w:val="nil"/>
              <w:left w:val="nil"/>
              <w:bottom w:val="nil"/>
              <w:right w:val="nil"/>
            </w:tcBorders>
            <w:noWrap/>
            <w:vAlign w:val="bottom"/>
            <w:hideMark/>
          </w:tcPr>
          <w:p w14:paraId="1AF9CD13"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50%</w:t>
            </w:r>
          </w:p>
        </w:tc>
      </w:tr>
      <w:tr w:rsidR="00E45D24" w:rsidRPr="000564FB" w14:paraId="7B770E76"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4D62DC22"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2015</w:t>
            </w:r>
          </w:p>
        </w:tc>
        <w:tc>
          <w:tcPr>
            <w:tcW w:w="1357" w:type="dxa"/>
            <w:tcBorders>
              <w:top w:val="nil"/>
              <w:left w:val="nil"/>
              <w:bottom w:val="nil"/>
              <w:right w:val="nil"/>
            </w:tcBorders>
            <w:shd w:val="clear" w:color="000000" w:fill="ACD3C4"/>
            <w:noWrap/>
            <w:vAlign w:val="bottom"/>
            <w:hideMark/>
          </w:tcPr>
          <w:p w14:paraId="64A3D9B1"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25</w:t>
            </w:r>
          </w:p>
        </w:tc>
        <w:tc>
          <w:tcPr>
            <w:tcW w:w="1066" w:type="dxa"/>
            <w:tcBorders>
              <w:top w:val="nil"/>
              <w:left w:val="nil"/>
              <w:bottom w:val="nil"/>
              <w:right w:val="nil"/>
            </w:tcBorders>
            <w:shd w:val="clear" w:color="000000" w:fill="ACD3C4"/>
            <w:noWrap/>
            <w:vAlign w:val="bottom"/>
            <w:hideMark/>
          </w:tcPr>
          <w:p w14:paraId="7CE3573B" w14:textId="60CE1460"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15</w:t>
            </w:r>
          </w:p>
        </w:tc>
        <w:tc>
          <w:tcPr>
            <w:tcW w:w="1986" w:type="dxa"/>
            <w:tcBorders>
              <w:top w:val="nil"/>
              <w:left w:val="nil"/>
              <w:bottom w:val="nil"/>
              <w:right w:val="nil"/>
            </w:tcBorders>
            <w:shd w:val="clear" w:color="000000" w:fill="ACD3C4"/>
            <w:noWrap/>
            <w:vAlign w:val="bottom"/>
            <w:hideMark/>
          </w:tcPr>
          <w:p w14:paraId="38965CE8"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60%</w:t>
            </w:r>
          </w:p>
        </w:tc>
      </w:tr>
      <w:tr w:rsidR="00E45D24" w:rsidRPr="000564FB" w14:paraId="3D3C4047" w14:textId="77777777" w:rsidTr="000564FB">
        <w:trPr>
          <w:trHeight w:val="300"/>
          <w:jc w:val="center"/>
        </w:trPr>
        <w:tc>
          <w:tcPr>
            <w:tcW w:w="971" w:type="dxa"/>
            <w:tcBorders>
              <w:top w:val="nil"/>
              <w:left w:val="nil"/>
              <w:bottom w:val="nil"/>
              <w:right w:val="nil"/>
            </w:tcBorders>
            <w:noWrap/>
            <w:vAlign w:val="bottom"/>
            <w:hideMark/>
          </w:tcPr>
          <w:p w14:paraId="2172D16F"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2016</w:t>
            </w:r>
          </w:p>
        </w:tc>
        <w:tc>
          <w:tcPr>
            <w:tcW w:w="1357" w:type="dxa"/>
            <w:tcBorders>
              <w:top w:val="nil"/>
              <w:left w:val="nil"/>
              <w:bottom w:val="nil"/>
              <w:right w:val="nil"/>
            </w:tcBorders>
            <w:noWrap/>
            <w:vAlign w:val="bottom"/>
            <w:hideMark/>
          </w:tcPr>
          <w:p w14:paraId="4CD95FDF"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37</w:t>
            </w:r>
          </w:p>
        </w:tc>
        <w:tc>
          <w:tcPr>
            <w:tcW w:w="1066" w:type="dxa"/>
            <w:tcBorders>
              <w:top w:val="nil"/>
              <w:left w:val="nil"/>
              <w:bottom w:val="nil"/>
              <w:right w:val="nil"/>
            </w:tcBorders>
            <w:noWrap/>
            <w:vAlign w:val="bottom"/>
            <w:hideMark/>
          </w:tcPr>
          <w:p w14:paraId="4A3FD1F7" w14:textId="11CBBB0D"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22</w:t>
            </w:r>
          </w:p>
        </w:tc>
        <w:tc>
          <w:tcPr>
            <w:tcW w:w="1986" w:type="dxa"/>
            <w:tcBorders>
              <w:top w:val="nil"/>
              <w:left w:val="nil"/>
              <w:bottom w:val="nil"/>
              <w:right w:val="nil"/>
            </w:tcBorders>
            <w:noWrap/>
            <w:vAlign w:val="bottom"/>
            <w:hideMark/>
          </w:tcPr>
          <w:p w14:paraId="0D66D669"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59%</w:t>
            </w:r>
          </w:p>
        </w:tc>
      </w:tr>
      <w:tr w:rsidR="00E45D24" w:rsidRPr="000564FB" w14:paraId="0C1C08E9"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4B7ABE3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2017</w:t>
            </w:r>
          </w:p>
        </w:tc>
        <w:tc>
          <w:tcPr>
            <w:tcW w:w="1357" w:type="dxa"/>
            <w:tcBorders>
              <w:top w:val="nil"/>
              <w:left w:val="nil"/>
              <w:bottom w:val="nil"/>
              <w:right w:val="nil"/>
            </w:tcBorders>
            <w:shd w:val="clear" w:color="000000" w:fill="ACD3C4"/>
            <w:noWrap/>
            <w:vAlign w:val="bottom"/>
            <w:hideMark/>
          </w:tcPr>
          <w:p w14:paraId="3EE0C07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28</w:t>
            </w:r>
          </w:p>
        </w:tc>
        <w:tc>
          <w:tcPr>
            <w:tcW w:w="1066" w:type="dxa"/>
            <w:tcBorders>
              <w:top w:val="nil"/>
              <w:left w:val="nil"/>
              <w:bottom w:val="nil"/>
              <w:right w:val="nil"/>
            </w:tcBorders>
            <w:shd w:val="clear" w:color="000000" w:fill="ACD3C4"/>
            <w:noWrap/>
            <w:vAlign w:val="bottom"/>
            <w:hideMark/>
          </w:tcPr>
          <w:p w14:paraId="4F455A32" w14:textId="056B3C0B"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12</w:t>
            </w:r>
          </w:p>
        </w:tc>
        <w:tc>
          <w:tcPr>
            <w:tcW w:w="1986" w:type="dxa"/>
            <w:tcBorders>
              <w:top w:val="nil"/>
              <w:left w:val="nil"/>
              <w:bottom w:val="nil"/>
              <w:right w:val="nil"/>
            </w:tcBorders>
            <w:shd w:val="clear" w:color="000000" w:fill="ACD3C4"/>
            <w:noWrap/>
            <w:vAlign w:val="bottom"/>
            <w:hideMark/>
          </w:tcPr>
          <w:p w14:paraId="32A20163"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43%</w:t>
            </w:r>
          </w:p>
        </w:tc>
      </w:tr>
      <w:tr w:rsidR="00E45D24" w:rsidRPr="000564FB" w14:paraId="79F98094" w14:textId="77777777" w:rsidTr="000564FB">
        <w:trPr>
          <w:trHeight w:val="300"/>
          <w:jc w:val="center"/>
        </w:trPr>
        <w:tc>
          <w:tcPr>
            <w:tcW w:w="971" w:type="dxa"/>
            <w:tcBorders>
              <w:top w:val="nil"/>
              <w:left w:val="nil"/>
              <w:bottom w:val="nil"/>
              <w:right w:val="nil"/>
            </w:tcBorders>
            <w:noWrap/>
            <w:vAlign w:val="bottom"/>
            <w:hideMark/>
          </w:tcPr>
          <w:p w14:paraId="2A8E933C"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2018</w:t>
            </w:r>
          </w:p>
        </w:tc>
        <w:tc>
          <w:tcPr>
            <w:tcW w:w="1357" w:type="dxa"/>
            <w:tcBorders>
              <w:top w:val="nil"/>
              <w:left w:val="nil"/>
              <w:bottom w:val="nil"/>
              <w:right w:val="nil"/>
            </w:tcBorders>
            <w:noWrap/>
            <w:vAlign w:val="bottom"/>
            <w:hideMark/>
          </w:tcPr>
          <w:p w14:paraId="3AB32E4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14</w:t>
            </w:r>
          </w:p>
        </w:tc>
        <w:tc>
          <w:tcPr>
            <w:tcW w:w="1066" w:type="dxa"/>
            <w:tcBorders>
              <w:top w:val="nil"/>
              <w:left w:val="nil"/>
              <w:bottom w:val="nil"/>
              <w:right w:val="nil"/>
            </w:tcBorders>
            <w:noWrap/>
            <w:vAlign w:val="bottom"/>
            <w:hideMark/>
          </w:tcPr>
          <w:p w14:paraId="07042115" w14:textId="4381C82D"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10</w:t>
            </w:r>
          </w:p>
        </w:tc>
        <w:tc>
          <w:tcPr>
            <w:tcW w:w="1986" w:type="dxa"/>
            <w:tcBorders>
              <w:top w:val="nil"/>
              <w:left w:val="nil"/>
              <w:bottom w:val="nil"/>
              <w:right w:val="nil"/>
            </w:tcBorders>
            <w:noWrap/>
            <w:vAlign w:val="bottom"/>
            <w:hideMark/>
          </w:tcPr>
          <w:p w14:paraId="4475E5B1"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71%</w:t>
            </w:r>
          </w:p>
        </w:tc>
      </w:tr>
      <w:tr w:rsidR="00E45D24" w:rsidRPr="000564FB" w14:paraId="4BC0BB1A"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73C6A054"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2019</w:t>
            </w:r>
          </w:p>
        </w:tc>
        <w:tc>
          <w:tcPr>
            <w:tcW w:w="1357" w:type="dxa"/>
            <w:tcBorders>
              <w:top w:val="nil"/>
              <w:left w:val="nil"/>
              <w:bottom w:val="nil"/>
              <w:right w:val="nil"/>
            </w:tcBorders>
            <w:shd w:val="clear" w:color="000000" w:fill="ACD3C4"/>
            <w:noWrap/>
            <w:vAlign w:val="bottom"/>
            <w:hideMark/>
          </w:tcPr>
          <w:p w14:paraId="2601AC61" w14:textId="779F3218"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w:t>
            </w:r>
            <w:r>
              <w:rPr>
                <w:rFonts w:eastAsia="Times New Roman" w:cstheme="minorHAnsi"/>
                <w:color w:val="000000"/>
                <w:kern w:val="0"/>
                <w:sz w:val="22"/>
                <w:szCs w:val="22"/>
                <w14:ligatures w14:val="none"/>
              </w:rPr>
              <w:t>3</w:t>
            </w:r>
          </w:p>
        </w:tc>
        <w:tc>
          <w:tcPr>
            <w:tcW w:w="1066" w:type="dxa"/>
            <w:tcBorders>
              <w:top w:val="nil"/>
              <w:left w:val="nil"/>
              <w:bottom w:val="nil"/>
              <w:right w:val="nil"/>
            </w:tcBorders>
            <w:shd w:val="clear" w:color="000000" w:fill="ACD3C4"/>
            <w:noWrap/>
            <w:vAlign w:val="bottom"/>
            <w:hideMark/>
          </w:tcPr>
          <w:p w14:paraId="293ED470" w14:textId="65612B50"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6</w:t>
            </w:r>
          </w:p>
        </w:tc>
        <w:tc>
          <w:tcPr>
            <w:tcW w:w="1986" w:type="dxa"/>
            <w:tcBorders>
              <w:top w:val="nil"/>
              <w:left w:val="nil"/>
              <w:bottom w:val="nil"/>
              <w:right w:val="nil"/>
            </w:tcBorders>
            <w:shd w:val="clear" w:color="000000" w:fill="ACD3C4"/>
            <w:noWrap/>
            <w:vAlign w:val="bottom"/>
            <w:hideMark/>
          </w:tcPr>
          <w:p w14:paraId="6A68A64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53%</w:t>
            </w:r>
          </w:p>
        </w:tc>
      </w:tr>
      <w:tr w:rsidR="00E45D24" w:rsidRPr="000564FB" w14:paraId="3E3DBAF7" w14:textId="77777777" w:rsidTr="000564FB">
        <w:trPr>
          <w:trHeight w:val="300"/>
          <w:jc w:val="center"/>
        </w:trPr>
        <w:tc>
          <w:tcPr>
            <w:tcW w:w="971" w:type="dxa"/>
            <w:tcBorders>
              <w:top w:val="nil"/>
              <w:left w:val="nil"/>
              <w:bottom w:val="nil"/>
              <w:right w:val="nil"/>
            </w:tcBorders>
            <w:noWrap/>
            <w:vAlign w:val="bottom"/>
            <w:hideMark/>
          </w:tcPr>
          <w:p w14:paraId="3BD6BA33"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2020</w:t>
            </w:r>
          </w:p>
        </w:tc>
        <w:tc>
          <w:tcPr>
            <w:tcW w:w="1357" w:type="dxa"/>
            <w:tcBorders>
              <w:top w:val="nil"/>
              <w:left w:val="nil"/>
              <w:bottom w:val="nil"/>
              <w:right w:val="nil"/>
            </w:tcBorders>
            <w:noWrap/>
            <w:vAlign w:val="bottom"/>
            <w:hideMark/>
          </w:tcPr>
          <w:p w14:paraId="37B203A1"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15</w:t>
            </w:r>
          </w:p>
        </w:tc>
        <w:tc>
          <w:tcPr>
            <w:tcW w:w="1066" w:type="dxa"/>
            <w:tcBorders>
              <w:top w:val="nil"/>
              <w:left w:val="nil"/>
              <w:bottom w:val="nil"/>
              <w:right w:val="nil"/>
            </w:tcBorders>
            <w:noWrap/>
            <w:vAlign w:val="bottom"/>
            <w:hideMark/>
          </w:tcPr>
          <w:p w14:paraId="43420DCE" w14:textId="0F4AA1DA"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7</w:t>
            </w:r>
          </w:p>
        </w:tc>
        <w:tc>
          <w:tcPr>
            <w:tcW w:w="1986" w:type="dxa"/>
            <w:tcBorders>
              <w:top w:val="nil"/>
              <w:left w:val="nil"/>
              <w:bottom w:val="nil"/>
              <w:right w:val="nil"/>
            </w:tcBorders>
            <w:noWrap/>
            <w:vAlign w:val="bottom"/>
            <w:hideMark/>
          </w:tcPr>
          <w:p w14:paraId="58187B44"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47%</w:t>
            </w:r>
          </w:p>
        </w:tc>
      </w:tr>
      <w:tr w:rsidR="00E45D24" w:rsidRPr="000564FB" w14:paraId="17D3C610"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613A78B6"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lastRenderedPageBreak/>
              <w:t>2021</w:t>
            </w:r>
          </w:p>
        </w:tc>
        <w:tc>
          <w:tcPr>
            <w:tcW w:w="1357" w:type="dxa"/>
            <w:tcBorders>
              <w:top w:val="nil"/>
              <w:left w:val="nil"/>
              <w:bottom w:val="nil"/>
              <w:right w:val="nil"/>
            </w:tcBorders>
            <w:shd w:val="clear" w:color="000000" w:fill="ACD3C4"/>
            <w:noWrap/>
            <w:vAlign w:val="bottom"/>
            <w:hideMark/>
          </w:tcPr>
          <w:p w14:paraId="1B35B5F0"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28</w:t>
            </w:r>
          </w:p>
        </w:tc>
        <w:tc>
          <w:tcPr>
            <w:tcW w:w="1066" w:type="dxa"/>
            <w:tcBorders>
              <w:top w:val="nil"/>
              <w:left w:val="nil"/>
              <w:bottom w:val="nil"/>
              <w:right w:val="nil"/>
            </w:tcBorders>
            <w:shd w:val="clear" w:color="000000" w:fill="ACD3C4"/>
            <w:noWrap/>
            <w:vAlign w:val="bottom"/>
            <w:hideMark/>
          </w:tcPr>
          <w:p w14:paraId="7691672A" w14:textId="6E8FB83A"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13</w:t>
            </w:r>
          </w:p>
        </w:tc>
        <w:tc>
          <w:tcPr>
            <w:tcW w:w="1986" w:type="dxa"/>
            <w:tcBorders>
              <w:top w:val="nil"/>
              <w:left w:val="nil"/>
              <w:bottom w:val="nil"/>
              <w:right w:val="nil"/>
            </w:tcBorders>
            <w:shd w:val="clear" w:color="000000" w:fill="ACD3C4"/>
            <w:noWrap/>
            <w:vAlign w:val="bottom"/>
            <w:hideMark/>
          </w:tcPr>
          <w:p w14:paraId="432FB230"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46%</w:t>
            </w:r>
          </w:p>
        </w:tc>
      </w:tr>
      <w:tr w:rsidR="00E45D24" w:rsidRPr="000564FB" w14:paraId="7C3776C6" w14:textId="77777777" w:rsidTr="000564FB">
        <w:trPr>
          <w:trHeight w:val="300"/>
          <w:jc w:val="center"/>
        </w:trPr>
        <w:tc>
          <w:tcPr>
            <w:tcW w:w="971" w:type="dxa"/>
            <w:tcBorders>
              <w:top w:val="nil"/>
              <w:left w:val="nil"/>
              <w:bottom w:val="nil"/>
              <w:right w:val="nil"/>
            </w:tcBorders>
            <w:noWrap/>
            <w:vAlign w:val="bottom"/>
            <w:hideMark/>
          </w:tcPr>
          <w:p w14:paraId="3262197F"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2022</w:t>
            </w:r>
          </w:p>
        </w:tc>
        <w:tc>
          <w:tcPr>
            <w:tcW w:w="1357" w:type="dxa"/>
            <w:tcBorders>
              <w:top w:val="nil"/>
              <w:left w:val="nil"/>
              <w:bottom w:val="nil"/>
              <w:right w:val="nil"/>
            </w:tcBorders>
            <w:noWrap/>
            <w:vAlign w:val="bottom"/>
            <w:hideMark/>
          </w:tcPr>
          <w:p w14:paraId="7878F420"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11</w:t>
            </w:r>
          </w:p>
        </w:tc>
        <w:tc>
          <w:tcPr>
            <w:tcW w:w="1066" w:type="dxa"/>
            <w:tcBorders>
              <w:top w:val="nil"/>
              <w:left w:val="nil"/>
              <w:bottom w:val="nil"/>
              <w:right w:val="nil"/>
            </w:tcBorders>
            <w:noWrap/>
            <w:vAlign w:val="bottom"/>
            <w:hideMark/>
          </w:tcPr>
          <w:p w14:paraId="533A6B68" w14:textId="57258B45"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5</w:t>
            </w:r>
          </w:p>
        </w:tc>
        <w:tc>
          <w:tcPr>
            <w:tcW w:w="1986" w:type="dxa"/>
            <w:tcBorders>
              <w:top w:val="nil"/>
              <w:left w:val="nil"/>
              <w:bottom w:val="nil"/>
              <w:right w:val="nil"/>
            </w:tcBorders>
            <w:noWrap/>
            <w:vAlign w:val="bottom"/>
            <w:hideMark/>
          </w:tcPr>
          <w:p w14:paraId="03375152"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45%</w:t>
            </w:r>
          </w:p>
        </w:tc>
      </w:tr>
      <w:tr w:rsidR="00E45D24" w:rsidRPr="000564FB" w14:paraId="2A6B83A0"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76D48EC7"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2023</w:t>
            </w:r>
          </w:p>
        </w:tc>
        <w:tc>
          <w:tcPr>
            <w:tcW w:w="1357" w:type="dxa"/>
            <w:tcBorders>
              <w:top w:val="nil"/>
              <w:left w:val="nil"/>
              <w:bottom w:val="nil"/>
              <w:right w:val="nil"/>
            </w:tcBorders>
            <w:shd w:val="clear" w:color="000000" w:fill="ACD3C4"/>
            <w:noWrap/>
            <w:vAlign w:val="bottom"/>
            <w:hideMark/>
          </w:tcPr>
          <w:p w14:paraId="53765B02"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15</w:t>
            </w:r>
          </w:p>
        </w:tc>
        <w:tc>
          <w:tcPr>
            <w:tcW w:w="1066" w:type="dxa"/>
            <w:tcBorders>
              <w:top w:val="nil"/>
              <w:left w:val="nil"/>
              <w:bottom w:val="nil"/>
              <w:right w:val="nil"/>
            </w:tcBorders>
            <w:shd w:val="clear" w:color="000000" w:fill="ACD3C4"/>
            <w:noWrap/>
            <w:vAlign w:val="bottom"/>
            <w:hideMark/>
          </w:tcPr>
          <w:p w14:paraId="7E8E3929" w14:textId="3C708D7B"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8</w:t>
            </w:r>
          </w:p>
        </w:tc>
        <w:tc>
          <w:tcPr>
            <w:tcW w:w="1986" w:type="dxa"/>
            <w:tcBorders>
              <w:top w:val="nil"/>
              <w:left w:val="nil"/>
              <w:bottom w:val="nil"/>
              <w:right w:val="nil"/>
            </w:tcBorders>
            <w:shd w:val="clear" w:color="000000" w:fill="ACD3C4"/>
            <w:noWrap/>
            <w:vAlign w:val="bottom"/>
            <w:hideMark/>
          </w:tcPr>
          <w:p w14:paraId="3133C724"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53%</w:t>
            </w:r>
          </w:p>
        </w:tc>
      </w:tr>
      <w:tr w:rsidR="00E45D24" w:rsidRPr="000564FB" w14:paraId="31A5AD50" w14:textId="77777777" w:rsidTr="000564FB">
        <w:trPr>
          <w:trHeight w:val="300"/>
          <w:jc w:val="center"/>
        </w:trPr>
        <w:tc>
          <w:tcPr>
            <w:tcW w:w="971" w:type="dxa"/>
            <w:tcBorders>
              <w:top w:val="nil"/>
              <w:left w:val="nil"/>
              <w:bottom w:val="nil"/>
              <w:right w:val="nil"/>
            </w:tcBorders>
            <w:noWrap/>
            <w:vAlign w:val="bottom"/>
            <w:hideMark/>
          </w:tcPr>
          <w:p w14:paraId="79A558E7"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2024</w:t>
            </w:r>
          </w:p>
        </w:tc>
        <w:tc>
          <w:tcPr>
            <w:tcW w:w="1357" w:type="dxa"/>
            <w:tcBorders>
              <w:top w:val="nil"/>
              <w:left w:val="nil"/>
              <w:bottom w:val="nil"/>
              <w:right w:val="nil"/>
            </w:tcBorders>
            <w:noWrap/>
            <w:vAlign w:val="bottom"/>
            <w:hideMark/>
          </w:tcPr>
          <w:p w14:paraId="57509692"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10</w:t>
            </w:r>
          </w:p>
        </w:tc>
        <w:tc>
          <w:tcPr>
            <w:tcW w:w="1066" w:type="dxa"/>
            <w:tcBorders>
              <w:top w:val="nil"/>
              <w:left w:val="nil"/>
              <w:bottom w:val="nil"/>
              <w:right w:val="nil"/>
            </w:tcBorders>
            <w:noWrap/>
            <w:vAlign w:val="bottom"/>
            <w:hideMark/>
          </w:tcPr>
          <w:p w14:paraId="49AD343B" w14:textId="5832F409"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4</w:t>
            </w:r>
          </w:p>
        </w:tc>
        <w:tc>
          <w:tcPr>
            <w:tcW w:w="1986" w:type="dxa"/>
            <w:tcBorders>
              <w:top w:val="nil"/>
              <w:left w:val="nil"/>
              <w:bottom w:val="nil"/>
              <w:right w:val="nil"/>
            </w:tcBorders>
            <w:noWrap/>
            <w:vAlign w:val="bottom"/>
            <w:hideMark/>
          </w:tcPr>
          <w:p w14:paraId="14B9A96E"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40%</w:t>
            </w:r>
          </w:p>
        </w:tc>
      </w:tr>
      <w:tr w:rsidR="00E45D24" w:rsidRPr="000564FB" w14:paraId="25677CA0"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3BF6B36C"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2025</w:t>
            </w:r>
          </w:p>
        </w:tc>
        <w:tc>
          <w:tcPr>
            <w:tcW w:w="1357" w:type="dxa"/>
            <w:tcBorders>
              <w:top w:val="nil"/>
              <w:left w:val="nil"/>
              <w:bottom w:val="nil"/>
              <w:right w:val="nil"/>
            </w:tcBorders>
            <w:shd w:val="clear" w:color="000000" w:fill="ACD3C4"/>
            <w:noWrap/>
            <w:vAlign w:val="bottom"/>
            <w:hideMark/>
          </w:tcPr>
          <w:p w14:paraId="024E1C84"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25</w:t>
            </w:r>
          </w:p>
        </w:tc>
        <w:tc>
          <w:tcPr>
            <w:tcW w:w="1066" w:type="dxa"/>
            <w:tcBorders>
              <w:top w:val="nil"/>
              <w:left w:val="nil"/>
              <w:bottom w:val="nil"/>
              <w:right w:val="nil"/>
            </w:tcBorders>
            <w:shd w:val="clear" w:color="000000" w:fill="ACD3C4"/>
            <w:noWrap/>
            <w:vAlign w:val="bottom"/>
            <w:hideMark/>
          </w:tcPr>
          <w:p w14:paraId="09A8A51C" w14:textId="740E090F"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17</w:t>
            </w:r>
          </w:p>
        </w:tc>
        <w:tc>
          <w:tcPr>
            <w:tcW w:w="1986" w:type="dxa"/>
            <w:tcBorders>
              <w:top w:val="nil"/>
              <w:left w:val="nil"/>
              <w:bottom w:val="nil"/>
              <w:right w:val="nil"/>
            </w:tcBorders>
            <w:shd w:val="clear" w:color="000000" w:fill="ACD3C4"/>
            <w:noWrap/>
            <w:vAlign w:val="bottom"/>
            <w:hideMark/>
          </w:tcPr>
          <w:p w14:paraId="25D2DCA5"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68%</w:t>
            </w:r>
          </w:p>
        </w:tc>
      </w:tr>
      <w:tr w:rsidR="00E45D24" w:rsidRPr="000564FB" w14:paraId="78F5E995" w14:textId="77777777" w:rsidTr="000564FB">
        <w:trPr>
          <w:trHeight w:val="300"/>
          <w:jc w:val="center"/>
        </w:trPr>
        <w:tc>
          <w:tcPr>
            <w:tcW w:w="971" w:type="dxa"/>
            <w:tcBorders>
              <w:top w:val="nil"/>
              <w:left w:val="nil"/>
              <w:bottom w:val="nil"/>
              <w:right w:val="nil"/>
            </w:tcBorders>
            <w:noWrap/>
            <w:vAlign w:val="bottom"/>
            <w:hideMark/>
          </w:tcPr>
          <w:p w14:paraId="0E24D6CA"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2026</w:t>
            </w:r>
          </w:p>
        </w:tc>
        <w:tc>
          <w:tcPr>
            <w:tcW w:w="1357" w:type="dxa"/>
            <w:tcBorders>
              <w:top w:val="nil"/>
              <w:left w:val="nil"/>
              <w:bottom w:val="nil"/>
              <w:right w:val="nil"/>
            </w:tcBorders>
            <w:noWrap/>
            <w:vAlign w:val="bottom"/>
            <w:hideMark/>
          </w:tcPr>
          <w:p w14:paraId="3650B83F"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w:t>
            </w:r>
          </w:p>
        </w:tc>
        <w:tc>
          <w:tcPr>
            <w:tcW w:w="1066" w:type="dxa"/>
            <w:tcBorders>
              <w:top w:val="nil"/>
              <w:left w:val="nil"/>
              <w:bottom w:val="nil"/>
              <w:right w:val="nil"/>
            </w:tcBorders>
            <w:noWrap/>
            <w:vAlign w:val="bottom"/>
            <w:hideMark/>
          </w:tcPr>
          <w:p w14:paraId="51B91533" w14:textId="62AE8F4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2</w:t>
            </w:r>
          </w:p>
        </w:tc>
        <w:tc>
          <w:tcPr>
            <w:tcW w:w="1986" w:type="dxa"/>
            <w:tcBorders>
              <w:top w:val="nil"/>
              <w:left w:val="nil"/>
              <w:bottom w:val="nil"/>
              <w:right w:val="nil"/>
            </w:tcBorders>
            <w:noWrap/>
            <w:vAlign w:val="bottom"/>
            <w:hideMark/>
          </w:tcPr>
          <w:p w14:paraId="446F329F"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100%</w:t>
            </w:r>
          </w:p>
        </w:tc>
      </w:tr>
      <w:tr w:rsidR="000564FB" w:rsidRPr="000564FB" w14:paraId="6E6D0086" w14:textId="77777777" w:rsidTr="000564FB">
        <w:trPr>
          <w:trHeight w:val="315"/>
          <w:jc w:val="center"/>
        </w:trPr>
        <w:tc>
          <w:tcPr>
            <w:tcW w:w="971" w:type="dxa"/>
            <w:tcBorders>
              <w:top w:val="nil"/>
              <w:left w:val="nil"/>
              <w:bottom w:val="double" w:sz="6" w:space="0" w:color="auto"/>
              <w:right w:val="nil"/>
            </w:tcBorders>
            <w:shd w:val="clear" w:color="000000" w:fill="ACD3C4"/>
            <w:noWrap/>
            <w:vAlign w:val="bottom"/>
            <w:hideMark/>
          </w:tcPr>
          <w:p w14:paraId="0D0EE195"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Total</w:t>
            </w:r>
          </w:p>
        </w:tc>
        <w:tc>
          <w:tcPr>
            <w:tcW w:w="1357" w:type="dxa"/>
            <w:tcBorders>
              <w:top w:val="nil"/>
              <w:left w:val="nil"/>
              <w:bottom w:val="double" w:sz="6" w:space="0" w:color="auto"/>
              <w:right w:val="nil"/>
            </w:tcBorders>
            <w:shd w:val="clear" w:color="000000" w:fill="ACD3C4"/>
            <w:noWrap/>
            <w:vAlign w:val="bottom"/>
            <w:hideMark/>
          </w:tcPr>
          <w:p w14:paraId="0EF0CCB3" w14:textId="27F7B1C3"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35</w:t>
            </w:r>
            <w:r w:rsidR="00E45D24">
              <w:rPr>
                <w:rFonts w:eastAsia="Times New Roman" w:cstheme="minorHAnsi"/>
                <w:b/>
                <w:bCs/>
                <w:color w:val="000000"/>
                <w:kern w:val="0"/>
                <w:sz w:val="22"/>
                <w:szCs w:val="22"/>
                <w14:ligatures w14:val="none"/>
              </w:rPr>
              <w:t>5</w:t>
            </w:r>
          </w:p>
        </w:tc>
        <w:tc>
          <w:tcPr>
            <w:tcW w:w="1066" w:type="dxa"/>
            <w:tcBorders>
              <w:top w:val="nil"/>
              <w:left w:val="nil"/>
              <w:bottom w:val="double" w:sz="6" w:space="0" w:color="auto"/>
              <w:right w:val="nil"/>
            </w:tcBorders>
            <w:shd w:val="clear" w:color="000000" w:fill="ACD3C4"/>
            <w:noWrap/>
            <w:vAlign w:val="bottom"/>
            <w:hideMark/>
          </w:tcPr>
          <w:p w14:paraId="46E9B203" w14:textId="7C49D818"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19</w:t>
            </w:r>
            <w:r w:rsidR="00E45D24">
              <w:rPr>
                <w:rFonts w:eastAsia="Times New Roman" w:cstheme="minorHAnsi"/>
                <w:b/>
                <w:bCs/>
                <w:color w:val="000000"/>
                <w:kern w:val="0"/>
                <w:sz w:val="22"/>
                <w:szCs w:val="22"/>
                <w14:ligatures w14:val="none"/>
              </w:rPr>
              <w:t>1</w:t>
            </w:r>
          </w:p>
        </w:tc>
        <w:tc>
          <w:tcPr>
            <w:tcW w:w="1986" w:type="dxa"/>
            <w:tcBorders>
              <w:top w:val="nil"/>
              <w:left w:val="nil"/>
              <w:bottom w:val="double" w:sz="6" w:space="0" w:color="auto"/>
              <w:right w:val="nil"/>
            </w:tcBorders>
            <w:shd w:val="clear" w:color="000000" w:fill="ACD3C4"/>
            <w:noWrap/>
            <w:vAlign w:val="bottom"/>
            <w:hideMark/>
          </w:tcPr>
          <w:p w14:paraId="0E5F05C5"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54%</w:t>
            </w:r>
          </w:p>
        </w:tc>
      </w:tr>
    </w:tbl>
    <w:p w14:paraId="1032B5AC" w14:textId="4D8010AF" w:rsidR="006B2EC9" w:rsidRPr="00A00EF0" w:rsidRDefault="000564FB" w:rsidP="009F6D65">
      <w:pPr>
        <w:rPr>
          <w:rFonts w:cstheme="minorHAnsi"/>
          <w:i/>
          <w:iCs/>
          <w:sz w:val="22"/>
          <w:szCs w:val="22"/>
        </w:rPr>
      </w:pPr>
      <w:r w:rsidRPr="00A00EF0">
        <w:rPr>
          <w:rFonts w:cstheme="minorHAnsi"/>
          <w:i/>
          <w:iCs/>
          <w:sz w:val="22"/>
          <w:szCs w:val="22"/>
        </w:rPr>
        <w:t xml:space="preserve">Fuente: Global Trade Alert, datos a Marzo 2026  </w:t>
      </w:r>
    </w:p>
    <w:p w14:paraId="16E5C165" w14:textId="77777777" w:rsidR="001D3EEA" w:rsidRPr="001D3EEA" w:rsidRDefault="001D3EEA" w:rsidP="001D3EEA">
      <w:pPr>
        <w:rPr>
          <w:rFonts w:cstheme="minorHAnsi"/>
        </w:rPr>
      </w:pPr>
      <w:r w:rsidRPr="001D3EEA">
        <w:rPr>
          <w:rFonts w:cstheme="minorHAnsi"/>
        </w:rPr>
        <w:t>Es importante destacar que estas cifras corresponden únicamente a medidas que permanecen activas, por lo que no incluyen aquellas investigaciones o medidas que fueron posteriormente eliminadas o expiraron. En consecuencia, el número total de investigaciones antidumping iniciadas a nivel global es aún mayor.</w:t>
      </w:r>
    </w:p>
    <w:p w14:paraId="073904EE" w14:textId="77777777" w:rsidR="001D3EEA" w:rsidRPr="001D3EEA" w:rsidRDefault="001D3EEA" w:rsidP="001D3EEA">
      <w:pPr>
        <w:rPr>
          <w:rFonts w:cstheme="minorHAnsi"/>
        </w:rPr>
      </w:pPr>
      <w:r w:rsidRPr="001D3EEA">
        <w:rPr>
          <w:rFonts w:cstheme="minorHAnsi"/>
        </w:rPr>
        <w:t>Además, la presencia de China en estas medidas ha sido persistente a lo largo del tiempo. En la mayoría de los años analizados, las investigaciones dirigidas contra China representan al menos el 50% de todas las medidas implementadas, y en algunos años esta proporción alcanza niveles considerablemente mayores.</w:t>
      </w:r>
    </w:p>
    <w:p w14:paraId="317ECBA5" w14:textId="77777777" w:rsidR="001D3EEA" w:rsidRPr="001D3EEA" w:rsidRDefault="001D3EEA" w:rsidP="001D3EEA">
      <w:pPr>
        <w:rPr>
          <w:rFonts w:cstheme="minorHAnsi"/>
        </w:rPr>
      </w:pPr>
      <w:r w:rsidRPr="001D3EEA">
        <w:rPr>
          <w:rFonts w:cstheme="minorHAnsi"/>
        </w:rPr>
        <w:t>En conjunto, esta evidencia demuestra que las preocupaciones sobre posibles prácticas de dumping en el sector siderúrgico chino no constituyen episodios aislados, sino un fenómeno recurrente reconocido por múltiples jurisdicciones a nivel internacional. La persistencia y magnitud de estas medidas reflejan las distorsiones estructurales que continúan caracterizando el comercio mundial del acero.</w:t>
      </w:r>
    </w:p>
    <w:p w14:paraId="0D762B4F" w14:textId="77777777" w:rsidR="001D3EEA" w:rsidRPr="00A00EF0" w:rsidRDefault="001D3EEA" w:rsidP="009F6D65">
      <w:pPr>
        <w:rPr>
          <w:rFonts w:cstheme="minorHAnsi"/>
          <w:b/>
          <w:bCs/>
        </w:rPr>
      </w:pPr>
    </w:p>
    <w:p w14:paraId="1A44468C" w14:textId="183B255F" w:rsidR="009F6D65" w:rsidRPr="00A00EF0" w:rsidRDefault="006B2EC9" w:rsidP="00A3023A">
      <w:pPr>
        <w:pStyle w:val="Heading2"/>
      </w:pPr>
      <w:r w:rsidRPr="00A00EF0">
        <w:br w:type="page"/>
      </w:r>
      <w:bookmarkStart w:id="8" w:name="_Toc224657490"/>
      <w:r w:rsidR="009F6D65" w:rsidRPr="00A00EF0">
        <w:lastRenderedPageBreak/>
        <w:t>Implicaciones para mercados importadores</w:t>
      </w:r>
      <w:bookmarkEnd w:id="8"/>
    </w:p>
    <w:p w14:paraId="48532973" w14:textId="77777777" w:rsidR="009F6D65" w:rsidRPr="00A00EF0" w:rsidRDefault="009F6D65" w:rsidP="009F6D65">
      <w:pPr>
        <w:rPr>
          <w:rFonts w:cstheme="minorHAnsi"/>
        </w:rPr>
      </w:pPr>
      <w:r w:rsidRPr="00A00EF0">
        <w:rPr>
          <w:rFonts w:cstheme="minorHAnsi"/>
        </w:rPr>
        <w:t>En conjunto, estos factores generan un entorno internacional caracterizado por una presión sostenida de exportaciones provenientes de economías con niveles elevados de exceso de capacidad y apoyo estatal.</w:t>
      </w:r>
    </w:p>
    <w:p w14:paraId="3969F5C9" w14:textId="5D78F866" w:rsidR="009F6D65" w:rsidRPr="00A00EF0" w:rsidRDefault="009F6D65" w:rsidP="009F6D65">
      <w:pPr>
        <w:rPr>
          <w:rFonts w:cstheme="minorHAnsi"/>
        </w:rPr>
      </w:pPr>
      <w:r w:rsidRPr="00A00EF0">
        <w:rPr>
          <w:rFonts w:cstheme="minorHAnsi"/>
        </w:rPr>
        <w:t xml:space="preserve">En particular, pueden identificarse </w:t>
      </w:r>
      <w:r w:rsidR="007B42D3">
        <w:rPr>
          <w:rFonts w:cstheme="minorHAnsi"/>
        </w:rPr>
        <w:t xml:space="preserve">unos </w:t>
      </w:r>
      <w:r w:rsidRPr="00A00EF0">
        <w:rPr>
          <w:rFonts w:cstheme="minorHAnsi"/>
        </w:rPr>
        <w:t>riesgos principales:</w:t>
      </w:r>
    </w:p>
    <w:p w14:paraId="3106E973" w14:textId="77777777" w:rsidR="009F6D65" w:rsidRPr="00A00EF0" w:rsidRDefault="009F6D65" w:rsidP="009F6D65">
      <w:pPr>
        <w:numPr>
          <w:ilvl w:val="0"/>
          <w:numId w:val="6"/>
        </w:numPr>
        <w:rPr>
          <w:rFonts w:cstheme="minorHAnsi"/>
        </w:rPr>
      </w:pPr>
      <w:r w:rsidRPr="00A00EF0">
        <w:rPr>
          <w:rFonts w:cstheme="minorHAnsi"/>
        </w:rPr>
        <w:t>Presión a la baja sobre los precios internacionales derivada del exceso de capacidad global.</w:t>
      </w:r>
    </w:p>
    <w:p w14:paraId="7136BAEA" w14:textId="77777777" w:rsidR="009F6D65" w:rsidRPr="00A00EF0" w:rsidRDefault="009F6D65" w:rsidP="009F6D65">
      <w:pPr>
        <w:numPr>
          <w:ilvl w:val="0"/>
          <w:numId w:val="6"/>
        </w:numPr>
        <w:rPr>
          <w:rFonts w:cstheme="minorHAnsi"/>
        </w:rPr>
      </w:pPr>
      <w:r w:rsidRPr="00A00EF0">
        <w:rPr>
          <w:rFonts w:cstheme="minorHAnsi"/>
        </w:rPr>
        <w:t>Incremento sostenido de exportaciones chinas impulsadas por la desaceleración de la demanda doméstica.</w:t>
      </w:r>
    </w:p>
    <w:p w14:paraId="5BAD908D" w14:textId="77777777" w:rsidR="009F6D65" w:rsidRPr="00A00EF0" w:rsidRDefault="009F6D65" w:rsidP="009F6D65">
      <w:pPr>
        <w:numPr>
          <w:ilvl w:val="0"/>
          <w:numId w:val="6"/>
        </w:numPr>
        <w:rPr>
          <w:rFonts w:cstheme="minorHAnsi"/>
        </w:rPr>
      </w:pPr>
      <w:r w:rsidRPr="00A00EF0">
        <w:rPr>
          <w:rFonts w:cstheme="minorHAnsi"/>
        </w:rPr>
        <w:t>Persistencia de subsidios estatales que permiten mantener producción incluso en condiciones de baja rentabilidad.</w:t>
      </w:r>
    </w:p>
    <w:p w14:paraId="137B513E" w14:textId="77777777" w:rsidR="009F6D65" w:rsidRPr="00A00EF0" w:rsidRDefault="009F6D65" w:rsidP="009F6D65">
      <w:pPr>
        <w:numPr>
          <w:ilvl w:val="0"/>
          <w:numId w:val="6"/>
        </w:numPr>
        <w:rPr>
          <w:rFonts w:cstheme="minorHAnsi"/>
        </w:rPr>
      </w:pPr>
      <w:r w:rsidRPr="00A00EF0">
        <w:rPr>
          <w:rFonts w:cstheme="minorHAnsi"/>
        </w:rPr>
        <w:t>Desvío de comercio hacia mercados sin medidas de defensa comercial.</w:t>
      </w:r>
    </w:p>
    <w:p w14:paraId="7CE86CF2" w14:textId="77777777" w:rsidR="009F6D65" w:rsidRPr="00A00EF0" w:rsidRDefault="009F6D65" w:rsidP="009F6D65">
      <w:pPr>
        <w:rPr>
          <w:rFonts w:cstheme="minorHAnsi"/>
        </w:rPr>
      </w:pPr>
      <w:r w:rsidRPr="00A00EF0">
        <w:rPr>
          <w:rFonts w:cstheme="minorHAnsi"/>
        </w:rPr>
        <w:t>En suma, el contexto internacional del mercado del acero evidencia una serie de desequilibrios estructurales asociados con el crecimiento de la industria siderúrgica china.</w:t>
      </w:r>
    </w:p>
    <w:p w14:paraId="7BA86D4E" w14:textId="77777777" w:rsidR="009F6D65" w:rsidRPr="00A00EF0" w:rsidRDefault="009F6D65" w:rsidP="009F6D65">
      <w:pPr>
        <w:rPr>
          <w:rFonts w:cstheme="minorHAnsi"/>
        </w:rPr>
      </w:pPr>
      <w:r w:rsidRPr="00A00EF0">
        <w:rPr>
          <w:rFonts w:cstheme="minorHAnsi"/>
        </w:rPr>
        <w:t>La combinación de capacidad productiva extraordinariamente elevada, subsidios estatales, desaceleración de la demanda interna y expansión exportadora ha convertido a China en el principal determinante de las condiciones del mercado mundial del acero.</w:t>
      </w:r>
    </w:p>
    <w:p w14:paraId="07765109" w14:textId="77777777" w:rsidR="009F6D65" w:rsidRPr="00A00EF0" w:rsidRDefault="009F6D65" w:rsidP="009F6D65">
      <w:pPr>
        <w:rPr>
          <w:rFonts w:cstheme="minorHAnsi"/>
        </w:rPr>
      </w:pPr>
      <w:r w:rsidRPr="00A00EF0">
        <w:rPr>
          <w:rFonts w:cstheme="minorHAnsi"/>
        </w:rPr>
        <w:t>Este entorno crea incentivos para la exportación de grandes volúmenes de acero a precios reducidos, lo que puede generar efectos adversos sobre las industrias siderúrgicas de países importadores.</w:t>
      </w:r>
    </w:p>
    <w:p w14:paraId="4D584C2D" w14:textId="23FD5D4B" w:rsidR="00301FCB" w:rsidRPr="00A00EF0" w:rsidRDefault="009F6D65" w:rsidP="009F6D65">
      <w:pPr>
        <w:rPr>
          <w:rFonts w:cstheme="minorHAnsi"/>
        </w:rPr>
      </w:pPr>
      <w:r w:rsidRPr="00A00EF0">
        <w:rPr>
          <w:rFonts w:cstheme="minorHAnsi"/>
        </w:rPr>
        <w:t xml:space="preserve">En este contexto, las medidas de defensa </w:t>
      </w:r>
      <w:r w:rsidR="00A3023A" w:rsidRPr="00A00EF0">
        <w:rPr>
          <w:rFonts w:cstheme="minorHAnsi"/>
        </w:rPr>
        <w:t>comercial,</w:t>
      </w:r>
      <w:r w:rsidR="006B2EC9" w:rsidRPr="00A00EF0">
        <w:rPr>
          <w:rFonts w:cstheme="minorHAnsi"/>
        </w:rPr>
        <w:t xml:space="preserve"> </w:t>
      </w:r>
      <w:r w:rsidRPr="00A00EF0">
        <w:rPr>
          <w:rFonts w:cstheme="minorHAnsi"/>
        </w:rPr>
        <w:t xml:space="preserve">incluyendo las investigaciones </w:t>
      </w:r>
      <w:r w:rsidR="00552134" w:rsidRPr="00A00EF0">
        <w:rPr>
          <w:rFonts w:cstheme="minorHAnsi"/>
        </w:rPr>
        <w:t>antidumping, constituyen</w:t>
      </w:r>
      <w:r w:rsidRPr="00A00EF0">
        <w:rPr>
          <w:rFonts w:cstheme="minorHAnsi"/>
        </w:rPr>
        <w:t xml:space="preserve"> instrumentos legítimos y ampliamente utilizados a nivel internacional para restablecer condiciones de competencia equitativas en el comercio de productos siderúrgicos</w:t>
      </w:r>
    </w:p>
    <w:p w14:paraId="08377FAB" w14:textId="77777777" w:rsidR="00301FCB" w:rsidRPr="00A00EF0" w:rsidRDefault="00301FCB">
      <w:pPr>
        <w:rPr>
          <w:rFonts w:cstheme="minorHAnsi"/>
        </w:rPr>
      </w:pPr>
      <w:r w:rsidRPr="00A00EF0">
        <w:rPr>
          <w:rFonts w:cstheme="minorHAnsi"/>
        </w:rPr>
        <w:br w:type="page"/>
      </w:r>
    </w:p>
    <w:p w14:paraId="01B91157" w14:textId="77777777" w:rsidR="00843C1F" w:rsidRPr="00A00EF0" w:rsidRDefault="00843C1F" w:rsidP="00843C1F">
      <w:pPr>
        <w:pStyle w:val="Heading1"/>
        <w:rPr>
          <w:rFonts w:asciiTheme="minorHAnsi" w:hAnsiTheme="minorHAnsi" w:cstheme="minorHAnsi"/>
        </w:rPr>
      </w:pPr>
      <w:bookmarkStart w:id="9" w:name="_Toc224657491"/>
      <w:r w:rsidRPr="00A00EF0">
        <w:rPr>
          <w:rFonts w:asciiTheme="minorHAnsi" w:hAnsiTheme="minorHAnsi" w:cstheme="minorHAnsi"/>
        </w:rPr>
        <w:lastRenderedPageBreak/>
        <w:t>Justificación Economía de No Mercado y Alternativa de Valor Normal</w:t>
      </w:r>
      <w:bookmarkEnd w:id="9"/>
    </w:p>
    <w:p w14:paraId="33DAE98F" w14:textId="77777777" w:rsidR="00843C1F" w:rsidRPr="00A00EF0" w:rsidRDefault="00843C1F" w:rsidP="00843C1F">
      <w:pPr>
        <w:rPr>
          <w:rFonts w:cstheme="minorHAnsi"/>
        </w:rPr>
      </w:pPr>
      <w:r w:rsidRPr="00A00EF0">
        <w:rPr>
          <w:rFonts w:cstheme="minorHAnsi"/>
        </w:rPr>
        <w:t>En investigaciones antidumping, es necesario establecer el “valor normal” (NV) que es, en principio, el precio comparable del producto similar en el mercado interno del exportador</w:t>
      </w:r>
      <w:r w:rsidRPr="00A00EF0">
        <w:rPr>
          <w:rStyle w:val="FootnoteReference"/>
          <w:rFonts w:cstheme="minorHAnsi"/>
        </w:rPr>
        <w:footnoteReference w:id="1"/>
      </w:r>
      <w:r w:rsidRPr="00A00EF0">
        <w:rPr>
          <w:rFonts w:cstheme="minorHAnsi"/>
        </w:rPr>
        <w:t>. En el caso de China, su precio domestico este precio no es utilizable, por ser no ser considerada una economía de mercado, en la que los precios internos están distorsionados. Por esta razón, el marco OMC permite recurrir a precios de exportación de un tercer país de referencia.</w:t>
      </w:r>
      <w:r w:rsidRPr="00A00EF0">
        <w:rPr>
          <w:rStyle w:val="FootnoteReference"/>
          <w:rFonts w:cstheme="minorHAnsi"/>
        </w:rPr>
        <w:footnoteReference w:id="2"/>
      </w:r>
    </w:p>
    <w:p w14:paraId="703EDA35" w14:textId="77777777" w:rsidR="00843C1F" w:rsidRPr="00A00EF0" w:rsidRDefault="00843C1F" w:rsidP="00843C1F">
      <w:pPr>
        <w:rPr>
          <w:rFonts w:cstheme="minorHAnsi"/>
        </w:rPr>
      </w:pPr>
      <w:r w:rsidRPr="00A00EF0">
        <w:rPr>
          <w:rFonts w:cstheme="minorHAnsi"/>
        </w:rPr>
        <w:t xml:space="preserve">Es un trato que China recibe desde varios países en casos de defensa comercial. En Estados Unidos, China ha sido designada como economía de no mercado (NME, por sus siglas en inglés) desde 1981, bajo la Sección 771(18) del </w:t>
      </w:r>
      <w:proofErr w:type="spellStart"/>
      <w:r w:rsidRPr="00A00EF0">
        <w:rPr>
          <w:rFonts w:cstheme="minorHAnsi"/>
          <w:i/>
          <w:iCs/>
        </w:rPr>
        <w:t>Tariff</w:t>
      </w:r>
      <w:proofErr w:type="spellEnd"/>
      <w:r w:rsidRPr="00A00EF0">
        <w:rPr>
          <w:rFonts w:cstheme="minorHAnsi"/>
          <w:i/>
          <w:iCs/>
        </w:rPr>
        <w:t xml:space="preserve"> </w:t>
      </w:r>
      <w:proofErr w:type="spellStart"/>
      <w:r w:rsidRPr="00A00EF0">
        <w:rPr>
          <w:rFonts w:cstheme="minorHAnsi"/>
          <w:i/>
          <w:iCs/>
        </w:rPr>
        <w:t>Act</w:t>
      </w:r>
      <w:proofErr w:type="spellEnd"/>
      <w:r w:rsidRPr="00A00EF0">
        <w:rPr>
          <w:rFonts w:cstheme="minorHAnsi"/>
        </w:rPr>
        <w:t xml:space="preserve"> de 1930, y esa designación se mantiene vigente hasta hoy. Bajo esta clasificación, el Departamento de Comercio (DOC) no utiliza los precios ni costos domésticos chinos para el cálculo del margen de dumping. En su lugar, asume que los mecanismos de mercado no existen para los productos bajo investigación, e identifica un país sustituto con un nivel de desarrollo económico comparable, medido según el ingreso nacional bruto per cápita en paridad de poder adquisitivo del Banco Mundial, para construir el valor normal.</w:t>
      </w:r>
      <w:r w:rsidRPr="00A00EF0">
        <w:rPr>
          <w:rStyle w:val="FootnoteReference"/>
          <w:rFonts w:cstheme="minorHAnsi"/>
        </w:rPr>
        <w:footnoteReference w:id="3"/>
      </w:r>
      <w:r w:rsidRPr="00A00EF0">
        <w:rPr>
          <w:rFonts w:cstheme="minorHAnsi"/>
        </w:rPr>
        <w:t xml:space="preserve"> </w:t>
      </w:r>
    </w:p>
    <w:p w14:paraId="36460A22" w14:textId="77777777" w:rsidR="00843C1F" w:rsidRPr="00A00EF0" w:rsidRDefault="00843C1F" w:rsidP="00843C1F">
      <w:pPr>
        <w:rPr>
          <w:rFonts w:cstheme="minorHAnsi"/>
        </w:rPr>
      </w:pPr>
      <w:r w:rsidRPr="00A00EF0">
        <w:rPr>
          <w:rFonts w:cstheme="minorHAnsi"/>
        </w:rPr>
        <w:t>En adición, la Unión Europea ha tomado una posición similar. Tras la expiración en diciembre de 2016 del Artículo 15(a)(</w:t>
      </w:r>
      <w:proofErr w:type="spellStart"/>
      <w:r w:rsidRPr="00A00EF0">
        <w:rPr>
          <w:rFonts w:cstheme="minorHAnsi"/>
        </w:rPr>
        <w:t>ii</w:t>
      </w:r>
      <w:proofErr w:type="spellEnd"/>
      <w:r w:rsidRPr="00A00EF0">
        <w:rPr>
          <w:rFonts w:cstheme="minorHAnsi"/>
        </w:rPr>
        <w:t>) del Protocolo de Adhesión de China a la OMC, que algunos interpretaban como una obligación de otorgarle automáticamente trato de economía de mercado, la UE optó por no conceder dicho trato y reformó en cambio su legislación antidumping mediante el Reglamento (UE) 2017/2321. Este reglamento introdujo el concepto de "distorsiones significativas": cuando se constata que los precios y costos en el país exportador están afectados por una intervención estatal sustancial, las instituciones europeas pueden construir el valor normal a partir de precios o costos de referencia internacionales no distorsionados, en lugar de los datos domésticos del exportado</w:t>
      </w:r>
    </w:p>
    <w:p w14:paraId="37FF7CF7" w14:textId="77777777" w:rsidR="00843C1F" w:rsidRPr="00A00EF0" w:rsidRDefault="00843C1F" w:rsidP="00843C1F">
      <w:pPr>
        <w:rPr>
          <w:rFonts w:cstheme="minorHAnsi"/>
        </w:rPr>
      </w:pPr>
      <w:r w:rsidRPr="00A00EF0">
        <w:rPr>
          <w:rFonts w:cstheme="minorHAnsi"/>
        </w:rPr>
        <w:t>La Comisión Europea actualizó en 2024 su informe sobre las distorsiones inducidas por el Estado en la economía china, identificando tres categorías principales</w:t>
      </w:r>
      <w:r w:rsidRPr="00A00EF0">
        <w:rPr>
          <w:rStyle w:val="FootnoteReference"/>
          <w:rFonts w:cstheme="minorHAnsi"/>
        </w:rPr>
        <w:footnoteReference w:id="4"/>
      </w:r>
      <w:r w:rsidRPr="00A00EF0">
        <w:rPr>
          <w:rFonts w:cstheme="minorHAnsi"/>
        </w:rPr>
        <w:t xml:space="preserve">: </w:t>
      </w:r>
    </w:p>
    <w:p w14:paraId="5F69D590" w14:textId="77777777" w:rsidR="00843C1F" w:rsidRPr="00A00EF0" w:rsidRDefault="00843C1F" w:rsidP="00843C1F">
      <w:pPr>
        <w:numPr>
          <w:ilvl w:val="0"/>
          <w:numId w:val="2"/>
        </w:numPr>
        <w:rPr>
          <w:rFonts w:cstheme="minorHAnsi"/>
        </w:rPr>
      </w:pPr>
      <w:r w:rsidRPr="00A00EF0">
        <w:rPr>
          <w:rFonts w:cstheme="minorHAnsi"/>
        </w:rPr>
        <w:t>Distorsiones transversales, como el papel del Estado en la asignación de recursos, el sistema de planificación centralizada y el peso de las empresas estatales en la economía.</w:t>
      </w:r>
    </w:p>
    <w:p w14:paraId="7A32DA3D" w14:textId="77777777" w:rsidR="00843C1F" w:rsidRPr="00A00EF0" w:rsidRDefault="00843C1F" w:rsidP="00843C1F">
      <w:pPr>
        <w:numPr>
          <w:ilvl w:val="0"/>
          <w:numId w:val="2"/>
        </w:numPr>
        <w:rPr>
          <w:rFonts w:cstheme="minorHAnsi"/>
        </w:rPr>
      </w:pPr>
      <w:r w:rsidRPr="00A00EF0">
        <w:rPr>
          <w:rFonts w:cstheme="minorHAnsi"/>
        </w:rPr>
        <w:lastRenderedPageBreak/>
        <w:t>Distorsiones en los factores de producción, incluyendo la asignación discriminatoria de tierra, mano de obra, materias primas y energía.</w:t>
      </w:r>
    </w:p>
    <w:p w14:paraId="0BEB49B4" w14:textId="77777777" w:rsidR="00843C1F" w:rsidRPr="00A00EF0" w:rsidRDefault="00843C1F" w:rsidP="00843C1F">
      <w:pPr>
        <w:numPr>
          <w:ilvl w:val="0"/>
          <w:numId w:val="2"/>
        </w:numPr>
        <w:rPr>
          <w:rFonts w:cstheme="minorHAnsi"/>
        </w:rPr>
      </w:pPr>
      <w:r w:rsidRPr="00A00EF0">
        <w:rPr>
          <w:rFonts w:cstheme="minorHAnsi"/>
        </w:rPr>
        <w:t>Distorsiones sectoriales, como el apoyo estatal directo e indirecto, incluyendo acceso preferencial a financiamiento, en industrias específicas, entre ellas el acero.</w:t>
      </w:r>
    </w:p>
    <w:p w14:paraId="5C773576" w14:textId="77777777" w:rsidR="00843C1F" w:rsidRPr="00A00EF0" w:rsidRDefault="00843C1F" w:rsidP="00843C1F">
      <w:pPr>
        <w:rPr>
          <w:rFonts w:cstheme="minorHAnsi"/>
        </w:rPr>
      </w:pPr>
      <w:r w:rsidRPr="00A00EF0">
        <w:rPr>
          <w:rFonts w:cstheme="minorHAnsi"/>
        </w:rPr>
        <w:t>En conjunto, tanto EE.UU. como la UE han construido marcos normativos que, partiendo de premisas distintas, llegan a una conclusión operativa equivalente: los precios domésticos chinos no constituyen una referencia válida para determinar el valor normal en investigaciones antidumping, justificando el recurso a metodologías alternativas de construcción del valor.</w:t>
      </w:r>
    </w:p>
    <w:p w14:paraId="644ADD1C" w14:textId="77777777" w:rsidR="00843C1F" w:rsidRPr="00A00EF0" w:rsidRDefault="00843C1F" w:rsidP="00843C1F">
      <w:pPr>
        <w:rPr>
          <w:rFonts w:cstheme="minorHAnsi"/>
        </w:rPr>
      </w:pPr>
      <w:r w:rsidRPr="00A00EF0">
        <w:rPr>
          <w:rFonts w:cstheme="minorHAnsi"/>
        </w:rPr>
        <w:t>Por estas razones, es necesario buscar un tercer país que sirva como referencia del valor normal del producto bajo investigación. En el sunset review del caso de China de 2021, se utilizó Brazil como país de referencia. La validez Brazil como precio de referencia sigue siendo válida, basado en tres criterios importantes para el país de referencia:</w:t>
      </w:r>
    </w:p>
    <w:p w14:paraId="271174EF" w14:textId="77777777" w:rsidR="00843C1F" w:rsidRPr="00A00EF0" w:rsidRDefault="00843C1F" w:rsidP="00843C1F">
      <w:pPr>
        <w:rPr>
          <w:rFonts w:cstheme="minorHAnsi"/>
          <w:b/>
          <w:bCs/>
        </w:rPr>
      </w:pPr>
      <w:r w:rsidRPr="00A00EF0">
        <w:rPr>
          <w:rFonts w:cstheme="minorHAnsi"/>
          <w:b/>
          <w:bCs/>
        </w:rPr>
        <w:t>Nivel de desarrollo comparable</w:t>
      </w:r>
    </w:p>
    <w:p w14:paraId="63BFAEAB" w14:textId="77777777" w:rsidR="00843C1F" w:rsidRPr="00A00EF0" w:rsidRDefault="00843C1F" w:rsidP="00843C1F">
      <w:pPr>
        <w:jc w:val="both"/>
        <w:rPr>
          <w:rFonts w:cstheme="minorHAnsi"/>
        </w:rPr>
      </w:pPr>
      <w:r w:rsidRPr="00A00EF0">
        <w:rPr>
          <w:rFonts w:cstheme="minorHAnsi"/>
        </w:rPr>
        <w:t>El Departamento de Comercio de Estados Unidos (DOC) al momento de escoger un país tercero de referencia, toma como base el nivel económico utilizando el Ingreso nacional Bruto (GNI, pero sus siglas en inglés) per cápita ajustado por paridad de poder adquisitivo (PPP), en estos ambos países se ubican en rangos similares dentro del grupo de economías emergentes, lo que los coloca en el mismo nivel de referencia. Una evidencia de esto es que el Banco Mundial clasifica tanto a China como a Brasil como economías de ingreso medio-alto</w:t>
      </w:r>
      <w:r w:rsidRPr="00A00EF0">
        <w:rPr>
          <w:rStyle w:val="FootnoteReference"/>
          <w:rFonts w:cstheme="minorHAnsi"/>
        </w:rPr>
        <w:footnoteReference w:id="5"/>
      </w:r>
      <w:r w:rsidRPr="00A00EF0">
        <w:rPr>
          <w:rFonts w:cstheme="minorHAnsi"/>
        </w:rPr>
        <w:t xml:space="preserve">.  </w:t>
      </w:r>
    </w:p>
    <w:p w14:paraId="4B9CB8A7" w14:textId="5D10E019" w:rsidR="00843C1F" w:rsidRPr="00A00EF0" w:rsidRDefault="00843C1F" w:rsidP="00843C1F">
      <w:pPr>
        <w:jc w:val="both"/>
        <w:rPr>
          <w:rFonts w:cstheme="minorHAnsi"/>
        </w:rPr>
      </w:pPr>
      <w:r w:rsidRPr="00A00EF0">
        <w:rPr>
          <w:rFonts w:cstheme="minorHAnsi"/>
        </w:rPr>
        <w:t xml:space="preserve">De los diez mayores productores de acero del mundo, ningún otro candidato se aproxima a ese perfil: Corea del Sur, Alemania y Japón son economías de alto ingreso muy por encima del nivel de desarrollo chino, por igual Russia, aunque no al nivel de los países anteriores, posee un nivel de ingresos per cápita significativamente más alto que China. Por otro lado, India e Irán presentan niveles de ingreso per cápita significativamente inferiores. Tomando los 10 productores de acero </w:t>
      </w:r>
      <w:r w:rsidR="001D3EEA" w:rsidRPr="00A00EF0">
        <w:rPr>
          <w:rFonts w:cstheme="minorHAnsi"/>
        </w:rPr>
        <w:t>más</w:t>
      </w:r>
      <w:r w:rsidRPr="00A00EF0">
        <w:rPr>
          <w:rFonts w:cstheme="minorHAnsi"/>
        </w:rPr>
        <w:t xml:space="preserve"> grandes del mundo según World Steel </w:t>
      </w:r>
      <w:proofErr w:type="spellStart"/>
      <w:r w:rsidRPr="00A00EF0">
        <w:rPr>
          <w:rFonts w:cstheme="minorHAnsi"/>
        </w:rPr>
        <w:t>Association</w:t>
      </w:r>
      <w:proofErr w:type="spellEnd"/>
      <w:r w:rsidRPr="00A00EF0">
        <w:rPr>
          <w:rFonts w:cstheme="minorHAnsi"/>
        </w:rPr>
        <w:t>, Brasil es el que tiene un nivel de ingresos más parecido a China</w:t>
      </w:r>
    </w:p>
    <w:p w14:paraId="5664B309" w14:textId="77777777" w:rsidR="00843C1F" w:rsidRPr="00A00EF0" w:rsidRDefault="00843C1F" w:rsidP="00843C1F">
      <w:pPr>
        <w:jc w:val="both"/>
        <w:rPr>
          <w:rFonts w:cstheme="minorHAnsi"/>
        </w:rPr>
      </w:pPr>
    </w:p>
    <w:p w14:paraId="70354E56" w14:textId="77777777" w:rsidR="00843C1F" w:rsidRPr="00A00EF0" w:rsidRDefault="00843C1F" w:rsidP="00843C1F">
      <w:pPr>
        <w:jc w:val="both"/>
        <w:rPr>
          <w:rFonts w:cstheme="minorHAnsi"/>
        </w:rPr>
      </w:pPr>
    </w:p>
    <w:p w14:paraId="480B32ED" w14:textId="77777777" w:rsidR="00843C1F" w:rsidRPr="00A00EF0" w:rsidRDefault="00843C1F" w:rsidP="00843C1F">
      <w:pPr>
        <w:jc w:val="both"/>
        <w:rPr>
          <w:rFonts w:cstheme="minorHAnsi"/>
        </w:rPr>
      </w:pPr>
    </w:p>
    <w:p w14:paraId="70AD8756" w14:textId="77777777" w:rsidR="00843C1F" w:rsidRPr="00A00EF0" w:rsidRDefault="00843C1F" w:rsidP="00843C1F">
      <w:pPr>
        <w:jc w:val="both"/>
        <w:rPr>
          <w:rFonts w:cstheme="minorHAnsi"/>
        </w:rPr>
      </w:pPr>
    </w:p>
    <w:p w14:paraId="4C2DD4E5" w14:textId="7C3D4694" w:rsidR="00843C1F" w:rsidRPr="00A00EF0" w:rsidRDefault="00843C1F" w:rsidP="00843C1F">
      <w:pPr>
        <w:pStyle w:val="ListParagraph"/>
        <w:rPr>
          <w:rFonts w:cstheme="minorHAnsi"/>
          <w:b/>
          <w:bCs/>
        </w:rPr>
      </w:pPr>
      <w:r w:rsidRPr="00A00EF0">
        <w:rPr>
          <w:rFonts w:cstheme="minorHAnsi"/>
          <w:b/>
          <w:bCs/>
        </w:rPr>
        <w:lastRenderedPageBreak/>
        <w:t xml:space="preserve">Gráfica </w:t>
      </w:r>
      <w:r w:rsidR="008F4F7E">
        <w:rPr>
          <w:rFonts w:cstheme="minorHAnsi"/>
          <w:b/>
          <w:bCs/>
        </w:rPr>
        <w:t>1</w:t>
      </w:r>
      <w:r w:rsidRPr="00A00EF0">
        <w:rPr>
          <w:rFonts w:cstheme="minorHAnsi"/>
          <w:b/>
          <w:bCs/>
        </w:rPr>
        <w:t>. Ingreso Nacional Bruto per Cápita, ajustado por paridad de compra de los Mayores Productores de Acero</w:t>
      </w:r>
    </w:p>
    <w:p w14:paraId="154D2957" w14:textId="77777777" w:rsidR="00843C1F" w:rsidRPr="00A00EF0" w:rsidRDefault="00843C1F" w:rsidP="00843C1F">
      <w:pPr>
        <w:pStyle w:val="ListParagraph"/>
        <w:rPr>
          <w:rFonts w:cstheme="minorHAnsi"/>
          <w:b/>
          <w:bCs/>
        </w:rPr>
      </w:pPr>
      <w:r w:rsidRPr="00A00EF0">
        <w:rPr>
          <w:rFonts w:cstheme="minorHAnsi"/>
          <w:noProof/>
        </w:rPr>
        <w:drawing>
          <wp:inline distT="0" distB="0" distL="0" distR="0" wp14:anchorId="7ECF5DA2" wp14:editId="74480D47">
            <wp:extent cx="4619707" cy="3283889"/>
            <wp:effectExtent l="0" t="0" r="0" b="0"/>
            <wp:docPr id="13156862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5D9759" w14:textId="7DEAD4F9" w:rsidR="00843C1F" w:rsidRPr="00E63178" w:rsidRDefault="00843C1F" w:rsidP="00E63178">
      <w:pPr>
        <w:pStyle w:val="ListParagraph"/>
        <w:rPr>
          <w:rFonts w:cstheme="minorHAnsi"/>
          <w:i/>
          <w:iCs/>
          <w:sz w:val="22"/>
          <w:szCs w:val="22"/>
        </w:rPr>
      </w:pPr>
      <w:r w:rsidRPr="00A00EF0">
        <w:rPr>
          <w:rFonts w:cstheme="minorHAnsi"/>
          <w:i/>
          <w:iCs/>
          <w:sz w:val="22"/>
          <w:szCs w:val="22"/>
        </w:rPr>
        <w:t>Fuente: Banco Mundial</w:t>
      </w:r>
    </w:p>
    <w:p w14:paraId="3F83FC30" w14:textId="77777777" w:rsidR="00843C1F" w:rsidRPr="00A00EF0" w:rsidRDefault="00843C1F" w:rsidP="00843C1F">
      <w:pPr>
        <w:rPr>
          <w:rFonts w:cstheme="minorHAnsi"/>
        </w:rPr>
      </w:pPr>
      <w:r w:rsidRPr="00A00EF0">
        <w:rPr>
          <w:rFonts w:cstheme="minorHAnsi"/>
          <w:b/>
          <w:bCs/>
        </w:rPr>
        <w:t>Producción significativa del producto similar bajo condiciones de mercado</w:t>
      </w:r>
    </w:p>
    <w:p w14:paraId="456E8285" w14:textId="0681DEB3" w:rsidR="00843C1F" w:rsidRPr="00A00EF0" w:rsidRDefault="00843C1F" w:rsidP="00843C1F">
      <w:pPr>
        <w:rPr>
          <w:rFonts w:cstheme="minorHAnsi"/>
        </w:rPr>
      </w:pPr>
      <w:r w:rsidRPr="00A00EF0">
        <w:rPr>
          <w:rFonts w:cstheme="minorHAnsi"/>
        </w:rPr>
        <w:t>Brasil es el noveno mayor productor mundial de acero crudo, con 33.8 millones de toneladas producidas en 2024, y el mayor productor de América Latina. El mercado de acero en Brasil</w:t>
      </w:r>
      <w:r w:rsidR="00527288">
        <w:rPr>
          <w:rFonts w:cstheme="minorHAnsi"/>
        </w:rPr>
        <w:t xml:space="preserve"> alanzo ingresos de USD 24,674 millones</w:t>
      </w:r>
      <w:r w:rsidRPr="00A00EF0">
        <w:rPr>
          <w:rFonts w:cstheme="minorHAnsi"/>
        </w:rPr>
        <w:t xml:space="preserve"> alcanz</w:t>
      </w:r>
      <w:r w:rsidR="00527288">
        <w:rPr>
          <w:rFonts w:cstheme="minorHAnsi"/>
        </w:rPr>
        <w:t>ará</w:t>
      </w:r>
      <w:r w:rsidRPr="00A00EF0">
        <w:rPr>
          <w:rFonts w:cstheme="minorHAnsi"/>
        </w:rPr>
        <w:t xml:space="preserve"> ingresos proyectados de USD 30,436</w:t>
      </w:r>
      <w:r w:rsidR="00527288">
        <w:rPr>
          <w:rFonts w:cstheme="minorHAnsi"/>
        </w:rPr>
        <w:t xml:space="preserve"> </w:t>
      </w:r>
      <w:r w:rsidRPr="00A00EF0">
        <w:rPr>
          <w:rFonts w:cstheme="minorHAnsi"/>
        </w:rPr>
        <w:t>millones para 2030, con un crecimiento anual compuesto de 3.3%</w:t>
      </w:r>
      <w:r w:rsidRPr="00A00EF0">
        <w:rPr>
          <w:rStyle w:val="FootnoteReference"/>
          <w:rFonts w:cstheme="minorHAnsi"/>
        </w:rPr>
        <w:footnoteReference w:id="6"/>
      </w:r>
      <w:r w:rsidRPr="00A00EF0">
        <w:rPr>
          <w:rFonts w:cstheme="minorHAnsi"/>
        </w:rPr>
        <w:t>, reflejando un mercado activo, líquido y con precios observables.</w:t>
      </w:r>
    </w:p>
    <w:p w14:paraId="3B92144A" w14:textId="77777777" w:rsidR="00843C1F" w:rsidRPr="00A00EF0" w:rsidRDefault="00843C1F" w:rsidP="00843C1F">
      <w:pPr>
        <w:rPr>
          <w:rFonts w:cstheme="minorHAnsi"/>
          <w:b/>
          <w:bCs/>
          <w:sz w:val="22"/>
          <w:szCs w:val="22"/>
        </w:rPr>
      </w:pPr>
      <w:r w:rsidRPr="00A00EF0">
        <w:rPr>
          <w:rFonts w:cstheme="minorHAnsi"/>
          <w:b/>
          <w:bCs/>
          <w:sz w:val="22"/>
          <w:szCs w:val="22"/>
        </w:rPr>
        <w:t>Tabla x. Indicadores de la Industria de Acero en Brasil</w:t>
      </w:r>
    </w:p>
    <w:p w14:paraId="6E212AE7" w14:textId="77777777" w:rsidR="00843C1F" w:rsidRPr="00A00EF0" w:rsidRDefault="00843C1F" w:rsidP="00843C1F">
      <w:pPr>
        <w:rPr>
          <w:rFonts w:cstheme="minorHAnsi"/>
          <w:b/>
          <w:bCs/>
        </w:rPr>
      </w:pPr>
      <w:r w:rsidRPr="00A00EF0">
        <w:rPr>
          <w:rFonts w:cstheme="minorHAnsi"/>
          <w:b/>
          <w:bCs/>
          <w:noProof/>
        </w:rPr>
        <w:drawing>
          <wp:inline distT="0" distB="0" distL="0" distR="0" wp14:anchorId="0B325FB2" wp14:editId="268DEFBB">
            <wp:extent cx="5943600" cy="929005"/>
            <wp:effectExtent l="0" t="0" r="0" b="4445"/>
            <wp:docPr id="1792134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134171" name=""/>
                    <pic:cNvPicPr/>
                  </pic:nvPicPr>
                  <pic:blipFill>
                    <a:blip r:embed="rId11"/>
                    <a:stretch>
                      <a:fillRect/>
                    </a:stretch>
                  </pic:blipFill>
                  <pic:spPr>
                    <a:xfrm>
                      <a:off x="0" y="0"/>
                      <a:ext cx="5943600" cy="929005"/>
                    </a:xfrm>
                    <a:prstGeom prst="rect">
                      <a:avLst/>
                    </a:prstGeom>
                  </pic:spPr>
                </pic:pic>
              </a:graphicData>
            </a:graphic>
          </wp:inline>
        </w:drawing>
      </w:r>
    </w:p>
    <w:p w14:paraId="0977DFD3" w14:textId="77777777" w:rsidR="00843C1F" w:rsidRPr="00A00EF0" w:rsidRDefault="00843C1F" w:rsidP="00843C1F">
      <w:pPr>
        <w:rPr>
          <w:rFonts w:cstheme="minorHAnsi"/>
          <w:i/>
          <w:iCs/>
          <w:sz w:val="20"/>
          <w:szCs w:val="20"/>
        </w:rPr>
      </w:pPr>
      <w:r w:rsidRPr="00A00EF0">
        <w:rPr>
          <w:rFonts w:cstheme="minorHAnsi"/>
          <w:i/>
          <w:iCs/>
          <w:sz w:val="20"/>
          <w:szCs w:val="20"/>
        </w:rPr>
        <w:t xml:space="preserve">Fuente: Grand View </w:t>
      </w:r>
      <w:proofErr w:type="spellStart"/>
      <w:r w:rsidRPr="00A00EF0">
        <w:rPr>
          <w:rFonts w:cstheme="minorHAnsi"/>
          <w:i/>
          <w:iCs/>
          <w:sz w:val="20"/>
          <w:szCs w:val="20"/>
        </w:rPr>
        <w:t>Research</w:t>
      </w:r>
      <w:proofErr w:type="spellEnd"/>
    </w:p>
    <w:p w14:paraId="56D25786" w14:textId="77777777" w:rsidR="00843C1F" w:rsidRPr="00A00EF0" w:rsidRDefault="00843C1F" w:rsidP="00843C1F">
      <w:pPr>
        <w:rPr>
          <w:rFonts w:cstheme="minorHAnsi"/>
          <w:b/>
          <w:bCs/>
          <w:sz w:val="22"/>
          <w:szCs w:val="22"/>
        </w:rPr>
      </w:pPr>
      <w:r w:rsidRPr="00A00EF0">
        <w:rPr>
          <w:rFonts w:cstheme="minorHAnsi"/>
          <w:b/>
          <w:bCs/>
          <w:sz w:val="22"/>
          <w:szCs w:val="22"/>
        </w:rPr>
        <w:t>Tabla x. Principales países productores de acero, 2023 y 2024, en millones de toneladas</w:t>
      </w:r>
    </w:p>
    <w:p w14:paraId="5E74A085" w14:textId="77777777" w:rsidR="00843C1F" w:rsidRPr="00A00EF0" w:rsidRDefault="00843C1F" w:rsidP="00843C1F">
      <w:pPr>
        <w:rPr>
          <w:rFonts w:cstheme="minorHAnsi"/>
          <w:b/>
          <w:bCs/>
        </w:rPr>
      </w:pPr>
      <w:r w:rsidRPr="00A00EF0">
        <w:rPr>
          <w:rFonts w:cstheme="minorHAnsi"/>
          <w:noProof/>
        </w:rPr>
        <w:lastRenderedPageBreak/>
        <w:drawing>
          <wp:inline distT="0" distB="0" distL="0" distR="0" wp14:anchorId="2E329806" wp14:editId="65FEF5C5">
            <wp:extent cx="5295265" cy="2583537"/>
            <wp:effectExtent l="0" t="0" r="635" b="7620"/>
            <wp:docPr id="1369861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61169" name=""/>
                    <pic:cNvPicPr/>
                  </pic:nvPicPr>
                  <pic:blipFill rotWithShape="1">
                    <a:blip r:embed="rId12"/>
                    <a:srcRect t="41129"/>
                    <a:stretch>
                      <a:fillRect/>
                    </a:stretch>
                  </pic:blipFill>
                  <pic:spPr bwMode="auto">
                    <a:xfrm>
                      <a:off x="0" y="0"/>
                      <a:ext cx="5295569" cy="2583685"/>
                    </a:xfrm>
                    <a:prstGeom prst="rect">
                      <a:avLst/>
                    </a:prstGeom>
                    <a:ln>
                      <a:noFill/>
                    </a:ln>
                    <a:extLst>
                      <a:ext uri="{53640926-AAD7-44D8-BBD7-CCE9431645EC}">
                        <a14:shadowObscured xmlns:a14="http://schemas.microsoft.com/office/drawing/2010/main"/>
                      </a:ext>
                    </a:extLst>
                  </pic:spPr>
                </pic:pic>
              </a:graphicData>
            </a:graphic>
          </wp:inline>
        </w:drawing>
      </w:r>
    </w:p>
    <w:p w14:paraId="3B3EFD49" w14:textId="77777777" w:rsidR="00843C1F" w:rsidRPr="00A00EF0" w:rsidRDefault="00843C1F" w:rsidP="00843C1F">
      <w:pPr>
        <w:rPr>
          <w:rFonts w:cstheme="minorHAnsi"/>
          <w:i/>
          <w:iCs/>
        </w:rPr>
      </w:pPr>
      <w:r w:rsidRPr="00A00EF0">
        <w:rPr>
          <w:rFonts w:cstheme="minorHAnsi"/>
          <w:i/>
          <w:iCs/>
        </w:rPr>
        <w:t xml:space="preserve">Fuente: World Steel </w:t>
      </w:r>
      <w:proofErr w:type="spellStart"/>
      <w:r w:rsidRPr="00A00EF0">
        <w:rPr>
          <w:rFonts w:cstheme="minorHAnsi"/>
          <w:i/>
          <w:iCs/>
        </w:rPr>
        <w:t>Association</w:t>
      </w:r>
      <w:proofErr w:type="spellEnd"/>
      <w:r w:rsidRPr="00A00EF0">
        <w:rPr>
          <w:rStyle w:val="FootnoteReference"/>
          <w:rFonts w:cstheme="minorHAnsi"/>
          <w:i/>
          <w:iCs/>
        </w:rPr>
        <w:footnoteReference w:id="7"/>
      </w:r>
    </w:p>
    <w:p w14:paraId="7A87B3BB" w14:textId="77777777" w:rsidR="00843C1F" w:rsidRPr="00A00EF0" w:rsidRDefault="00843C1F" w:rsidP="00843C1F">
      <w:pPr>
        <w:rPr>
          <w:rFonts w:cstheme="minorHAnsi"/>
        </w:rPr>
      </w:pPr>
      <w:r w:rsidRPr="00A00EF0">
        <w:rPr>
          <w:rFonts w:cstheme="minorHAnsi"/>
          <w:b/>
          <w:bCs/>
        </w:rPr>
        <w:t>Disponibilidad y confiabilidad de datos</w:t>
      </w:r>
    </w:p>
    <w:p w14:paraId="43070172" w14:textId="77777777" w:rsidR="00843C1F" w:rsidRPr="00A00EF0" w:rsidRDefault="00843C1F" w:rsidP="00843C1F">
      <w:pPr>
        <w:rPr>
          <w:rFonts w:cstheme="minorHAnsi"/>
        </w:rPr>
      </w:pPr>
      <w:r w:rsidRPr="00A00EF0">
        <w:rPr>
          <w:rFonts w:cstheme="minorHAnsi"/>
        </w:rPr>
        <w:t xml:space="preserve">Los precios de varillas de acero en Brasil son reportados de forma sistemática y con alta frecuencia por plataformas especializadas como Fastmarkets. </w:t>
      </w:r>
    </w:p>
    <w:p w14:paraId="4CB7579E" w14:textId="24A3C118" w:rsidR="00843C1F" w:rsidRPr="00A00EF0" w:rsidRDefault="00843C1F">
      <w:pPr>
        <w:rPr>
          <w:rFonts w:eastAsiaTheme="majorEastAsia" w:cstheme="minorHAnsi"/>
          <w:color w:val="2F5496" w:themeColor="accent1" w:themeShade="BF"/>
          <w:sz w:val="40"/>
          <w:szCs w:val="40"/>
        </w:rPr>
      </w:pPr>
      <w:r w:rsidRPr="00A00EF0">
        <w:rPr>
          <w:rFonts w:cstheme="minorHAnsi"/>
        </w:rPr>
        <w:br w:type="page"/>
      </w:r>
    </w:p>
    <w:p w14:paraId="0D0C860B" w14:textId="04FE2D57" w:rsidR="00743922" w:rsidRPr="00A00EF0" w:rsidRDefault="00301FCB" w:rsidP="00301FCB">
      <w:pPr>
        <w:pStyle w:val="Heading1"/>
        <w:rPr>
          <w:rFonts w:asciiTheme="minorHAnsi" w:hAnsiTheme="minorHAnsi" w:cstheme="minorHAnsi"/>
        </w:rPr>
      </w:pPr>
      <w:bookmarkStart w:id="10" w:name="_Toc224657492"/>
      <w:r w:rsidRPr="00A00EF0">
        <w:rPr>
          <w:rFonts w:asciiTheme="minorHAnsi" w:hAnsiTheme="minorHAnsi" w:cstheme="minorHAnsi"/>
        </w:rPr>
        <w:lastRenderedPageBreak/>
        <w:t>Probabilidad de Recurrencia de Dumping</w:t>
      </w:r>
      <w:bookmarkEnd w:id="10"/>
    </w:p>
    <w:p w14:paraId="4632F169" w14:textId="6036E5E3" w:rsidR="00F47378" w:rsidRPr="00A00EF0" w:rsidRDefault="004256E4" w:rsidP="00F47378">
      <w:pPr>
        <w:rPr>
          <w:rFonts w:eastAsiaTheme="majorEastAsia" w:cstheme="minorHAnsi"/>
          <w:color w:val="2F5496" w:themeColor="accent1" w:themeShade="BF"/>
          <w:sz w:val="32"/>
          <w:szCs w:val="32"/>
        </w:rPr>
      </w:pPr>
      <w:r w:rsidRPr="00A00EF0">
        <w:rPr>
          <w:rFonts w:eastAsiaTheme="majorEastAsia" w:cstheme="minorHAnsi"/>
          <w:color w:val="2F5496" w:themeColor="accent1" w:themeShade="BF"/>
          <w:sz w:val="32"/>
          <w:szCs w:val="32"/>
        </w:rPr>
        <w:t>Persistencia de medidas antidumping contra exportaciones de acero originarias de China</w:t>
      </w:r>
    </w:p>
    <w:p w14:paraId="086C54B1" w14:textId="77777777" w:rsidR="004256E4" w:rsidRPr="004256E4" w:rsidRDefault="004256E4" w:rsidP="004256E4">
      <w:r w:rsidRPr="004256E4">
        <w:t>La experiencia internacional demuestra que las medidas antidumping impuestas contra exportaciones de acero originarias de China tienden a mantenerse vigentes durante largos periodos de tiempo. Esto refleja la evaluación recurrente de las autoridades investigadoras de distintos países respecto a la persistencia de prácticas de dumping o al riesgo de su recurrencia.</w:t>
      </w:r>
    </w:p>
    <w:p w14:paraId="5E0DB6F8" w14:textId="2F2FB059" w:rsidR="004256E4" w:rsidRPr="00A00EF0" w:rsidRDefault="004256E4" w:rsidP="00F47378">
      <w:r w:rsidRPr="004256E4">
        <w:t xml:space="preserve">Como se </w:t>
      </w:r>
      <w:r w:rsidRPr="008F4F7E">
        <w:t xml:space="preserve">muestra en la Tabla </w:t>
      </w:r>
      <w:r w:rsidR="008F4F7E" w:rsidRPr="008F4F7E">
        <w:t>3</w:t>
      </w:r>
      <w:r w:rsidRPr="008F4F7E">
        <w:t>, desde 2008 se han</w:t>
      </w:r>
      <w:r w:rsidRPr="004256E4">
        <w:t xml:space="preserve"> implementado un total de 237 medidas antidumping contra productos siderúrgicos originarios de China, de las cuales 193 continúan vigentes, mientras que 44 no fueron renovadas tras su expiración. En términos agregados, esto implica que el 81.4% de las medidas adoptadas contra China permanecen activas.</w:t>
      </w:r>
    </w:p>
    <w:p w14:paraId="46EC0ECD" w14:textId="64329688" w:rsidR="00F95A88" w:rsidRPr="00A00EF0" w:rsidRDefault="00F95A88" w:rsidP="00F47378">
      <w:pPr>
        <w:rPr>
          <w:rFonts w:cstheme="minorHAnsi"/>
          <w:b/>
          <w:bCs/>
          <w:color w:val="000000" w:themeColor="text1"/>
          <w:sz w:val="22"/>
          <w:szCs w:val="22"/>
        </w:rPr>
      </w:pPr>
      <w:r w:rsidRPr="00A00EF0">
        <w:rPr>
          <w:rFonts w:cstheme="minorHAnsi"/>
          <w:b/>
          <w:bCs/>
          <w:color w:val="000000" w:themeColor="text1"/>
          <w:sz w:val="22"/>
          <w:szCs w:val="22"/>
        </w:rPr>
        <w:t xml:space="preserve">Tabla </w:t>
      </w:r>
      <w:r w:rsidR="008F4F7E">
        <w:rPr>
          <w:rFonts w:cstheme="minorHAnsi"/>
          <w:b/>
          <w:bCs/>
          <w:color w:val="000000" w:themeColor="text1"/>
          <w:sz w:val="22"/>
          <w:szCs w:val="22"/>
        </w:rPr>
        <w:t>3</w:t>
      </w:r>
      <w:r w:rsidRPr="00A00EF0">
        <w:rPr>
          <w:rFonts w:cstheme="minorHAnsi"/>
          <w:b/>
          <w:bCs/>
          <w:color w:val="000000" w:themeColor="text1"/>
          <w:sz w:val="22"/>
          <w:szCs w:val="22"/>
        </w:rPr>
        <w:t xml:space="preserve">. </w:t>
      </w:r>
      <w:r w:rsidRPr="00F47378">
        <w:rPr>
          <w:rFonts w:ascii="Calibri" w:eastAsia="Times New Roman" w:hAnsi="Calibri" w:cs="Calibri"/>
          <w:b/>
          <w:bCs/>
          <w:color w:val="000000" w:themeColor="text1"/>
          <w:kern w:val="0"/>
          <w:sz w:val="22"/>
          <w:szCs w:val="22"/>
          <w14:ligatures w14:val="none"/>
        </w:rPr>
        <w:t xml:space="preserve">Cantidad de medidas antidumping contra China por año de </w:t>
      </w:r>
      <w:r w:rsidRPr="00A00EF0">
        <w:rPr>
          <w:rFonts w:ascii="Calibri" w:eastAsia="Times New Roman" w:hAnsi="Calibri" w:cs="Calibri"/>
          <w:b/>
          <w:bCs/>
          <w:color w:val="000000" w:themeColor="text1"/>
          <w:kern w:val="0"/>
          <w:sz w:val="22"/>
          <w:szCs w:val="22"/>
          <w14:ligatures w14:val="none"/>
        </w:rPr>
        <w:t>implementación</w:t>
      </w:r>
      <w:r w:rsidRPr="00F47378">
        <w:rPr>
          <w:rFonts w:ascii="Calibri" w:eastAsia="Times New Roman" w:hAnsi="Calibri" w:cs="Calibri"/>
          <w:b/>
          <w:bCs/>
          <w:color w:val="000000" w:themeColor="text1"/>
          <w:kern w:val="0"/>
          <w:sz w:val="22"/>
          <w:szCs w:val="22"/>
          <w14:ligatures w14:val="none"/>
        </w:rPr>
        <w:t xml:space="preserve"> para el sector de Hierro y Acero</w:t>
      </w:r>
    </w:p>
    <w:tbl>
      <w:tblPr>
        <w:tblW w:w="6160" w:type="dxa"/>
        <w:jc w:val="center"/>
        <w:tblLook w:val="04A0" w:firstRow="1" w:lastRow="0" w:firstColumn="1" w:lastColumn="0" w:noHBand="0" w:noVBand="1"/>
      </w:tblPr>
      <w:tblGrid>
        <w:gridCol w:w="720"/>
        <w:gridCol w:w="1945"/>
        <w:gridCol w:w="996"/>
        <w:gridCol w:w="2499"/>
      </w:tblGrid>
      <w:tr w:rsidR="00F47378" w:rsidRPr="00F47378" w14:paraId="7323C2AB" w14:textId="77777777" w:rsidTr="004256E4">
        <w:trPr>
          <w:trHeight w:val="1305"/>
          <w:jc w:val="center"/>
        </w:trPr>
        <w:tc>
          <w:tcPr>
            <w:tcW w:w="6160" w:type="dxa"/>
            <w:gridSpan w:val="4"/>
            <w:tcBorders>
              <w:top w:val="nil"/>
              <w:left w:val="nil"/>
              <w:bottom w:val="nil"/>
              <w:right w:val="nil"/>
            </w:tcBorders>
            <w:shd w:val="clear" w:color="000000" w:fill="3E7D7E"/>
            <w:vAlign w:val="center"/>
            <w:hideMark/>
          </w:tcPr>
          <w:p w14:paraId="1CD359AB" w14:textId="7590C9B7" w:rsidR="00F47378" w:rsidRPr="00F47378" w:rsidRDefault="00F47378" w:rsidP="00F47378">
            <w:pPr>
              <w:spacing w:after="0" w:line="240" w:lineRule="auto"/>
              <w:jc w:val="center"/>
              <w:rPr>
                <w:rFonts w:ascii="Calibri" w:eastAsia="Times New Roman" w:hAnsi="Calibri" w:cs="Calibri"/>
                <w:b/>
                <w:bCs/>
                <w:color w:val="FFFFFF"/>
                <w:kern w:val="0"/>
                <w:sz w:val="22"/>
                <w:szCs w:val="22"/>
                <w:highlight w:val="yellow"/>
                <w14:ligatures w14:val="none"/>
              </w:rPr>
            </w:pPr>
            <w:r w:rsidRPr="00E45D24">
              <w:rPr>
                <w:rFonts w:ascii="Calibri" w:eastAsia="Times New Roman" w:hAnsi="Calibri" w:cs="Calibri"/>
                <w:b/>
                <w:bCs/>
                <w:color w:val="FFFFFF"/>
                <w:kern w:val="0"/>
                <w:sz w:val="22"/>
                <w:szCs w:val="22"/>
                <w14:ligatures w14:val="none"/>
              </w:rPr>
              <w:t xml:space="preserve">Cantidad de medidas antidumping contra China por año de </w:t>
            </w:r>
            <w:r w:rsidR="004256E4" w:rsidRPr="00E45D24">
              <w:rPr>
                <w:rFonts w:ascii="Calibri" w:eastAsia="Times New Roman" w:hAnsi="Calibri" w:cs="Calibri"/>
                <w:b/>
                <w:bCs/>
                <w:color w:val="FFFFFF"/>
                <w:kern w:val="0"/>
                <w:sz w:val="22"/>
                <w:szCs w:val="22"/>
                <w14:ligatures w14:val="none"/>
              </w:rPr>
              <w:t>implementación</w:t>
            </w:r>
            <w:r w:rsidRPr="00E45D24">
              <w:rPr>
                <w:rFonts w:ascii="Calibri" w:eastAsia="Times New Roman" w:hAnsi="Calibri" w:cs="Calibri"/>
                <w:b/>
                <w:bCs/>
                <w:color w:val="FFFFFF"/>
                <w:kern w:val="0"/>
                <w:sz w:val="22"/>
                <w:szCs w:val="22"/>
                <w14:ligatures w14:val="none"/>
              </w:rPr>
              <w:t xml:space="preserve"> para el sector de Hierro y Acero</w:t>
            </w:r>
          </w:p>
        </w:tc>
      </w:tr>
      <w:tr w:rsidR="00F47378" w:rsidRPr="00F47378" w14:paraId="07C8FA80" w14:textId="77777777" w:rsidTr="004256E4">
        <w:trPr>
          <w:trHeight w:val="300"/>
          <w:jc w:val="center"/>
        </w:trPr>
        <w:tc>
          <w:tcPr>
            <w:tcW w:w="720" w:type="dxa"/>
            <w:tcBorders>
              <w:top w:val="nil"/>
              <w:left w:val="nil"/>
              <w:bottom w:val="single" w:sz="4" w:space="0" w:color="auto"/>
              <w:right w:val="nil"/>
            </w:tcBorders>
            <w:noWrap/>
            <w:vAlign w:val="bottom"/>
            <w:hideMark/>
          </w:tcPr>
          <w:p w14:paraId="3DF01A40"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Año</w:t>
            </w:r>
          </w:p>
        </w:tc>
        <w:tc>
          <w:tcPr>
            <w:tcW w:w="1945" w:type="dxa"/>
            <w:tcBorders>
              <w:top w:val="nil"/>
              <w:left w:val="nil"/>
              <w:bottom w:val="single" w:sz="4" w:space="0" w:color="auto"/>
              <w:right w:val="nil"/>
            </w:tcBorders>
            <w:noWrap/>
            <w:vAlign w:val="bottom"/>
            <w:hideMark/>
          </w:tcPr>
          <w:p w14:paraId="3F2BD41B"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No Renovadas</w:t>
            </w:r>
          </w:p>
        </w:tc>
        <w:tc>
          <w:tcPr>
            <w:tcW w:w="996" w:type="dxa"/>
            <w:tcBorders>
              <w:top w:val="nil"/>
              <w:left w:val="nil"/>
              <w:bottom w:val="single" w:sz="4" w:space="0" w:color="auto"/>
              <w:right w:val="nil"/>
            </w:tcBorders>
            <w:noWrap/>
            <w:vAlign w:val="bottom"/>
            <w:hideMark/>
          </w:tcPr>
          <w:p w14:paraId="0F74D4E5"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Activas</w:t>
            </w:r>
          </w:p>
        </w:tc>
        <w:tc>
          <w:tcPr>
            <w:tcW w:w="2499" w:type="dxa"/>
            <w:tcBorders>
              <w:top w:val="nil"/>
              <w:left w:val="nil"/>
              <w:bottom w:val="single" w:sz="4" w:space="0" w:color="auto"/>
              <w:right w:val="nil"/>
            </w:tcBorders>
            <w:noWrap/>
            <w:vAlign w:val="bottom"/>
            <w:hideMark/>
          </w:tcPr>
          <w:p w14:paraId="10181ACE"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Porcentaje Activas</w:t>
            </w:r>
          </w:p>
        </w:tc>
      </w:tr>
      <w:tr w:rsidR="00F47378" w:rsidRPr="00F47378" w14:paraId="63AB7652" w14:textId="77777777" w:rsidTr="004256E4">
        <w:trPr>
          <w:trHeight w:val="300"/>
          <w:jc w:val="center"/>
        </w:trPr>
        <w:tc>
          <w:tcPr>
            <w:tcW w:w="720" w:type="dxa"/>
            <w:tcBorders>
              <w:top w:val="nil"/>
              <w:left w:val="nil"/>
              <w:bottom w:val="nil"/>
              <w:right w:val="nil"/>
            </w:tcBorders>
            <w:noWrap/>
            <w:vAlign w:val="bottom"/>
            <w:hideMark/>
          </w:tcPr>
          <w:p w14:paraId="443EB3AD"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2008</w:t>
            </w:r>
          </w:p>
        </w:tc>
        <w:tc>
          <w:tcPr>
            <w:tcW w:w="1945" w:type="dxa"/>
            <w:tcBorders>
              <w:top w:val="nil"/>
              <w:left w:val="nil"/>
              <w:bottom w:val="nil"/>
              <w:right w:val="nil"/>
            </w:tcBorders>
            <w:noWrap/>
            <w:vAlign w:val="bottom"/>
            <w:hideMark/>
          </w:tcPr>
          <w:p w14:paraId="347FD00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p>
        </w:tc>
        <w:tc>
          <w:tcPr>
            <w:tcW w:w="996" w:type="dxa"/>
            <w:tcBorders>
              <w:top w:val="nil"/>
              <w:left w:val="nil"/>
              <w:bottom w:val="nil"/>
              <w:right w:val="nil"/>
            </w:tcBorders>
            <w:noWrap/>
            <w:vAlign w:val="bottom"/>
            <w:hideMark/>
          </w:tcPr>
          <w:p w14:paraId="265BC69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3</w:t>
            </w:r>
          </w:p>
        </w:tc>
        <w:tc>
          <w:tcPr>
            <w:tcW w:w="2499" w:type="dxa"/>
            <w:tcBorders>
              <w:top w:val="nil"/>
              <w:left w:val="nil"/>
              <w:bottom w:val="nil"/>
              <w:right w:val="nil"/>
            </w:tcBorders>
            <w:noWrap/>
            <w:vAlign w:val="bottom"/>
            <w:hideMark/>
          </w:tcPr>
          <w:p w14:paraId="29DECEAC"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0D6773D9"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43E71FD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2009</w:t>
            </w:r>
          </w:p>
        </w:tc>
        <w:tc>
          <w:tcPr>
            <w:tcW w:w="1945" w:type="dxa"/>
            <w:tcBorders>
              <w:top w:val="nil"/>
              <w:left w:val="nil"/>
              <w:bottom w:val="nil"/>
              <w:right w:val="nil"/>
            </w:tcBorders>
            <w:shd w:val="clear" w:color="000000" w:fill="ACD3C4"/>
            <w:noWrap/>
            <w:vAlign w:val="bottom"/>
            <w:hideMark/>
          </w:tcPr>
          <w:p w14:paraId="14BCBB0B"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w:t>
            </w:r>
          </w:p>
        </w:tc>
        <w:tc>
          <w:tcPr>
            <w:tcW w:w="996" w:type="dxa"/>
            <w:tcBorders>
              <w:top w:val="nil"/>
              <w:left w:val="nil"/>
              <w:bottom w:val="nil"/>
              <w:right w:val="nil"/>
            </w:tcBorders>
            <w:shd w:val="clear" w:color="000000" w:fill="ACD3C4"/>
            <w:noWrap/>
            <w:vAlign w:val="bottom"/>
            <w:hideMark/>
          </w:tcPr>
          <w:p w14:paraId="2760633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9</w:t>
            </w:r>
          </w:p>
        </w:tc>
        <w:tc>
          <w:tcPr>
            <w:tcW w:w="2499" w:type="dxa"/>
            <w:tcBorders>
              <w:top w:val="nil"/>
              <w:left w:val="nil"/>
              <w:bottom w:val="nil"/>
              <w:right w:val="nil"/>
            </w:tcBorders>
            <w:shd w:val="clear" w:color="000000" w:fill="ACD3C4"/>
            <w:noWrap/>
            <w:vAlign w:val="bottom"/>
            <w:hideMark/>
          </w:tcPr>
          <w:p w14:paraId="37CB4D7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81.8%</w:t>
            </w:r>
          </w:p>
        </w:tc>
      </w:tr>
      <w:tr w:rsidR="00F47378" w:rsidRPr="00F47378" w14:paraId="158F9C08" w14:textId="77777777" w:rsidTr="004256E4">
        <w:trPr>
          <w:trHeight w:val="300"/>
          <w:jc w:val="center"/>
        </w:trPr>
        <w:tc>
          <w:tcPr>
            <w:tcW w:w="720" w:type="dxa"/>
            <w:tcBorders>
              <w:top w:val="nil"/>
              <w:left w:val="nil"/>
              <w:bottom w:val="nil"/>
              <w:right w:val="nil"/>
            </w:tcBorders>
            <w:noWrap/>
            <w:vAlign w:val="bottom"/>
            <w:hideMark/>
          </w:tcPr>
          <w:p w14:paraId="54D4065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2010</w:t>
            </w:r>
          </w:p>
        </w:tc>
        <w:tc>
          <w:tcPr>
            <w:tcW w:w="1945" w:type="dxa"/>
            <w:tcBorders>
              <w:top w:val="nil"/>
              <w:left w:val="nil"/>
              <w:bottom w:val="nil"/>
              <w:right w:val="nil"/>
            </w:tcBorders>
            <w:noWrap/>
            <w:vAlign w:val="bottom"/>
            <w:hideMark/>
          </w:tcPr>
          <w:p w14:paraId="65047F3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6</w:t>
            </w:r>
          </w:p>
        </w:tc>
        <w:tc>
          <w:tcPr>
            <w:tcW w:w="996" w:type="dxa"/>
            <w:tcBorders>
              <w:top w:val="nil"/>
              <w:left w:val="nil"/>
              <w:bottom w:val="nil"/>
              <w:right w:val="nil"/>
            </w:tcBorders>
            <w:noWrap/>
            <w:vAlign w:val="bottom"/>
            <w:hideMark/>
          </w:tcPr>
          <w:p w14:paraId="7891369F"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6</w:t>
            </w:r>
          </w:p>
        </w:tc>
        <w:tc>
          <w:tcPr>
            <w:tcW w:w="2499" w:type="dxa"/>
            <w:tcBorders>
              <w:top w:val="nil"/>
              <w:left w:val="nil"/>
              <w:bottom w:val="nil"/>
              <w:right w:val="nil"/>
            </w:tcBorders>
            <w:noWrap/>
            <w:vAlign w:val="bottom"/>
            <w:hideMark/>
          </w:tcPr>
          <w:p w14:paraId="75E9633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50.0%</w:t>
            </w:r>
          </w:p>
        </w:tc>
      </w:tr>
      <w:tr w:rsidR="00F47378" w:rsidRPr="00F47378" w14:paraId="4600581F"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4161A62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2011</w:t>
            </w:r>
          </w:p>
        </w:tc>
        <w:tc>
          <w:tcPr>
            <w:tcW w:w="1945" w:type="dxa"/>
            <w:tcBorders>
              <w:top w:val="nil"/>
              <w:left w:val="nil"/>
              <w:bottom w:val="nil"/>
              <w:right w:val="nil"/>
            </w:tcBorders>
            <w:shd w:val="clear" w:color="000000" w:fill="ACD3C4"/>
            <w:noWrap/>
            <w:vAlign w:val="bottom"/>
            <w:hideMark/>
          </w:tcPr>
          <w:p w14:paraId="5A306921"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w:t>
            </w:r>
          </w:p>
        </w:tc>
        <w:tc>
          <w:tcPr>
            <w:tcW w:w="996" w:type="dxa"/>
            <w:tcBorders>
              <w:top w:val="nil"/>
              <w:left w:val="nil"/>
              <w:bottom w:val="nil"/>
              <w:right w:val="nil"/>
            </w:tcBorders>
            <w:shd w:val="clear" w:color="000000" w:fill="ACD3C4"/>
            <w:noWrap/>
            <w:vAlign w:val="bottom"/>
            <w:hideMark/>
          </w:tcPr>
          <w:p w14:paraId="0E3E08F5"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w:t>
            </w:r>
          </w:p>
        </w:tc>
        <w:tc>
          <w:tcPr>
            <w:tcW w:w="2499" w:type="dxa"/>
            <w:tcBorders>
              <w:top w:val="nil"/>
              <w:left w:val="nil"/>
              <w:bottom w:val="nil"/>
              <w:right w:val="nil"/>
            </w:tcBorders>
            <w:shd w:val="clear" w:color="000000" w:fill="ACD3C4"/>
            <w:noWrap/>
            <w:vAlign w:val="bottom"/>
            <w:hideMark/>
          </w:tcPr>
          <w:p w14:paraId="7CEA5D0B"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87.5%</w:t>
            </w:r>
          </w:p>
        </w:tc>
      </w:tr>
      <w:tr w:rsidR="00F47378" w:rsidRPr="00F47378" w14:paraId="70AEB367" w14:textId="77777777" w:rsidTr="004256E4">
        <w:trPr>
          <w:trHeight w:val="300"/>
          <w:jc w:val="center"/>
        </w:trPr>
        <w:tc>
          <w:tcPr>
            <w:tcW w:w="720" w:type="dxa"/>
            <w:tcBorders>
              <w:top w:val="nil"/>
              <w:left w:val="nil"/>
              <w:bottom w:val="nil"/>
              <w:right w:val="nil"/>
            </w:tcBorders>
            <w:noWrap/>
            <w:vAlign w:val="bottom"/>
            <w:hideMark/>
          </w:tcPr>
          <w:p w14:paraId="1641711C"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2012</w:t>
            </w:r>
          </w:p>
        </w:tc>
        <w:tc>
          <w:tcPr>
            <w:tcW w:w="1945" w:type="dxa"/>
            <w:tcBorders>
              <w:top w:val="nil"/>
              <w:left w:val="nil"/>
              <w:bottom w:val="nil"/>
              <w:right w:val="nil"/>
            </w:tcBorders>
            <w:noWrap/>
            <w:vAlign w:val="bottom"/>
            <w:hideMark/>
          </w:tcPr>
          <w:p w14:paraId="679CFC7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3</w:t>
            </w:r>
          </w:p>
        </w:tc>
        <w:tc>
          <w:tcPr>
            <w:tcW w:w="996" w:type="dxa"/>
            <w:tcBorders>
              <w:top w:val="nil"/>
              <w:left w:val="nil"/>
              <w:bottom w:val="nil"/>
              <w:right w:val="nil"/>
            </w:tcBorders>
            <w:noWrap/>
            <w:vAlign w:val="bottom"/>
            <w:hideMark/>
          </w:tcPr>
          <w:p w14:paraId="0C8E2B0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11</w:t>
            </w:r>
          </w:p>
        </w:tc>
        <w:tc>
          <w:tcPr>
            <w:tcW w:w="2499" w:type="dxa"/>
            <w:tcBorders>
              <w:top w:val="nil"/>
              <w:left w:val="nil"/>
              <w:bottom w:val="nil"/>
              <w:right w:val="nil"/>
            </w:tcBorders>
            <w:noWrap/>
            <w:vAlign w:val="bottom"/>
            <w:hideMark/>
          </w:tcPr>
          <w:p w14:paraId="4515CEE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78.6%</w:t>
            </w:r>
          </w:p>
        </w:tc>
      </w:tr>
      <w:tr w:rsidR="00F47378" w:rsidRPr="00F47378" w14:paraId="669A10A2"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7925678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2013</w:t>
            </w:r>
          </w:p>
        </w:tc>
        <w:tc>
          <w:tcPr>
            <w:tcW w:w="1945" w:type="dxa"/>
            <w:tcBorders>
              <w:top w:val="nil"/>
              <w:left w:val="nil"/>
              <w:bottom w:val="nil"/>
              <w:right w:val="nil"/>
            </w:tcBorders>
            <w:shd w:val="clear" w:color="000000" w:fill="ACD3C4"/>
            <w:noWrap/>
            <w:vAlign w:val="bottom"/>
            <w:hideMark/>
          </w:tcPr>
          <w:p w14:paraId="2B02BD9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6</w:t>
            </w:r>
          </w:p>
        </w:tc>
        <w:tc>
          <w:tcPr>
            <w:tcW w:w="996" w:type="dxa"/>
            <w:tcBorders>
              <w:top w:val="nil"/>
              <w:left w:val="nil"/>
              <w:bottom w:val="nil"/>
              <w:right w:val="nil"/>
            </w:tcBorders>
            <w:shd w:val="clear" w:color="000000" w:fill="ACD3C4"/>
            <w:noWrap/>
            <w:vAlign w:val="bottom"/>
            <w:hideMark/>
          </w:tcPr>
          <w:p w14:paraId="232FAE82"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23</w:t>
            </w:r>
          </w:p>
        </w:tc>
        <w:tc>
          <w:tcPr>
            <w:tcW w:w="2499" w:type="dxa"/>
            <w:tcBorders>
              <w:top w:val="nil"/>
              <w:left w:val="nil"/>
              <w:bottom w:val="nil"/>
              <w:right w:val="nil"/>
            </w:tcBorders>
            <w:shd w:val="clear" w:color="000000" w:fill="ACD3C4"/>
            <w:noWrap/>
            <w:vAlign w:val="bottom"/>
            <w:hideMark/>
          </w:tcPr>
          <w:p w14:paraId="77467F9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79.3%</w:t>
            </w:r>
          </w:p>
        </w:tc>
      </w:tr>
      <w:tr w:rsidR="00F47378" w:rsidRPr="00F47378" w14:paraId="65C36CA4" w14:textId="77777777" w:rsidTr="004256E4">
        <w:trPr>
          <w:trHeight w:val="300"/>
          <w:jc w:val="center"/>
        </w:trPr>
        <w:tc>
          <w:tcPr>
            <w:tcW w:w="720" w:type="dxa"/>
            <w:tcBorders>
              <w:top w:val="nil"/>
              <w:left w:val="nil"/>
              <w:bottom w:val="nil"/>
              <w:right w:val="nil"/>
            </w:tcBorders>
            <w:noWrap/>
            <w:vAlign w:val="bottom"/>
            <w:hideMark/>
          </w:tcPr>
          <w:p w14:paraId="3F7D010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2014</w:t>
            </w:r>
          </w:p>
        </w:tc>
        <w:tc>
          <w:tcPr>
            <w:tcW w:w="1945" w:type="dxa"/>
            <w:tcBorders>
              <w:top w:val="nil"/>
              <w:left w:val="nil"/>
              <w:bottom w:val="nil"/>
              <w:right w:val="nil"/>
            </w:tcBorders>
            <w:noWrap/>
            <w:vAlign w:val="bottom"/>
            <w:hideMark/>
          </w:tcPr>
          <w:p w14:paraId="399D2BC8"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4</w:t>
            </w:r>
          </w:p>
        </w:tc>
        <w:tc>
          <w:tcPr>
            <w:tcW w:w="996" w:type="dxa"/>
            <w:tcBorders>
              <w:top w:val="nil"/>
              <w:left w:val="nil"/>
              <w:bottom w:val="nil"/>
              <w:right w:val="nil"/>
            </w:tcBorders>
            <w:noWrap/>
            <w:vAlign w:val="bottom"/>
            <w:hideMark/>
          </w:tcPr>
          <w:p w14:paraId="5DA56102"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11</w:t>
            </w:r>
          </w:p>
        </w:tc>
        <w:tc>
          <w:tcPr>
            <w:tcW w:w="2499" w:type="dxa"/>
            <w:tcBorders>
              <w:top w:val="nil"/>
              <w:left w:val="nil"/>
              <w:bottom w:val="nil"/>
              <w:right w:val="nil"/>
            </w:tcBorders>
            <w:noWrap/>
            <w:vAlign w:val="bottom"/>
            <w:hideMark/>
          </w:tcPr>
          <w:p w14:paraId="2C87834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73.3%</w:t>
            </w:r>
          </w:p>
        </w:tc>
      </w:tr>
      <w:tr w:rsidR="00F47378" w:rsidRPr="00F47378" w14:paraId="2B9012BE"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152BBE7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2015</w:t>
            </w:r>
          </w:p>
        </w:tc>
        <w:tc>
          <w:tcPr>
            <w:tcW w:w="1945" w:type="dxa"/>
            <w:tcBorders>
              <w:top w:val="nil"/>
              <w:left w:val="nil"/>
              <w:bottom w:val="nil"/>
              <w:right w:val="nil"/>
            </w:tcBorders>
            <w:shd w:val="clear" w:color="000000" w:fill="ACD3C4"/>
            <w:noWrap/>
            <w:vAlign w:val="bottom"/>
            <w:hideMark/>
          </w:tcPr>
          <w:p w14:paraId="4A36FB3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3</w:t>
            </w:r>
          </w:p>
        </w:tc>
        <w:tc>
          <w:tcPr>
            <w:tcW w:w="996" w:type="dxa"/>
            <w:tcBorders>
              <w:top w:val="nil"/>
              <w:left w:val="nil"/>
              <w:bottom w:val="nil"/>
              <w:right w:val="nil"/>
            </w:tcBorders>
            <w:shd w:val="clear" w:color="000000" w:fill="ACD3C4"/>
            <w:noWrap/>
            <w:vAlign w:val="bottom"/>
            <w:hideMark/>
          </w:tcPr>
          <w:p w14:paraId="3A4FCC2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15</w:t>
            </w:r>
          </w:p>
        </w:tc>
        <w:tc>
          <w:tcPr>
            <w:tcW w:w="2499" w:type="dxa"/>
            <w:tcBorders>
              <w:top w:val="nil"/>
              <w:left w:val="nil"/>
              <w:bottom w:val="nil"/>
              <w:right w:val="nil"/>
            </w:tcBorders>
            <w:shd w:val="clear" w:color="000000" w:fill="ACD3C4"/>
            <w:noWrap/>
            <w:vAlign w:val="bottom"/>
            <w:hideMark/>
          </w:tcPr>
          <w:p w14:paraId="22582BAB"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83.3%</w:t>
            </w:r>
          </w:p>
        </w:tc>
      </w:tr>
      <w:tr w:rsidR="00F47378" w:rsidRPr="00F47378" w14:paraId="78240782" w14:textId="77777777" w:rsidTr="004256E4">
        <w:trPr>
          <w:trHeight w:val="300"/>
          <w:jc w:val="center"/>
        </w:trPr>
        <w:tc>
          <w:tcPr>
            <w:tcW w:w="720" w:type="dxa"/>
            <w:tcBorders>
              <w:top w:val="nil"/>
              <w:left w:val="nil"/>
              <w:bottom w:val="nil"/>
              <w:right w:val="nil"/>
            </w:tcBorders>
            <w:noWrap/>
            <w:vAlign w:val="bottom"/>
            <w:hideMark/>
          </w:tcPr>
          <w:p w14:paraId="512BD1C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2016</w:t>
            </w:r>
          </w:p>
        </w:tc>
        <w:tc>
          <w:tcPr>
            <w:tcW w:w="1945" w:type="dxa"/>
            <w:tcBorders>
              <w:top w:val="nil"/>
              <w:left w:val="nil"/>
              <w:bottom w:val="nil"/>
              <w:right w:val="nil"/>
            </w:tcBorders>
            <w:noWrap/>
            <w:vAlign w:val="bottom"/>
            <w:hideMark/>
          </w:tcPr>
          <w:p w14:paraId="191B6F1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w:t>
            </w:r>
          </w:p>
        </w:tc>
        <w:tc>
          <w:tcPr>
            <w:tcW w:w="996" w:type="dxa"/>
            <w:tcBorders>
              <w:top w:val="nil"/>
              <w:left w:val="nil"/>
              <w:bottom w:val="nil"/>
              <w:right w:val="nil"/>
            </w:tcBorders>
            <w:noWrap/>
            <w:vAlign w:val="bottom"/>
            <w:hideMark/>
          </w:tcPr>
          <w:p w14:paraId="4C81E79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22</w:t>
            </w:r>
          </w:p>
        </w:tc>
        <w:tc>
          <w:tcPr>
            <w:tcW w:w="2499" w:type="dxa"/>
            <w:tcBorders>
              <w:top w:val="nil"/>
              <w:left w:val="nil"/>
              <w:bottom w:val="nil"/>
              <w:right w:val="nil"/>
            </w:tcBorders>
            <w:noWrap/>
            <w:vAlign w:val="bottom"/>
            <w:hideMark/>
          </w:tcPr>
          <w:p w14:paraId="2E9DD5E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75.9%</w:t>
            </w:r>
          </w:p>
        </w:tc>
      </w:tr>
      <w:tr w:rsidR="00F47378" w:rsidRPr="00F47378" w14:paraId="7F778E72"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19410B7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2017</w:t>
            </w:r>
          </w:p>
        </w:tc>
        <w:tc>
          <w:tcPr>
            <w:tcW w:w="1945" w:type="dxa"/>
            <w:tcBorders>
              <w:top w:val="nil"/>
              <w:left w:val="nil"/>
              <w:bottom w:val="nil"/>
              <w:right w:val="nil"/>
            </w:tcBorders>
            <w:shd w:val="clear" w:color="000000" w:fill="ACD3C4"/>
            <w:noWrap/>
            <w:vAlign w:val="bottom"/>
            <w:hideMark/>
          </w:tcPr>
          <w:p w14:paraId="6F61131D"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5</w:t>
            </w:r>
          </w:p>
        </w:tc>
        <w:tc>
          <w:tcPr>
            <w:tcW w:w="996" w:type="dxa"/>
            <w:tcBorders>
              <w:top w:val="nil"/>
              <w:left w:val="nil"/>
              <w:bottom w:val="nil"/>
              <w:right w:val="nil"/>
            </w:tcBorders>
            <w:shd w:val="clear" w:color="000000" w:fill="ACD3C4"/>
            <w:noWrap/>
            <w:vAlign w:val="bottom"/>
            <w:hideMark/>
          </w:tcPr>
          <w:p w14:paraId="7A2745A7"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12</w:t>
            </w:r>
          </w:p>
        </w:tc>
        <w:tc>
          <w:tcPr>
            <w:tcW w:w="2499" w:type="dxa"/>
            <w:tcBorders>
              <w:top w:val="nil"/>
              <w:left w:val="nil"/>
              <w:bottom w:val="nil"/>
              <w:right w:val="nil"/>
            </w:tcBorders>
            <w:shd w:val="clear" w:color="000000" w:fill="ACD3C4"/>
            <w:noWrap/>
            <w:vAlign w:val="bottom"/>
            <w:hideMark/>
          </w:tcPr>
          <w:p w14:paraId="4FA81D4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70.6%</w:t>
            </w:r>
          </w:p>
        </w:tc>
      </w:tr>
      <w:tr w:rsidR="00F47378" w:rsidRPr="00F47378" w14:paraId="0E527B89" w14:textId="77777777" w:rsidTr="004256E4">
        <w:trPr>
          <w:trHeight w:val="300"/>
          <w:jc w:val="center"/>
        </w:trPr>
        <w:tc>
          <w:tcPr>
            <w:tcW w:w="720" w:type="dxa"/>
            <w:tcBorders>
              <w:top w:val="nil"/>
              <w:left w:val="nil"/>
              <w:bottom w:val="nil"/>
              <w:right w:val="nil"/>
            </w:tcBorders>
            <w:noWrap/>
            <w:vAlign w:val="bottom"/>
            <w:hideMark/>
          </w:tcPr>
          <w:p w14:paraId="28A095F7"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2018</w:t>
            </w:r>
          </w:p>
        </w:tc>
        <w:tc>
          <w:tcPr>
            <w:tcW w:w="1945" w:type="dxa"/>
            <w:tcBorders>
              <w:top w:val="nil"/>
              <w:left w:val="nil"/>
              <w:bottom w:val="nil"/>
              <w:right w:val="nil"/>
            </w:tcBorders>
            <w:noWrap/>
            <w:vAlign w:val="bottom"/>
            <w:hideMark/>
          </w:tcPr>
          <w:p w14:paraId="33A5E39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6</w:t>
            </w:r>
          </w:p>
        </w:tc>
        <w:tc>
          <w:tcPr>
            <w:tcW w:w="996" w:type="dxa"/>
            <w:tcBorders>
              <w:top w:val="nil"/>
              <w:left w:val="nil"/>
              <w:bottom w:val="nil"/>
              <w:right w:val="nil"/>
            </w:tcBorders>
            <w:noWrap/>
            <w:vAlign w:val="bottom"/>
            <w:hideMark/>
          </w:tcPr>
          <w:p w14:paraId="7E19274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w:t>
            </w:r>
          </w:p>
        </w:tc>
        <w:tc>
          <w:tcPr>
            <w:tcW w:w="2499" w:type="dxa"/>
            <w:tcBorders>
              <w:top w:val="nil"/>
              <w:left w:val="nil"/>
              <w:bottom w:val="nil"/>
              <w:right w:val="nil"/>
            </w:tcBorders>
            <w:noWrap/>
            <w:vAlign w:val="bottom"/>
            <w:hideMark/>
          </w:tcPr>
          <w:p w14:paraId="26044EDF"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62.5%</w:t>
            </w:r>
          </w:p>
        </w:tc>
      </w:tr>
      <w:tr w:rsidR="00F47378" w:rsidRPr="00F47378" w14:paraId="2CC029EF"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0D59E4E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2019</w:t>
            </w:r>
          </w:p>
        </w:tc>
        <w:tc>
          <w:tcPr>
            <w:tcW w:w="1945" w:type="dxa"/>
            <w:tcBorders>
              <w:top w:val="nil"/>
              <w:left w:val="nil"/>
              <w:bottom w:val="nil"/>
              <w:right w:val="nil"/>
            </w:tcBorders>
            <w:shd w:val="clear" w:color="000000" w:fill="ACD3C4"/>
            <w:noWrap/>
            <w:vAlign w:val="bottom"/>
            <w:hideMark/>
          </w:tcPr>
          <w:p w14:paraId="4CB02DB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w:t>
            </w:r>
          </w:p>
        </w:tc>
        <w:tc>
          <w:tcPr>
            <w:tcW w:w="996" w:type="dxa"/>
            <w:tcBorders>
              <w:top w:val="nil"/>
              <w:left w:val="nil"/>
              <w:bottom w:val="nil"/>
              <w:right w:val="nil"/>
            </w:tcBorders>
            <w:shd w:val="clear" w:color="000000" w:fill="ACD3C4"/>
            <w:noWrap/>
            <w:vAlign w:val="bottom"/>
            <w:hideMark/>
          </w:tcPr>
          <w:p w14:paraId="1DD79D1B" w14:textId="00C4C721" w:rsidR="00F47378" w:rsidRPr="00F47378" w:rsidRDefault="00E45D24" w:rsidP="00F47378">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6</w:t>
            </w:r>
          </w:p>
        </w:tc>
        <w:tc>
          <w:tcPr>
            <w:tcW w:w="2499" w:type="dxa"/>
            <w:tcBorders>
              <w:top w:val="nil"/>
              <w:left w:val="nil"/>
              <w:bottom w:val="nil"/>
              <w:right w:val="nil"/>
            </w:tcBorders>
            <w:shd w:val="clear" w:color="000000" w:fill="ACD3C4"/>
            <w:noWrap/>
            <w:vAlign w:val="bottom"/>
            <w:hideMark/>
          </w:tcPr>
          <w:p w14:paraId="73B2C86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88.9%</w:t>
            </w:r>
          </w:p>
        </w:tc>
      </w:tr>
      <w:tr w:rsidR="00F47378" w:rsidRPr="00F47378" w14:paraId="6B1A67AE" w14:textId="77777777" w:rsidTr="004256E4">
        <w:trPr>
          <w:trHeight w:val="300"/>
          <w:jc w:val="center"/>
        </w:trPr>
        <w:tc>
          <w:tcPr>
            <w:tcW w:w="720" w:type="dxa"/>
            <w:tcBorders>
              <w:top w:val="nil"/>
              <w:left w:val="nil"/>
              <w:bottom w:val="nil"/>
              <w:right w:val="nil"/>
            </w:tcBorders>
            <w:noWrap/>
            <w:vAlign w:val="bottom"/>
            <w:hideMark/>
          </w:tcPr>
          <w:p w14:paraId="631586F8"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2020</w:t>
            </w:r>
          </w:p>
        </w:tc>
        <w:tc>
          <w:tcPr>
            <w:tcW w:w="1945" w:type="dxa"/>
            <w:tcBorders>
              <w:top w:val="nil"/>
              <w:left w:val="nil"/>
              <w:bottom w:val="nil"/>
              <w:right w:val="nil"/>
            </w:tcBorders>
            <w:noWrap/>
            <w:vAlign w:val="bottom"/>
            <w:hideMark/>
          </w:tcPr>
          <w:p w14:paraId="4BE7CD6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p>
        </w:tc>
        <w:tc>
          <w:tcPr>
            <w:tcW w:w="996" w:type="dxa"/>
            <w:tcBorders>
              <w:top w:val="nil"/>
              <w:left w:val="nil"/>
              <w:bottom w:val="nil"/>
              <w:right w:val="nil"/>
            </w:tcBorders>
            <w:noWrap/>
            <w:vAlign w:val="bottom"/>
            <w:hideMark/>
          </w:tcPr>
          <w:p w14:paraId="16C0E00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w:t>
            </w:r>
          </w:p>
        </w:tc>
        <w:tc>
          <w:tcPr>
            <w:tcW w:w="2499" w:type="dxa"/>
            <w:tcBorders>
              <w:top w:val="nil"/>
              <w:left w:val="nil"/>
              <w:bottom w:val="nil"/>
              <w:right w:val="nil"/>
            </w:tcBorders>
            <w:noWrap/>
            <w:vAlign w:val="bottom"/>
            <w:hideMark/>
          </w:tcPr>
          <w:p w14:paraId="005F8267"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4AAA545C"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6F087C3D"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2021</w:t>
            </w:r>
          </w:p>
        </w:tc>
        <w:tc>
          <w:tcPr>
            <w:tcW w:w="1945" w:type="dxa"/>
            <w:tcBorders>
              <w:top w:val="nil"/>
              <w:left w:val="nil"/>
              <w:bottom w:val="nil"/>
              <w:right w:val="nil"/>
            </w:tcBorders>
            <w:shd w:val="clear" w:color="000000" w:fill="ACD3C4"/>
            <w:noWrap/>
            <w:vAlign w:val="bottom"/>
            <w:hideMark/>
          </w:tcPr>
          <w:p w14:paraId="33932C51"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 </w:t>
            </w:r>
          </w:p>
        </w:tc>
        <w:tc>
          <w:tcPr>
            <w:tcW w:w="996" w:type="dxa"/>
            <w:tcBorders>
              <w:top w:val="nil"/>
              <w:left w:val="nil"/>
              <w:bottom w:val="nil"/>
              <w:right w:val="nil"/>
            </w:tcBorders>
            <w:shd w:val="clear" w:color="000000" w:fill="ACD3C4"/>
            <w:noWrap/>
            <w:vAlign w:val="bottom"/>
            <w:hideMark/>
          </w:tcPr>
          <w:p w14:paraId="3017F88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13</w:t>
            </w:r>
          </w:p>
        </w:tc>
        <w:tc>
          <w:tcPr>
            <w:tcW w:w="2499" w:type="dxa"/>
            <w:tcBorders>
              <w:top w:val="nil"/>
              <w:left w:val="nil"/>
              <w:bottom w:val="nil"/>
              <w:right w:val="nil"/>
            </w:tcBorders>
            <w:shd w:val="clear" w:color="000000" w:fill="ACD3C4"/>
            <w:noWrap/>
            <w:vAlign w:val="bottom"/>
            <w:hideMark/>
          </w:tcPr>
          <w:p w14:paraId="22A5B8AC"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4936DAC1" w14:textId="77777777" w:rsidTr="004256E4">
        <w:trPr>
          <w:trHeight w:val="300"/>
          <w:jc w:val="center"/>
        </w:trPr>
        <w:tc>
          <w:tcPr>
            <w:tcW w:w="720" w:type="dxa"/>
            <w:tcBorders>
              <w:top w:val="nil"/>
              <w:left w:val="nil"/>
              <w:bottom w:val="nil"/>
              <w:right w:val="nil"/>
            </w:tcBorders>
            <w:noWrap/>
            <w:vAlign w:val="bottom"/>
            <w:hideMark/>
          </w:tcPr>
          <w:p w14:paraId="037317E8"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2022</w:t>
            </w:r>
          </w:p>
        </w:tc>
        <w:tc>
          <w:tcPr>
            <w:tcW w:w="1945" w:type="dxa"/>
            <w:tcBorders>
              <w:top w:val="nil"/>
              <w:left w:val="nil"/>
              <w:bottom w:val="nil"/>
              <w:right w:val="nil"/>
            </w:tcBorders>
            <w:noWrap/>
            <w:vAlign w:val="bottom"/>
            <w:hideMark/>
          </w:tcPr>
          <w:p w14:paraId="7168C185"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p>
        </w:tc>
        <w:tc>
          <w:tcPr>
            <w:tcW w:w="996" w:type="dxa"/>
            <w:tcBorders>
              <w:top w:val="nil"/>
              <w:left w:val="nil"/>
              <w:bottom w:val="nil"/>
              <w:right w:val="nil"/>
            </w:tcBorders>
            <w:noWrap/>
            <w:vAlign w:val="bottom"/>
            <w:hideMark/>
          </w:tcPr>
          <w:p w14:paraId="5AD50BE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5</w:t>
            </w:r>
          </w:p>
        </w:tc>
        <w:tc>
          <w:tcPr>
            <w:tcW w:w="2499" w:type="dxa"/>
            <w:tcBorders>
              <w:top w:val="nil"/>
              <w:left w:val="nil"/>
              <w:bottom w:val="nil"/>
              <w:right w:val="nil"/>
            </w:tcBorders>
            <w:noWrap/>
            <w:vAlign w:val="bottom"/>
            <w:hideMark/>
          </w:tcPr>
          <w:p w14:paraId="3A361E58"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12C68B16"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5872EE3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2023</w:t>
            </w:r>
          </w:p>
        </w:tc>
        <w:tc>
          <w:tcPr>
            <w:tcW w:w="1945" w:type="dxa"/>
            <w:tcBorders>
              <w:top w:val="nil"/>
              <w:left w:val="nil"/>
              <w:bottom w:val="nil"/>
              <w:right w:val="nil"/>
            </w:tcBorders>
            <w:shd w:val="clear" w:color="000000" w:fill="ACD3C4"/>
            <w:noWrap/>
            <w:vAlign w:val="bottom"/>
            <w:hideMark/>
          </w:tcPr>
          <w:p w14:paraId="4C296E20"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 </w:t>
            </w:r>
          </w:p>
        </w:tc>
        <w:tc>
          <w:tcPr>
            <w:tcW w:w="996" w:type="dxa"/>
            <w:tcBorders>
              <w:top w:val="nil"/>
              <w:left w:val="nil"/>
              <w:bottom w:val="nil"/>
              <w:right w:val="nil"/>
            </w:tcBorders>
            <w:shd w:val="clear" w:color="000000" w:fill="ACD3C4"/>
            <w:noWrap/>
            <w:vAlign w:val="bottom"/>
            <w:hideMark/>
          </w:tcPr>
          <w:p w14:paraId="6C7299A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8</w:t>
            </w:r>
          </w:p>
        </w:tc>
        <w:tc>
          <w:tcPr>
            <w:tcW w:w="2499" w:type="dxa"/>
            <w:tcBorders>
              <w:top w:val="nil"/>
              <w:left w:val="nil"/>
              <w:bottom w:val="nil"/>
              <w:right w:val="nil"/>
            </w:tcBorders>
            <w:shd w:val="clear" w:color="000000" w:fill="ACD3C4"/>
            <w:noWrap/>
            <w:vAlign w:val="bottom"/>
            <w:hideMark/>
          </w:tcPr>
          <w:p w14:paraId="037DF90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6F24F6D3" w14:textId="77777777" w:rsidTr="004256E4">
        <w:trPr>
          <w:trHeight w:val="300"/>
          <w:jc w:val="center"/>
        </w:trPr>
        <w:tc>
          <w:tcPr>
            <w:tcW w:w="720" w:type="dxa"/>
            <w:tcBorders>
              <w:top w:val="nil"/>
              <w:left w:val="nil"/>
              <w:bottom w:val="nil"/>
              <w:right w:val="nil"/>
            </w:tcBorders>
            <w:noWrap/>
            <w:vAlign w:val="bottom"/>
            <w:hideMark/>
          </w:tcPr>
          <w:p w14:paraId="65D277CC"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2024</w:t>
            </w:r>
          </w:p>
        </w:tc>
        <w:tc>
          <w:tcPr>
            <w:tcW w:w="1945" w:type="dxa"/>
            <w:tcBorders>
              <w:top w:val="nil"/>
              <w:left w:val="nil"/>
              <w:bottom w:val="nil"/>
              <w:right w:val="nil"/>
            </w:tcBorders>
            <w:noWrap/>
            <w:vAlign w:val="bottom"/>
            <w:hideMark/>
          </w:tcPr>
          <w:p w14:paraId="564ABEC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p>
        </w:tc>
        <w:tc>
          <w:tcPr>
            <w:tcW w:w="996" w:type="dxa"/>
            <w:tcBorders>
              <w:top w:val="nil"/>
              <w:left w:val="nil"/>
              <w:bottom w:val="nil"/>
              <w:right w:val="nil"/>
            </w:tcBorders>
            <w:noWrap/>
            <w:vAlign w:val="bottom"/>
            <w:hideMark/>
          </w:tcPr>
          <w:p w14:paraId="0C85A0D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4</w:t>
            </w:r>
          </w:p>
        </w:tc>
        <w:tc>
          <w:tcPr>
            <w:tcW w:w="2499" w:type="dxa"/>
            <w:tcBorders>
              <w:top w:val="nil"/>
              <w:left w:val="nil"/>
              <w:bottom w:val="nil"/>
              <w:right w:val="nil"/>
            </w:tcBorders>
            <w:noWrap/>
            <w:vAlign w:val="bottom"/>
            <w:hideMark/>
          </w:tcPr>
          <w:p w14:paraId="7D7791E5"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698FA7CA"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781DE792"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2025</w:t>
            </w:r>
          </w:p>
        </w:tc>
        <w:tc>
          <w:tcPr>
            <w:tcW w:w="1945" w:type="dxa"/>
            <w:tcBorders>
              <w:top w:val="nil"/>
              <w:left w:val="nil"/>
              <w:bottom w:val="nil"/>
              <w:right w:val="nil"/>
            </w:tcBorders>
            <w:shd w:val="clear" w:color="000000" w:fill="ACD3C4"/>
            <w:noWrap/>
            <w:vAlign w:val="bottom"/>
            <w:hideMark/>
          </w:tcPr>
          <w:p w14:paraId="2E49D40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 </w:t>
            </w:r>
          </w:p>
        </w:tc>
        <w:tc>
          <w:tcPr>
            <w:tcW w:w="996" w:type="dxa"/>
            <w:tcBorders>
              <w:top w:val="nil"/>
              <w:left w:val="nil"/>
              <w:bottom w:val="nil"/>
              <w:right w:val="nil"/>
            </w:tcBorders>
            <w:shd w:val="clear" w:color="000000" w:fill="ACD3C4"/>
            <w:noWrap/>
            <w:vAlign w:val="bottom"/>
            <w:hideMark/>
          </w:tcPr>
          <w:p w14:paraId="61582AD2"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17</w:t>
            </w:r>
          </w:p>
        </w:tc>
        <w:tc>
          <w:tcPr>
            <w:tcW w:w="2499" w:type="dxa"/>
            <w:tcBorders>
              <w:top w:val="nil"/>
              <w:left w:val="nil"/>
              <w:bottom w:val="nil"/>
              <w:right w:val="nil"/>
            </w:tcBorders>
            <w:shd w:val="clear" w:color="000000" w:fill="ACD3C4"/>
            <w:noWrap/>
            <w:vAlign w:val="bottom"/>
            <w:hideMark/>
          </w:tcPr>
          <w:p w14:paraId="0E6F940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03238F65" w14:textId="77777777" w:rsidTr="004256E4">
        <w:trPr>
          <w:trHeight w:val="300"/>
          <w:jc w:val="center"/>
        </w:trPr>
        <w:tc>
          <w:tcPr>
            <w:tcW w:w="720" w:type="dxa"/>
            <w:tcBorders>
              <w:top w:val="nil"/>
              <w:left w:val="nil"/>
              <w:bottom w:val="nil"/>
              <w:right w:val="nil"/>
            </w:tcBorders>
            <w:noWrap/>
            <w:vAlign w:val="bottom"/>
            <w:hideMark/>
          </w:tcPr>
          <w:p w14:paraId="4724CDE5"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2026</w:t>
            </w:r>
          </w:p>
        </w:tc>
        <w:tc>
          <w:tcPr>
            <w:tcW w:w="1945" w:type="dxa"/>
            <w:tcBorders>
              <w:top w:val="nil"/>
              <w:left w:val="nil"/>
              <w:bottom w:val="nil"/>
              <w:right w:val="nil"/>
            </w:tcBorders>
            <w:noWrap/>
            <w:vAlign w:val="bottom"/>
            <w:hideMark/>
          </w:tcPr>
          <w:p w14:paraId="69FB980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p>
        </w:tc>
        <w:tc>
          <w:tcPr>
            <w:tcW w:w="996" w:type="dxa"/>
            <w:tcBorders>
              <w:top w:val="nil"/>
              <w:left w:val="nil"/>
              <w:bottom w:val="nil"/>
              <w:right w:val="nil"/>
            </w:tcBorders>
            <w:noWrap/>
            <w:vAlign w:val="bottom"/>
            <w:hideMark/>
          </w:tcPr>
          <w:p w14:paraId="7404AD4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w:t>
            </w:r>
          </w:p>
        </w:tc>
        <w:tc>
          <w:tcPr>
            <w:tcW w:w="2499" w:type="dxa"/>
            <w:tcBorders>
              <w:top w:val="nil"/>
              <w:left w:val="nil"/>
              <w:bottom w:val="nil"/>
              <w:right w:val="nil"/>
            </w:tcBorders>
            <w:noWrap/>
            <w:vAlign w:val="bottom"/>
            <w:hideMark/>
          </w:tcPr>
          <w:p w14:paraId="727810A5"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2C200311" w14:textId="77777777" w:rsidTr="004256E4">
        <w:trPr>
          <w:trHeight w:val="315"/>
          <w:jc w:val="center"/>
        </w:trPr>
        <w:tc>
          <w:tcPr>
            <w:tcW w:w="720" w:type="dxa"/>
            <w:tcBorders>
              <w:top w:val="nil"/>
              <w:left w:val="nil"/>
              <w:bottom w:val="double" w:sz="6" w:space="0" w:color="auto"/>
              <w:right w:val="nil"/>
            </w:tcBorders>
            <w:shd w:val="clear" w:color="000000" w:fill="ACD3C4"/>
            <w:noWrap/>
            <w:vAlign w:val="bottom"/>
            <w:hideMark/>
          </w:tcPr>
          <w:p w14:paraId="0640B624"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lastRenderedPageBreak/>
              <w:t>Total</w:t>
            </w:r>
          </w:p>
        </w:tc>
        <w:tc>
          <w:tcPr>
            <w:tcW w:w="1945" w:type="dxa"/>
            <w:tcBorders>
              <w:top w:val="nil"/>
              <w:left w:val="nil"/>
              <w:bottom w:val="double" w:sz="6" w:space="0" w:color="auto"/>
              <w:right w:val="nil"/>
            </w:tcBorders>
            <w:shd w:val="clear" w:color="000000" w:fill="ACD3C4"/>
            <w:noWrap/>
            <w:vAlign w:val="bottom"/>
            <w:hideMark/>
          </w:tcPr>
          <w:p w14:paraId="7B982924"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44</w:t>
            </w:r>
          </w:p>
        </w:tc>
        <w:tc>
          <w:tcPr>
            <w:tcW w:w="996" w:type="dxa"/>
            <w:tcBorders>
              <w:top w:val="nil"/>
              <w:left w:val="nil"/>
              <w:bottom w:val="double" w:sz="6" w:space="0" w:color="auto"/>
              <w:right w:val="nil"/>
            </w:tcBorders>
            <w:shd w:val="clear" w:color="000000" w:fill="ACD3C4"/>
            <w:noWrap/>
            <w:vAlign w:val="bottom"/>
            <w:hideMark/>
          </w:tcPr>
          <w:p w14:paraId="176F4567" w14:textId="66AAD6D8"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19</w:t>
            </w:r>
            <w:r w:rsidR="00E45D24">
              <w:rPr>
                <w:rFonts w:ascii="Calibri" w:eastAsia="Times New Roman" w:hAnsi="Calibri" w:cs="Calibri"/>
                <w:b/>
                <w:bCs/>
                <w:color w:val="000000"/>
                <w:kern w:val="0"/>
                <w:sz w:val="22"/>
                <w:szCs w:val="22"/>
                <w14:ligatures w14:val="none"/>
              </w:rPr>
              <w:t>1</w:t>
            </w:r>
          </w:p>
        </w:tc>
        <w:tc>
          <w:tcPr>
            <w:tcW w:w="2499" w:type="dxa"/>
            <w:tcBorders>
              <w:top w:val="nil"/>
              <w:left w:val="nil"/>
              <w:bottom w:val="double" w:sz="6" w:space="0" w:color="auto"/>
              <w:right w:val="nil"/>
            </w:tcBorders>
            <w:shd w:val="clear" w:color="000000" w:fill="ACD3C4"/>
            <w:noWrap/>
            <w:vAlign w:val="bottom"/>
            <w:hideMark/>
          </w:tcPr>
          <w:p w14:paraId="22C64A60"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81.4%</w:t>
            </w:r>
          </w:p>
        </w:tc>
      </w:tr>
    </w:tbl>
    <w:p w14:paraId="5CD9B23B" w14:textId="77777777" w:rsidR="00D96854" w:rsidRDefault="00D96854" w:rsidP="004256E4">
      <w:pPr>
        <w:rPr>
          <w:rFonts w:cstheme="minorHAnsi"/>
        </w:rPr>
      </w:pPr>
    </w:p>
    <w:p w14:paraId="3F9DC1D9" w14:textId="2284D485" w:rsidR="004256E4" w:rsidRPr="004256E4" w:rsidRDefault="004256E4" w:rsidP="004256E4">
      <w:pPr>
        <w:rPr>
          <w:rFonts w:cstheme="minorHAnsi"/>
        </w:rPr>
      </w:pPr>
      <w:r w:rsidRPr="004256E4">
        <w:rPr>
          <w:rFonts w:cstheme="minorHAnsi"/>
        </w:rPr>
        <w:t>Este patrón es consistente a lo largo del tiempo. En la mayoría de los años analizados, una proporción significativa de las medidas adoptadas contra China continúa vigente, y en varios periodos recientes la totalidad de las medidas implementadas permanece activa. Esta persistencia refleja que múltiples autoridades comerciales alrededor del mundo han concluido, en revisiones sucesivas, que la eliminación de las medidas probablemente conduciría a la continuación o recurrencia del dumping.</w:t>
      </w:r>
    </w:p>
    <w:p w14:paraId="2622455F" w14:textId="5A8E04F6" w:rsidR="00301FCB" w:rsidRPr="00A00EF0" w:rsidRDefault="004256E4" w:rsidP="00301FCB">
      <w:pPr>
        <w:rPr>
          <w:rFonts w:cstheme="minorHAnsi"/>
        </w:rPr>
      </w:pPr>
      <w:r w:rsidRPr="004256E4">
        <w:rPr>
          <w:rFonts w:cstheme="minorHAnsi"/>
        </w:rPr>
        <w:t>En consecuencia, la evidencia internacional sugiere que las distorsiones estructurales en la industria siderúrgica china y los incentivos a la exportación continúan generando preocupaciones sobre competencia desleal en los mercados internacionales. Este patrón constituye un indicio relevante al evaluar la probabilidad de recurrencia del dumping en ausencia de medidas de defensa comercial.</w:t>
      </w:r>
    </w:p>
    <w:p w14:paraId="673F410E" w14:textId="77777777" w:rsidR="00301FCB" w:rsidRPr="00A00EF0" w:rsidRDefault="00301FCB" w:rsidP="00301FCB">
      <w:pPr>
        <w:pStyle w:val="Heading2"/>
        <w:rPr>
          <w:rFonts w:asciiTheme="minorHAnsi" w:hAnsiTheme="minorHAnsi" w:cstheme="minorHAnsi"/>
        </w:rPr>
      </w:pPr>
      <w:bookmarkStart w:id="11" w:name="_Toc224657493"/>
      <w:r w:rsidRPr="00A00EF0">
        <w:rPr>
          <w:rFonts w:asciiTheme="minorHAnsi" w:hAnsiTheme="minorHAnsi" w:cstheme="minorHAnsi"/>
        </w:rPr>
        <w:t>Metodología para la estimación del margen de dumping</w:t>
      </w:r>
      <w:bookmarkEnd w:id="11"/>
    </w:p>
    <w:p w14:paraId="4E8BA4B4" w14:textId="77777777" w:rsidR="00301FCB" w:rsidRPr="00A00EF0" w:rsidRDefault="00301FCB" w:rsidP="00301FCB">
      <w:pPr>
        <w:rPr>
          <w:rFonts w:cstheme="minorHAnsi"/>
        </w:rPr>
      </w:pPr>
      <w:r w:rsidRPr="00A00EF0">
        <w:rPr>
          <w:rFonts w:cstheme="minorHAnsi"/>
        </w:rPr>
        <w:t>En investigaciones antidumping, el margen de dumping se determina mediante la comparación entre el valor normal y el precio de exportación del producto investigado.</w:t>
      </w:r>
    </w:p>
    <w:p w14:paraId="5E3A6F52" w14:textId="77777777" w:rsidR="00301FCB" w:rsidRPr="00A00EF0" w:rsidRDefault="00301FCB" w:rsidP="00301FCB">
      <w:pPr>
        <w:rPr>
          <w:rFonts w:cstheme="minorHAnsi"/>
        </w:rPr>
      </w:pPr>
      <w:r w:rsidRPr="00A00EF0">
        <w:rPr>
          <w:rFonts w:cstheme="minorHAnsi"/>
        </w:rPr>
        <w:t>Como se explicó en la sección anterior, la República Popular China no es considerada una economía de mercado para fines de investigaciones antidumping, debido a la existencia de distorsiones significativas derivadas de la intervención estatal en la asignación de recursos y en la formación de precios.</w:t>
      </w:r>
    </w:p>
    <w:p w14:paraId="02CD8624" w14:textId="77777777" w:rsidR="00301FCB" w:rsidRPr="00A00EF0" w:rsidRDefault="00301FCB" w:rsidP="00301FCB">
      <w:pPr>
        <w:rPr>
          <w:rFonts w:cstheme="minorHAnsi"/>
        </w:rPr>
      </w:pPr>
      <w:r w:rsidRPr="00A00EF0">
        <w:rPr>
          <w:rFonts w:cstheme="minorHAnsi"/>
        </w:rPr>
        <w:t>En consecuencia, los precios domésticos chinos no constituyen una referencia fiable para determinar el valor normal del producto investigado. Por esta razón, conforme a la práctica internacional y a lo establecido en la investigación original del caso, el valor normal fue construido utilizando Brasil como país sustituto o de referencia.</w:t>
      </w:r>
    </w:p>
    <w:p w14:paraId="219FD564" w14:textId="77777777" w:rsidR="00301FCB" w:rsidRPr="00A00EF0" w:rsidRDefault="00301FCB" w:rsidP="00301FCB">
      <w:pPr>
        <w:rPr>
          <w:rFonts w:cstheme="minorHAnsi"/>
        </w:rPr>
      </w:pPr>
      <w:r w:rsidRPr="00A00EF0">
        <w:rPr>
          <w:rFonts w:cstheme="minorHAnsi"/>
        </w:rPr>
        <w:t>Brasil constituye un referente apropiado debido a:</w:t>
      </w:r>
    </w:p>
    <w:p w14:paraId="0BCA2DA8" w14:textId="77777777" w:rsidR="00301FCB" w:rsidRPr="00A00EF0" w:rsidRDefault="00301FCB" w:rsidP="00301FCB">
      <w:pPr>
        <w:numPr>
          <w:ilvl w:val="0"/>
          <w:numId w:val="7"/>
        </w:numPr>
        <w:rPr>
          <w:rFonts w:cstheme="minorHAnsi"/>
        </w:rPr>
      </w:pPr>
      <w:r w:rsidRPr="00A00EF0">
        <w:rPr>
          <w:rFonts w:cstheme="minorHAnsi"/>
        </w:rPr>
        <w:t>su nivel de desarrollo económico comparable al de China;</w:t>
      </w:r>
    </w:p>
    <w:p w14:paraId="664645B8" w14:textId="77777777" w:rsidR="00301FCB" w:rsidRPr="00A00EF0" w:rsidRDefault="00301FCB" w:rsidP="00301FCB">
      <w:pPr>
        <w:numPr>
          <w:ilvl w:val="0"/>
          <w:numId w:val="7"/>
        </w:numPr>
        <w:rPr>
          <w:rFonts w:cstheme="minorHAnsi"/>
        </w:rPr>
      </w:pPr>
      <w:r w:rsidRPr="00A00EF0">
        <w:rPr>
          <w:rFonts w:cstheme="minorHAnsi"/>
        </w:rPr>
        <w:t>la existencia de una industria siderúrgica significativa que produce el producto similar bajo condiciones de mercado; y</w:t>
      </w:r>
    </w:p>
    <w:p w14:paraId="30ED8CD2" w14:textId="77777777" w:rsidR="00301FCB" w:rsidRPr="00A00EF0" w:rsidRDefault="00301FCB" w:rsidP="00301FCB">
      <w:pPr>
        <w:numPr>
          <w:ilvl w:val="0"/>
          <w:numId w:val="7"/>
        </w:numPr>
        <w:rPr>
          <w:rFonts w:cstheme="minorHAnsi"/>
        </w:rPr>
      </w:pPr>
      <w:r w:rsidRPr="00A00EF0">
        <w:rPr>
          <w:rFonts w:cstheme="minorHAnsi"/>
        </w:rPr>
        <w:t>la disponibilidad de información pública y confiable sobre precios domésticos del producto.</w:t>
      </w:r>
    </w:p>
    <w:p w14:paraId="4A952C18" w14:textId="1F2ECA93" w:rsidR="00301FCB" w:rsidRPr="007B42D3" w:rsidRDefault="00301FCB">
      <w:pPr>
        <w:rPr>
          <w:rFonts w:cstheme="minorHAnsi"/>
        </w:rPr>
      </w:pPr>
      <w:r w:rsidRPr="00A00EF0">
        <w:rPr>
          <w:rFonts w:cstheme="minorHAnsi"/>
        </w:rPr>
        <w:lastRenderedPageBreak/>
        <w:t>Bajo esta metodología, el valor normal se aproxima mediante el precio doméstico de varillas de acero en Brasil, mientras que el precio de exportación se aproxima mediante el precio de exportación de varillas de acero de China (FOB puerto principal).</w:t>
      </w:r>
    </w:p>
    <w:p w14:paraId="0F80DB11" w14:textId="2DAC6B17" w:rsidR="00301FCB" w:rsidRPr="00A00EF0" w:rsidRDefault="00301FCB" w:rsidP="00301FCB">
      <w:pPr>
        <w:pStyle w:val="Heading2"/>
        <w:rPr>
          <w:rFonts w:asciiTheme="minorHAnsi" w:hAnsiTheme="minorHAnsi" w:cstheme="minorHAnsi"/>
        </w:rPr>
      </w:pPr>
      <w:bookmarkStart w:id="12" w:name="_Toc224657494"/>
      <w:r w:rsidRPr="00A00EF0">
        <w:rPr>
          <w:rFonts w:asciiTheme="minorHAnsi" w:hAnsiTheme="minorHAnsi" w:cstheme="minorHAnsi"/>
        </w:rPr>
        <w:t>Evolución reciente de los precios y márgenes de dumping</w:t>
      </w:r>
      <w:bookmarkEnd w:id="12"/>
    </w:p>
    <w:p w14:paraId="00C752A1" w14:textId="1237DAA9" w:rsidR="00301FCB" w:rsidRPr="00A00EF0" w:rsidRDefault="00301FCB" w:rsidP="00301FCB">
      <w:pPr>
        <w:rPr>
          <w:rFonts w:cstheme="minorHAnsi"/>
        </w:rPr>
      </w:pPr>
      <w:r w:rsidRPr="00A00EF0">
        <w:rPr>
          <w:rFonts w:cstheme="minorHAnsi"/>
        </w:rPr>
        <w:t>A partir de información de mercado disponible para el período 2021-2025, se compararon los precios de exportación de China con los precios domésticos observados en Brasil.</w:t>
      </w:r>
    </w:p>
    <w:p w14:paraId="0070371E" w14:textId="54E48619" w:rsidR="00301FCB" w:rsidRPr="007B42D3" w:rsidRDefault="00F95A88" w:rsidP="00301FCB">
      <w:pPr>
        <w:rPr>
          <w:rFonts w:cstheme="minorHAnsi"/>
          <w:b/>
          <w:bCs/>
          <w:sz w:val="22"/>
          <w:szCs w:val="22"/>
        </w:rPr>
      </w:pPr>
      <w:r w:rsidRPr="00A00EF0">
        <w:rPr>
          <w:rFonts w:cstheme="minorHAnsi"/>
          <w:b/>
          <w:bCs/>
          <w:sz w:val="22"/>
          <w:szCs w:val="22"/>
        </w:rPr>
        <w:t xml:space="preserve">Tabla </w:t>
      </w:r>
      <w:r w:rsidR="008F4F7E">
        <w:rPr>
          <w:rFonts w:cstheme="minorHAnsi"/>
          <w:b/>
          <w:bCs/>
          <w:sz w:val="22"/>
          <w:szCs w:val="22"/>
        </w:rPr>
        <w:t>4</w:t>
      </w:r>
      <w:r w:rsidRPr="00A00EF0">
        <w:rPr>
          <w:rFonts w:cstheme="minorHAnsi"/>
          <w:b/>
          <w:bCs/>
          <w:sz w:val="22"/>
          <w:szCs w:val="22"/>
        </w:rPr>
        <w:t>. Cálculo de margen de dumping para China</w:t>
      </w:r>
      <w:r w:rsidR="00527288">
        <w:rPr>
          <w:rFonts w:cstheme="minorHAnsi"/>
          <w:b/>
          <w:bCs/>
          <w:sz w:val="22"/>
          <w:szCs w:val="22"/>
        </w:rPr>
        <w:t xml:space="preserve"> </w:t>
      </w:r>
      <w:r w:rsidR="00527288" w:rsidRPr="007B42D3">
        <w:rPr>
          <w:rFonts w:cstheme="minorHAnsi"/>
          <w:b/>
          <w:bCs/>
          <w:sz w:val="22"/>
          <w:szCs w:val="22"/>
        </w:rPr>
        <w:t>(Buscar ajustes para poner el domestico en el puerto)</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5"/>
        <w:gridCol w:w="2160"/>
        <w:gridCol w:w="2160"/>
      </w:tblGrid>
      <w:tr w:rsidR="00301FCB" w:rsidRPr="00A00EF0" w14:paraId="167A2628" w14:textId="77777777" w:rsidTr="00D96854">
        <w:trPr>
          <w:trHeight w:val="335"/>
          <w:jc w:val="center"/>
        </w:trPr>
        <w:tc>
          <w:tcPr>
            <w:tcW w:w="1165" w:type="dxa"/>
            <w:shd w:val="clear" w:color="auto" w:fill="3E7D7E"/>
            <w:noWrap/>
            <w:vAlign w:val="center"/>
          </w:tcPr>
          <w:p w14:paraId="0431F78C" w14:textId="41499CE9" w:rsidR="00301FCB" w:rsidRPr="00A00EF0" w:rsidRDefault="00301FCB" w:rsidP="00301FCB">
            <w:pPr>
              <w:spacing w:after="0" w:line="240" w:lineRule="auto"/>
              <w:jc w:val="center"/>
              <w:rPr>
                <w:rFonts w:eastAsia="Times New Roman" w:cstheme="minorHAnsi"/>
                <w:b/>
                <w:bCs/>
                <w:color w:val="FFFFFF" w:themeColor="background1"/>
                <w:kern w:val="0"/>
                <w:sz w:val="22"/>
                <w:szCs w:val="22"/>
                <w14:ligatures w14:val="none"/>
              </w:rPr>
            </w:pPr>
            <w:r w:rsidRPr="00A00EF0">
              <w:rPr>
                <w:rFonts w:eastAsia="Times New Roman" w:cstheme="minorHAnsi"/>
                <w:b/>
                <w:bCs/>
                <w:color w:val="FFFFFF" w:themeColor="background1"/>
                <w:kern w:val="0"/>
                <w:sz w:val="22"/>
                <w:szCs w:val="22"/>
                <w14:ligatures w14:val="none"/>
              </w:rPr>
              <w:t>Año</w:t>
            </w:r>
          </w:p>
        </w:tc>
        <w:tc>
          <w:tcPr>
            <w:tcW w:w="2075" w:type="dxa"/>
            <w:shd w:val="clear" w:color="auto" w:fill="3E7D7E"/>
            <w:noWrap/>
            <w:vAlign w:val="center"/>
          </w:tcPr>
          <w:p w14:paraId="0BF27986" w14:textId="65DB3610" w:rsidR="00301FCB" w:rsidRPr="00A00EF0" w:rsidRDefault="00301FCB" w:rsidP="00301FCB">
            <w:pPr>
              <w:spacing w:after="0" w:line="240" w:lineRule="auto"/>
              <w:jc w:val="center"/>
              <w:rPr>
                <w:rFonts w:eastAsia="Times New Roman" w:cstheme="minorHAnsi"/>
                <w:b/>
                <w:bCs/>
                <w:color w:val="FFFFFF" w:themeColor="background1"/>
                <w:kern w:val="0"/>
                <w:sz w:val="22"/>
                <w:szCs w:val="22"/>
                <w14:ligatures w14:val="none"/>
              </w:rPr>
            </w:pPr>
            <w:r w:rsidRPr="00A00EF0">
              <w:rPr>
                <w:rFonts w:eastAsia="Times New Roman" w:cstheme="minorHAnsi"/>
                <w:b/>
                <w:bCs/>
                <w:color w:val="FFFFFF" w:themeColor="background1"/>
                <w:kern w:val="0"/>
                <w:sz w:val="22"/>
                <w:szCs w:val="22"/>
                <w14:ligatures w14:val="none"/>
              </w:rPr>
              <w:t>Precio exportación China</w:t>
            </w:r>
          </w:p>
        </w:tc>
        <w:tc>
          <w:tcPr>
            <w:tcW w:w="2160" w:type="dxa"/>
            <w:shd w:val="clear" w:color="auto" w:fill="3E7D7E"/>
            <w:noWrap/>
            <w:vAlign w:val="center"/>
          </w:tcPr>
          <w:p w14:paraId="702CBDFA" w14:textId="4D0B132F" w:rsidR="00301FCB" w:rsidRPr="00A00EF0" w:rsidRDefault="00301FCB" w:rsidP="00301FCB">
            <w:pPr>
              <w:spacing w:after="0" w:line="240" w:lineRule="auto"/>
              <w:jc w:val="center"/>
              <w:rPr>
                <w:rFonts w:eastAsia="Times New Roman" w:cstheme="minorHAnsi"/>
                <w:b/>
                <w:bCs/>
                <w:color w:val="FFFFFF" w:themeColor="background1"/>
                <w:kern w:val="0"/>
                <w:sz w:val="22"/>
                <w:szCs w:val="22"/>
                <w14:ligatures w14:val="none"/>
              </w:rPr>
            </w:pPr>
            <w:r w:rsidRPr="00A00EF0">
              <w:rPr>
                <w:rFonts w:eastAsia="Times New Roman" w:cstheme="minorHAnsi"/>
                <w:b/>
                <w:bCs/>
                <w:color w:val="FFFFFF" w:themeColor="background1"/>
                <w:kern w:val="0"/>
                <w:sz w:val="22"/>
                <w:szCs w:val="22"/>
                <w14:ligatures w14:val="none"/>
              </w:rPr>
              <w:t>Precio Dom</w:t>
            </w:r>
            <w:r w:rsidR="00843C1F" w:rsidRPr="00A00EF0">
              <w:rPr>
                <w:rFonts w:eastAsia="Times New Roman" w:cstheme="minorHAnsi"/>
                <w:b/>
                <w:bCs/>
                <w:color w:val="FFFFFF" w:themeColor="background1"/>
                <w:kern w:val="0"/>
                <w:sz w:val="22"/>
                <w:szCs w:val="22"/>
                <w14:ligatures w14:val="none"/>
              </w:rPr>
              <w:t>é</w:t>
            </w:r>
            <w:r w:rsidRPr="00A00EF0">
              <w:rPr>
                <w:rFonts w:eastAsia="Times New Roman" w:cstheme="minorHAnsi"/>
                <w:b/>
                <w:bCs/>
                <w:color w:val="FFFFFF" w:themeColor="background1"/>
                <w:kern w:val="0"/>
                <w:sz w:val="22"/>
                <w:szCs w:val="22"/>
                <w14:ligatures w14:val="none"/>
              </w:rPr>
              <w:t>stico Brasil</w:t>
            </w:r>
          </w:p>
        </w:tc>
        <w:tc>
          <w:tcPr>
            <w:tcW w:w="2160" w:type="dxa"/>
            <w:shd w:val="clear" w:color="auto" w:fill="3E7D7E"/>
            <w:noWrap/>
            <w:vAlign w:val="center"/>
          </w:tcPr>
          <w:p w14:paraId="7F8117C7" w14:textId="64DF8ED9" w:rsidR="00301FCB" w:rsidRPr="00A00EF0" w:rsidRDefault="00301FCB" w:rsidP="00301FCB">
            <w:pPr>
              <w:spacing w:after="0" w:line="240" w:lineRule="auto"/>
              <w:jc w:val="center"/>
              <w:rPr>
                <w:rFonts w:eastAsia="Times New Roman" w:cstheme="minorHAnsi"/>
                <w:b/>
                <w:bCs/>
                <w:color w:val="FFFFFF" w:themeColor="background1"/>
                <w:kern w:val="0"/>
                <w:sz w:val="22"/>
                <w:szCs w:val="22"/>
                <w14:ligatures w14:val="none"/>
              </w:rPr>
            </w:pPr>
            <w:r w:rsidRPr="00A00EF0">
              <w:rPr>
                <w:rFonts w:eastAsia="Times New Roman" w:cstheme="minorHAnsi"/>
                <w:b/>
                <w:bCs/>
                <w:color w:val="FFFFFF" w:themeColor="background1"/>
                <w:kern w:val="0"/>
                <w:sz w:val="22"/>
                <w:szCs w:val="22"/>
                <w14:ligatures w14:val="none"/>
              </w:rPr>
              <w:t>Margen Dumping</w:t>
            </w:r>
          </w:p>
        </w:tc>
      </w:tr>
      <w:tr w:rsidR="00301FCB" w:rsidRPr="00A00EF0" w14:paraId="60AE921D" w14:textId="77777777" w:rsidTr="00D96854">
        <w:trPr>
          <w:trHeight w:val="335"/>
          <w:jc w:val="center"/>
        </w:trPr>
        <w:tc>
          <w:tcPr>
            <w:tcW w:w="1165" w:type="dxa"/>
            <w:noWrap/>
            <w:vAlign w:val="bottom"/>
          </w:tcPr>
          <w:p w14:paraId="67167F8E" w14:textId="0C5F6F49"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2021</w:t>
            </w:r>
          </w:p>
        </w:tc>
        <w:tc>
          <w:tcPr>
            <w:tcW w:w="2075" w:type="dxa"/>
            <w:noWrap/>
            <w:vAlign w:val="bottom"/>
          </w:tcPr>
          <w:p w14:paraId="65285F2C" w14:textId="46552EB1"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813.5</w:t>
            </w:r>
          </w:p>
        </w:tc>
        <w:tc>
          <w:tcPr>
            <w:tcW w:w="2160" w:type="dxa"/>
            <w:noWrap/>
            <w:vAlign w:val="bottom"/>
          </w:tcPr>
          <w:p w14:paraId="58D80D19" w14:textId="4CED0E46"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949.8</w:t>
            </w:r>
          </w:p>
        </w:tc>
        <w:tc>
          <w:tcPr>
            <w:tcW w:w="2160" w:type="dxa"/>
            <w:noWrap/>
            <w:vAlign w:val="bottom"/>
          </w:tcPr>
          <w:p w14:paraId="737B6A6B" w14:textId="3D496254"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18%</w:t>
            </w:r>
          </w:p>
        </w:tc>
      </w:tr>
      <w:tr w:rsidR="00301FCB" w:rsidRPr="00A00EF0" w14:paraId="032C122C" w14:textId="77777777" w:rsidTr="00D96854">
        <w:trPr>
          <w:trHeight w:val="335"/>
          <w:jc w:val="center"/>
        </w:trPr>
        <w:tc>
          <w:tcPr>
            <w:tcW w:w="1165" w:type="dxa"/>
            <w:noWrap/>
            <w:vAlign w:val="bottom"/>
          </w:tcPr>
          <w:p w14:paraId="24285D7F" w14:textId="7D5678E7"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2022</w:t>
            </w:r>
          </w:p>
        </w:tc>
        <w:tc>
          <w:tcPr>
            <w:tcW w:w="2075" w:type="dxa"/>
            <w:noWrap/>
            <w:vAlign w:val="bottom"/>
          </w:tcPr>
          <w:p w14:paraId="3B978763" w14:textId="434E149F"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711.5</w:t>
            </w:r>
          </w:p>
        </w:tc>
        <w:tc>
          <w:tcPr>
            <w:tcW w:w="2160" w:type="dxa"/>
            <w:noWrap/>
            <w:vAlign w:val="bottom"/>
          </w:tcPr>
          <w:p w14:paraId="3F31A7EC" w14:textId="2579E504"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927.3</w:t>
            </w:r>
          </w:p>
        </w:tc>
        <w:tc>
          <w:tcPr>
            <w:tcW w:w="2160" w:type="dxa"/>
            <w:noWrap/>
            <w:vAlign w:val="bottom"/>
          </w:tcPr>
          <w:p w14:paraId="6F03E318" w14:textId="50538858"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32%</w:t>
            </w:r>
          </w:p>
        </w:tc>
      </w:tr>
      <w:tr w:rsidR="00301FCB" w:rsidRPr="00A00EF0" w14:paraId="284DAD7D" w14:textId="77777777" w:rsidTr="00D96854">
        <w:trPr>
          <w:trHeight w:val="335"/>
          <w:jc w:val="center"/>
        </w:trPr>
        <w:tc>
          <w:tcPr>
            <w:tcW w:w="1165" w:type="dxa"/>
            <w:noWrap/>
            <w:vAlign w:val="bottom"/>
          </w:tcPr>
          <w:p w14:paraId="4CC1DE9A" w14:textId="75625DBC"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2023</w:t>
            </w:r>
          </w:p>
        </w:tc>
        <w:tc>
          <w:tcPr>
            <w:tcW w:w="2075" w:type="dxa"/>
            <w:noWrap/>
            <w:vAlign w:val="bottom"/>
          </w:tcPr>
          <w:p w14:paraId="448591C3" w14:textId="2FA27328"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596.8</w:t>
            </w:r>
          </w:p>
        </w:tc>
        <w:tc>
          <w:tcPr>
            <w:tcW w:w="2160" w:type="dxa"/>
            <w:noWrap/>
            <w:vAlign w:val="bottom"/>
          </w:tcPr>
          <w:p w14:paraId="5335D22F" w14:textId="0628A18C"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825.1</w:t>
            </w:r>
          </w:p>
        </w:tc>
        <w:tc>
          <w:tcPr>
            <w:tcW w:w="2160" w:type="dxa"/>
            <w:noWrap/>
            <w:vAlign w:val="bottom"/>
          </w:tcPr>
          <w:p w14:paraId="52CD47F0" w14:textId="5FCA2D6E"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39%</w:t>
            </w:r>
          </w:p>
        </w:tc>
      </w:tr>
      <w:tr w:rsidR="00301FCB" w:rsidRPr="00A00EF0" w14:paraId="649F70AF" w14:textId="77777777" w:rsidTr="00D96854">
        <w:trPr>
          <w:trHeight w:val="335"/>
          <w:jc w:val="center"/>
        </w:trPr>
        <w:tc>
          <w:tcPr>
            <w:tcW w:w="1165" w:type="dxa"/>
            <w:noWrap/>
            <w:vAlign w:val="bottom"/>
          </w:tcPr>
          <w:p w14:paraId="47054C15" w14:textId="2590996F"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2024</w:t>
            </w:r>
          </w:p>
        </w:tc>
        <w:tc>
          <w:tcPr>
            <w:tcW w:w="2075" w:type="dxa"/>
            <w:noWrap/>
            <w:vAlign w:val="bottom"/>
          </w:tcPr>
          <w:p w14:paraId="314499E5" w14:textId="6A3DD04A"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528.4</w:t>
            </w:r>
          </w:p>
        </w:tc>
        <w:tc>
          <w:tcPr>
            <w:tcW w:w="2160" w:type="dxa"/>
            <w:noWrap/>
            <w:vAlign w:val="bottom"/>
          </w:tcPr>
          <w:p w14:paraId="2FD0BEFC" w14:textId="606CA656"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757.1</w:t>
            </w:r>
          </w:p>
        </w:tc>
        <w:tc>
          <w:tcPr>
            <w:tcW w:w="2160" w:type="dxa"/>
            <w:noWrap/>
            <w:vAlign w:val="bottom"/>
          </w:tcPr>
          <w:p w14:paraId="763B8663" w14:textId="433609F5"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44%</w:t>
            </w:r>
          </w:p>
        </w:tc>
      </w:tr>
      <w:tr w:rsidR="00301FCB" w:rsidRPr="00A00EF0" w14:paraId="6917C881" w14:textId="77777777" w:rsidTr="00D96854">
        <w:trPr>
          <w:trHeight w:val="335"/>
          <w:jc w:val="center"/>
        </w:trPr>
        <w:tc>
          <w:tcPr>
            <w:tcW w:w="1165" w:type="dxa"/>
            <w:noWrap/>
            <w:vAlign w:val="bottom"/>
          </w:tcPr>
          <w:p w14:paraId="53B2D8FE" w14:textId="1FE31F96"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2025</w:t>
            </w:r>
          </w:p>
        </w:tc>
        <w:tc>
          <w:tcPr>
            <w:tcW w:w="2075" w:type="dxa"/>
            <w:noWrap/>
            <w:vAlign w:val="bottom"/>
          </w:tcPr>
          <w:p w14:paraId="0F3B65F0" w14:textId="0B28D83F"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474.4</w:t>
            </w:r>
          </w:p>
        </w:tc>
        <w:tc>
          <w:tcPr>
            <w:tcW w:w="2160" w:type="dxa"/>
            <w:noWrap/>
            <w:vAlign w:val="bottom"/>
          </w:tcPr>
          <w:p w14:paraId="74C25D9C" w14:textId="38FC8D01"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639.0</w:t>
            </w:r>
          </w:p>
        </w:tc>
        <w:tc>
          <w:tcPr>
            <w:tcW w:w="2160" w:type="dxa"/>
            <w:noWrap/>
            <w:vAlign w:val="bottom"/>
          </w:tcPr>
          <w:p w14:paraId="5F8E1711" w14:textId="4BBA27F8"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35%</w:t>
            </w:r>
          </w:p>
        </w:tc>
      </w:tr>
    </w:tbl>
    <w:p w14:paraId="721D1773" w14:textId="1FDC32B7" w:rsidR="00192DC1" w:rsidRDefault="00301FCB" w:rsidP="00605193">
      <w:pPr>
        <w:spacing w:before="40" w:after="60"/>
        <w:ind w:firstLine="720"/>
        <w:rPr>
          <w:rFonts w:cstheme="minorHAnsi"/>
        </w:rPr>
      </w:pPr>
      <w:r w:rsidRPr="00A00EF0">
        <w:rPr>
          <w:rFonts w:eastAsia="Arial" w:cstheme="minorHAnsi"/>
          <w:i/>
          <w:iCs/>
          <w:color w:val="595959"/>
          <w:sz w:val="16"/>
          <w:szCs w:val="16"/>
        </w:rPr>
        <w:t>Fuente: Fastmarkets</w:t>
      </w:r>
    </w:p>
    <w:p w14:paraId="545F1D4F" w14:textId="77777777" w:rsidR="00605193" w:rsidRPr="00A00EF0" w:rsidRDefault="00605193" w:rsidP="00605193">
      <w:pPr>
        <w:spacing w:before="40" w:after="60"/>
        <w:ind w:firstLine="720"/>
        <w:rPr>
          <w:rFonts w:cstheme="minorHAnsi"/>
        </w:rPr>
      </w:pPr>
    </w:p>
    <w:p w14:paraId="10A2E7E0" w14:textId="31BE71B6" w:rsidR="00192DC1" w:rsidRPr="00A00EF0" w:rsidRDefault="00192DC1" w:rsidP="00192DC1">
      <w:pPr>
        <w:rPr>
          <w:rFonts w:cstheme="minorHAnsi"/>
        </w:rPr>
      </w:pPr>
      <w:r w:rsidRPr="00A00EF0">
        <w:rPr>
          <w:rFonts w:cstheme="minorHAnsi"/>
        </w:rPr>
        <w:t>Los resultados evidencian la existencia de márgenes de dumping significativos durante todo el período analizado. El margen promedio simple para el período 2021-2025 asciende aproximadamente a 34%, lo que confirma que los precios de exportación de China se mantienen sustancialmente por debajo de los precios observados en un mercado comparable.</w:t>
      </w:r>
    </w:p>
    <w:p w14:paraId="54A63E76" w14:textId="77777777" w:rsidR="00192DC1" w:rsidRPr="00A00EF0" w:rsidRDefault="00192DC1" w:rsidP="00192DC1">
      <w:pPr>
        <w:rPr>
          <w:rFonts w:cstheme="minorHAnsi"/>
        </w:rPr>
      </w:pPr>
      <w:r w:rsidRPr="00A00EF0">
        <w:rPr>
          <w:rFonts w:cstheme="minorHAnsi"/>
        </w:rPr>
        <w:t>Asimismo, se observa una tendencia creciente en el margen de dumping entre 2021 y 2024, alcanzando un máximo de 44% en 2024. Aunque en 2025 se observa una ligera reducción, el margen permanece en niveles elevados (35%), muy por encima de lo que podría considerarse una diferencia normal derivada de condiciones de mercado.</w:t>
      </w:r>
    </w:p>
    <w:p w14:paraId="0EC570DB" w14:textId="77777777" w:rsidR="00247A11" w:rsidRPr="00A00EF0" w:rsidRDefault="00247A11">
      <w:pPr>
        <w:rPr>
          <w:rFonts w:cstheme="minorHAnsi"/>
          <w:b/>
          <w:bCs/>
        </w:rPr>
      </w:pPr>
      <w:r w:rsidRPr="00A00EF0">
        <w:rPr>
          <w:rFonts w:cstheme="minorHAnsi"/>
          <w:b/>
          <w:bCs/>
        </w:rPr>
        <w:br w:type="page"/>
      </w:r>
    </w:p>
    <w:p w14:paraId="35C85C99" w14:textId="68CE1ED1" w:rsidR="00247A11" w:rsidRPr="00A00EF0" w:rsidRDefault="00247A11" w:rsidP="00247A11">
      <w:pPr>
        <w:pStyle w:val="Heading2"/>
        <w:rPr>
          <w:rFonts w:asciiTheme="minorHAnsi" w:hAnsiTheme="minorHAnsi" w:cstheme="minorHAnsi"/>
        </w:rPr>
      </w:pPr>
      <w:bookmarkStart w:id="13" w:name="_Toc224657495"/>
      <w:r w:rsidRPr="00A00EF0">
        <w:rPr>
          <w:rFonts w:asciiTheme="minorHAnsi" w:hAnsiTheme="minorHAnsi" w:cstheme="minorHAnsi"/>
        </w:rPr>
        <w:lastRenderedPageBreak/>
        <w:t>Evolución reciente de las exportaciones chinas de varillas de acero</w:t>
      </w:r>
      <w:bookmarkEnd w:id="13"/>
    </w:p>
    <w:p w14:paraId="6694B901" w14:textId="77777777" w:rsidR="00A4083B" w:rsidRPr="00A4083B" w:rsidRDefault="00A4083B" w:rsidP="00A4083B">
      <w:r w:rsidRPr="00A4083B">
        <w:t>El análisis del comportamiento exportador de China en el mercado mundial de varillas de acero permite evaluar la capacidad del país para colocar grandes volúmenes de producción en los mercados internacionales. En el caso de la partida HS 721420 (varillas de acero), las exportaciones chinas han mostrado una tendencia creciente en los últimos años, en línea con el aumento observado en las exportaciones totales de acero del país.</w:t>
      </w:r>
    </w:p>
    <w:p w14:paraId="728A42B0" w14:textId="253200B3" w:rsidR="00A4083B" w:rsidRPr="00A4083B" w:rsidRDefault="00A4083B" w:rsidP="00A4083B">
      <w:r w:rsidRPr="00A4083B">
        <w:t xml:space="preserve">La evolución reciente evidencia una aceleración significativa a partir de 2022. Como se observa en el </w:t>
      </w:r>
      <w:r w:rsidRPr="008F4F7E">
        <w:t xml:space="preserve">Gráfico </w:t>
      </w:r>
      <w:r w:rsidR="008F4F7E" w:rsidRPr="008F4F7E">
        <w:t>2</w:t>
      </w:r>
      <w:r w:rsidRPr="008F4F7E">
        <w:t>, las</w:t>
      </w:r>
      <w:r w:rsidRPr="00A4083B">
        <w:t xml:space="preserve"> exportaciones chinas de varillas de acero hacia el mercado mundial han registrado un crecimiento sostenido, alcanzando aproximadamente 2</w:t>
      </w:r>
      <w:r w:rsidR="00F95A88" w:rsidRPr="00A00EF0">
        <w:t xml:space="preserve">.5 millones de </w:t>
      </w:r>
      <w:r w:rsidRPr="00A4083B">
        <w:t>toneladas en 2024, el nivel más alto del período analizado. Este comportamiento confirma la fuerte capacidad exportadora de la industria siderúrgica china y su creciente orientación hacia los mercados externos para absorber su producción.</w:t>
      </w:r>
    </w:p>
    <w:p w14:paraId="09C35DD0" w14:textId="41EE5D34" w:rsidR="00EE1FB7" w:rsidRPr="00A00EF0" w:rsidRDefault="00F95A88" w:rsidP="00EE1FB7">
      <w:pPr>
        <w:rPr>
          <w:rFonts w:cstheme="minorHAnsi"/>
          <w:b/>
          <w:bCs/>
          <w:sz w:val="22"/>
          <w:szCs w:val="22"/>
        </w:rPr>
      </w:pPr>
      <w:r w:rsidRPr="00A00EF0">
        <w:rPr>
          <w:rFonts w:cstheme="minorHAnsi"/>
          <w:b/>
          <w:bCs/>
          <w:sz w:val="22"/>
          <w:szCs w:val="22"/>
        </w:rPr>
        <w:t xml:space="preserve">Gráfico </w:t>
      </w:r>
      <w:r w:rsidR="008F4F7E">
        <w:rPr>
          <w:rFonts w:cstheme="minorHAnsi"/>
          <w:b/>
          <w:bCs/>
          <w:sz w:val="22"/>
          <w:szCs w:val="22"/>
        </w:rPr>
        <w:t>2</w:t>
      </w:r>
      <w:r w:rsidRPr="00A00EF0">
        <w:rPr>
          <w:rFonts w:cstheme="minorHAnsi"/>
          <w:b/>
          <w:bCs/>
          <w:sz w:val="22"/>
          <w:szCs w:val="22"/>
        </w:rPr>
        <w:t>. Exportaciones de Varillas HS 7214.20 desde China al mundo</w:t>
      </w:r>
    </w:p>
    <w:p w14:paraId="7A284F6D" w14:textId="01F32B3B" w:rsidR="00360417" w:rsidRPr="00A00EF0" w:rsidRDefault="00360417" w:rsidP="00360417">
      <w:pPr>
        <w:rPr>
          <w:rFonts w:cstheme="minorHAnsi"/>
        </w:rPr>
      </w:pPr>
      <w:r w:rsidRPr="00A00EF0">
        <w:rPr>
          <w:rFonts w:cstheme="minorHAnsi"/>
          <w:noProof/>
          <w:color w:val="3E7D7E"/>
        </w:rPr>
        <w:drawing>
          <wp:inline distT="0" distB="0" distL="0" distR="0" wp14:anchorId="777C0799" wp14:editId="2AFF5614">
            <wp:extent cx="5889625" cy="3431969"/>
            <wp:effectExtent l="0" t="0" r="0" b="0"/>
            <wp:docPr id="7788343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4208EF" w14:textId="0910E9A3" w:rsidR="00902A83" w:rsidRDefault="00902A83" w:rsidP="00902A83">
      <w:pPr>
        <w:rPr>
          <w:rFonts w:cstheme="minorHAnsi"/>
        </w:rPr>
      </w:pPr>
      <w:r>
        <w:rPr>
          <w:rFonts w:cstheme="minorHAnsi"/>
        </w:rPr>
        <w:t xml:space="preserve">Esto incremento no ha sido únicamente del mercado, es un aumento brusco con relación a los demás exportadores en el mercado, en el 2018, según los datos de Trademap ocupaba el ranking 21, en exportaciones de varillas mientras que en menos de 10 años ya ocupa el puesto número 2 de exportador, solo detrás de Turquía. </w:t>
      </w:r>
    </w:p>
    <w:tbl>
      <w:tblPr>
        <w:tblW w:w="9280" w:type="dxa"/>
        <w:tblLook w:val="04A0" w:firstRow="1" w:lastRow="0" w:firstColumn="1" w:lastColumn="0" w:noHBand="0" w:noVBand="1"/>
      </w:tblPr>
      <w:tblGrid>
        <w:gridCol w:w="2133"/>
        <w:gridCol w:w="1021"/>
        <w:gridCol w:w="1021"/>
        <w:gridCol w:w="1021"/>
        <w:gridCol w:w="1021"/>
        <w:gridCol w:w="1021"/>
        <w:gridCol w:w="1021"/>
        <w:gridCol w:w="1021"/>
      </w:tblGrid>
      <w:tr w:rsidR="00902A83" w:rsidRPr="003C41C8" w14:paraId="1BD876B0" w14:textId="77777777" w:rsidTr="00B254DB">
        <w:trPr>
          <w:trHeight w:val="447"/>
        </w:trPr>
        <w:tc>
          <w:tcPr>
            <w:tcW w:w="2133" w:type="dxa"/>
            <w:tcBorders>
              <w:top w:val="single" w:sz="4" w:space="0" w:color="002B54"/>
              <w:left w:val="single" w:sz="4" w:space="0" w:color="002B54"/>
              <w:bottom w:val="single" w:sz="4" w:space="0" w:color="000000"/>
              <w:right w:val="single" w:sz="4" w:space="0" w:color="000000"/>
            </w:tcBorders>
            <w:shd w:val="clear" w:color="auto" w:fill="3E7D7E"/>
            <w:vAlign w:val="center"/>
            <w:hideMark/>
          </w:tcPr>
          <w:p w14:paraId="0523E15E"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proofErr w:type="spellStart"/>
            <w:r>
              <w:rPr>
                <w:rFonts w:ascii="Aptos Narrow" w:eastAsia="Times New Roman" w:hAnsi="Aptos Narrow" w:cs="Times New Roman"/>
                <w:b/>
                <w:bCs/>
                <w:color w:val="FFFFFF"/>
                <w:kern w:val="0"/>
                <w:sz w:val="16"/>
                <w:szCs w:val="16"/>
                <w:lang w:val="en-US"/>
                <w14:ligatures w14:val="none"/>
              </w:rPr>
              <w:t>Exportadores</w:t>
            </w:r>
            <w:proofErr w:type="spellEnd"/>
          </w:p>
        </w:tc>
        <w:tc>
          <w:tcPr>
            <w:tcW w:w="1021" w:type="dxa"/>
            <w:tcBorders>
              <w:top w:val="single" w:sz="4" w:space="0" w:color="002B54"/>
              <w:left w:val="single" w:sz="4" w:space="0" w:color="000000"/>
              <w:bottom w:val="single" w:sz="4" w:space="0" w:color="000000"/>
              <w:right w:val="single" w:sz="4" w:space="0" w:color="000000"/>
            </w:tcBorders>
            <w:shd w:val="clear" w:color="auto" w:fill="3E7D7E"/>
            <w:vAlign w:val="center"/>
            <w:hideMark/>
          </w:tcPr>
          <w:p w14:paraId="4C898580"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2018</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52D35BBC"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2019</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11732C24"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2020</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0A7129B0"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2021</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3258F8CA"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2022</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1A4D2B89"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2023</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1D8BEB8E"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2024</w:t>
            </w:r>
          </w:p>
        </w:tc>
      </w:tr>
      <w:tr w:rsidR="00902A83" w:rsidRPr="003C41C8" w14:paraId="49B371E8" w14:textId="77777777" w:rsidTr="00B254DB">
        <w:trPr>
          <w:trHeight w:val="447"/>
        </w:trPr>
        <w:tc>
          <w:tcPr>
            <w:tcW w:w="2133" w:type="dxa"/>
            <w:tcBorders>
              <w:top w:val="nil"/>
              <w:left w:val="single" w:sz="4" w:space="0" w:color="002B54"/>
              <w:bottom w:val="single" w:sz="4" w:space="0" w:color="000000"/>
              <w:right w:val="single" w:sz="4" w:space="0" w:color="000000"/>
            </w:tcBorders>
            <w:vAlign w:val="center"/>
            <w:hideMark/>
          </w:tcPr>
          <w:p w14:paraId="5A4DF815" w14:textId="77777777" w:rsidR="00902A83" w:rsidRPr="003C41C8" w:rsidRDefault="00902A83" w:rsidP="00B254DB">
            <w:pPr>
              <w:spacing w:after="0" w:line="240" w:lineRule="auto"/>
              <w:jc w:val="center"/>
              <w:rPr>
                <w:rFonts w:ascii="Aptos Narrow" w:eastAsia="Times New Roman" w:hAnsi="Aptos Narrow" w:cs="Times New Roman"/>
                <w:color w:val="002B54"/>
                <w:kern w:val="0"/>
                <w:sz w:val="16"/>
                <w:szCs w:val="16"/>
                <w:lang w:val="en-US"/>
                <w14:ligatures w14:val="none"/>
              </w:rPr>
            </w:pPr>
            <w:r>
              <w:rPr>
                <w:rFonts w:ascii="Aptos Narrow" w:eastAsia="Times New Roman" w:hAnsi="Aptos Narrow" w:cs="Times New Roman"/>
                <w:color w:val="002B54"/>
                <w:kern w:val="0"/>
                <w:sz w:val="16"/>
                <w:szCs w:val="16"/>
                <w:lang w:val="en-US"/>
                <w14:ligatures w14:val="none"/>
              </w:rPr>
              <w:lastRenderedPageBreak/>
              <w:t>Mundo</w:t>
            </w:r>
          </w:p>
        </w:tc>
        <w:tc>
          <w:tcPr>
            <w:tcW w:w="1021" w:type="dxa"/>
            <w:tcBorders>
              <w:top w:val="single" w:sz="4" w:space="0" w:color="002B54"/>
              <w:left w:val="single" w:sz="4" w:space="0" w:color="002B54"/>
              <w:bottom w:val="single" w:sz="4" w:space="0" w:color="002B54"/>
              <w:right w:val="single" w:sz="4" w:space="0" w:color="002B54"/>
            </w:tcBorders>
            <w:vAlign w:val="center"/>
            <w:hideMark/>
          </w:tcPr>
          <w:p w14:paraId="7C3315AB"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20,117,645</w:t>
            </w:r>
          </w:p>
        </w:tc>
        <w:tc>
          <w:tcPr>
            <w:tcW w:w="1021" w:type="dxa"/>
            <w:tcBorders>
              <w:top w:val="single" w:sz="4" w:space="0" w:color="002B54"/>
              <w:left w:val="nil"/>
              <w:bottom w:val="single" w:sz="4" w:space="0" w:color="002B54"/>
              <w:right w:val="single" w:sz="4" w:space="0" w:color="002B54"/>
            </w:tcBorders>
            <w:vAlign w:val="center"/>
            <w:hideMark/>
          </w:tcPr>
          <w:p w14:paraId="4ED32B5E"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21,363,404</w:t>
            </w:r>
          </w:p>
        </w:tc>
        <w:tc>
          <w:tcPr>
            <w:tcW w:w="1021" w:type="dxa"/>
            <w:tcBorders>
              <w:top w:val="single" w:sz="4" w:space="0" w:color="002B54"/>
              <w:left w:val="nil"/>
              <w:bottom w:val="single" w:sz="4" w:space="0" w:color="002B54"/>
              <w:right w:val="single" w:sz="4" w:space="0" w:color="002B54"/>
            </w:tcBorders>
            <w:vAlign w:val="center"/>
            <w:hideMark/>
          </w:tcPr>
          <w:p w14:paraId="1633A4DF"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21,359,669</w:t>
            </w:r>
          </w:p>
        </w:tc>
        <w:tc>
          <w:tcPr>
            <w:tcW w:w="1021" w:type="dxa"/>
            <w:tcBorders>
              <w:top w:val="single" w:sz="4" w:space="0" w:color="002B54"/>
              <w:left w:val="nil"/>
              <w:bottom w:val="single" w:sz="4" w:space="0" w:color="002B54"/>
              <w:right w:val="single" w:sz="4" w:space="0" w:color="002B54"/>
            </w:tcBorders>
            <w:vAlign w:val="center"/>
            <w:hideMark/>
          </w:tcPr>
          <w:p w14:paraId="5648ABD1"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26,146,147</w:t>
            </w:r>
          </w:p>
        </w:tc>
        <w:tc>
          <w:tcPr>
            <w:tcW w:w="1021" w:type="dxa"/>
            <w:tcBorders>
              <w:top w:val="single" w:sz="4" w:space="0" w:color="002B54"/>
              <w:left w:val="nil"/>
              <w:bottom w:val="single" w:sz="4" w:space="0" w:color="002B54"/>
              <w:right w:val="single" w:sz="4" w:space="0" w:color="002B54"/>
            </w:tcBorders>
            <w:vAlign w:val="center"/>
            <w:hideMark/>
          </w:tcPr>
          <w:p w14:paraId="3CF46298"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21,697,063</w:t>
            </w:r>
          </w:p>
        </w:tc>
        <w:tc>
          <w:tcPr>
            <w:tcW w:w="1021" w:type="dxa"/>
            <w:tcBorders>
              <w:top w:val="single" w:sz="4" w:space="0" w:color="002B54"/>
              <w:left w:val="nil"/>
              <w:bottom w:val="single" w:sz="4" w:space="0" w:color="002B54"/>
              <w:right w:val="single" w:sz="4" w:space="0" w:color="002B54"/>
            </w:tcBorders>
            <w:vAlign w:val="center"/>
            <w:hideMark/>
          </w:tcPr>
          <w:p w14:paraId="067729C1"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19,497,706</w:t>
            </w:r>
          </w:p>
        </w:tc>
        <w:tc>
          <w:tcPr>
            <w:tcW w:w="1021" w:type="dxa"/>
            <w:tcBorders>
              <w:top w:val="single" w:sz="4" w:space="0" w:color="002B54"/>
              <w:left w:val="nil"/>
              <w:bottom w:val="single" w:sz="4" w:space="0" w:color="002B54"/>
              <w:right w:val="single" w:sz="4" w:space="0" w:color="002B54"/>
            </w:tcBorders>
            <w:vAlign w:val="center"/>
            <w:hideMark/>
          </w:tcPr>
          <w:p w14:paraId="24897DFF"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18,768,419</w:t>
            </w:r>
          </w:p>
        </w:tc>
      </w:tr>
      <w:tr w:rsidR="00902A83" w:rsidRPr="003C41C8" w14:paraId="12EA492E" w14:textId="77777777" w:rsidTr="00B254DB">
        <w:trPr>
          <w:trHeight w:val="447"/>
        </w:trPr>
        <w:tc>
          <w:tcPr>
            <w:tcW w:w="2133" w:type="dxa"/>
            <w:tcBorders>
              <w:top w:val="nil"/>
              <w:left w:val="single" w:sz="4" w:space="0" w:color="002B54"/>
              <w:bottom w:val="single" w:sz="4" w:space="0" w:color="000000"/>
              <w:right w:val="single" w:sz="4" w:space="0" w:color="000000"/>
            </w:tcBorders>
            <w:vAlign w:val="center"/>
            <w:hideMark/>
          </w:tcPr>
          <w:p w14:paraId="0425BC0F" w14:textId="77777777" w:rsidR="00902A83" w:rsidRPr="003C41C8" w:rsidRDefault="00902A83" w:rsidP="00B254DB">
            <w:pPr>
              <w:spacing w:after="0" w:line="240" w:lineRule="auto"/>
              <w:jc w:val="center"/>
              <w:rPr>
                <w:rFonts w:ascii="Aptos Narrow" w:eastAsia="Times New Roman" w:hAnsi="Aptos Narrow" w:cs="Times New Roman"/>
                <w:color w:val="002B54"/>
                <w:kern w:val="0"/>
                <w:sz w:val="16"/>
                <w:szCs w:val="16"/>
                <w:lang w:val="en-US"/>
                <w14:ligatures w14:val="none"/>
              </w:rPr>
            </w:pPr>
            <w:r w:rsidRPr="003C41C8">
              <w:rPr>
                <w:rFonts w:ascii="Aptos Narrow" w:eastAsia="Times New Roman" w:hAnsi="Aptos Narrow" w:cs="Times New Roman"/>
                <w:color w:val="002B54"/>
                <w:kern w:val="0"/>
                <w:sz w:val="16"/>
                <w:szCs w:val="16"/>
                <w:lang w:val="en-US"/>
                <w14:ligatures w14:val="none"/>
              </w:rPr>
              <w:t>China</w:t>
            </w:r>
          </w:p>
        </w:tc>
        <w:tc>
          <w:tcPr>
            <w:tcW w:w="1021" w:type="dxa"/>
            <w:tcBorders>
              <w:top w:val="nil"/>
              <w:left w:val="single" w:sz="4" w:space="0" w:color="002B54"/>
              <w:bottom w:val="single" w:sz="4" w:space="0" w:color="002B54"/>
              <w:right w:val="single" w:sz="4" w:space="0" w:color="002B54"/>
            </w:tcBorders>
            <w:vAlign w:val="center"/>
            <w:hideMark/>
          </w:tcPr>
          <w:p w14:paraId="36AC38B5"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246,864</w:t>
            </w:r>
          </w:p>
        </w:tc>
        <w:tc>
          <w:tcPr>
            <w:tcW w:w="1021" w:type="dxa"/>
            <w:tcBorders>
              <w:top w:val="nil"/>
              <w:left w:val="nil"/>
              <w:bottom w:val="single" w:sz="4" w:space="0" w:color="002B54"/>
              <w:right w:val="single" w:sz="4" w:space="0" w:color="002B54"/>
            </w:tcBorders>
            <w:vAlign w:val="center"/>
            <w:hideMark/>
          </w:tcPr>
          <w:p w14:paraId="08084682"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376,731</w:t>
            </w:r>
          </w:p>
        </w:tc>
        <w:tc>
          <w:tcPr>
            <w:tcW w:w="1021" w:type="dxa"/>
            <w:tcBorders>
              <w:top w:val="nil"/>
              <w:left w:val="nil"/>
              <w:bottom w:val="single" w:sz="4" w:space="0" w:color="002B54"/>
              <w:right w:val="single" w:sz="4" w:space="0" w:color="002B54"/>
            </w:tcBorders>
            <w:vAlign w:val="center"/>
            <w:hideMark/>
          </w:tcPr>
          <w:p w14:paraId="40859908"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352,118</w:t>
            </w:r>
          </w:p>
        </w:tc>
        <w:tc>
          <w:tcPr>
            <w:tcW w:w="1021" w:type="dxa"/>
            <w:tcBorders>
              <w:top w:val="nil"/>
              <w:left w:val="nil"/>
              <w:bottom w:val="single" w:sz="4" w:space="0" w:color="002B54"/>
              <w:right w:val="single" w:sz="4" w:space="0" w:color="002B54"/>
            </w:tcBorders>
            <w:vAlign w:val="center"/>
            <w:hideMark/>
          </w:tcPr>
          <w:p w14:paraId="604C9D66"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394,747</w:t>
            </w:r>
          </w:p>
        </w:tc>
        <w:tc>
          <w:tcPr>
            <w:tcW w:w="1021" w:type="dxa"/>
            <w:tcBorders>
              <w:top w:val="nil"/>
              <w:left w:val="nil"/>
              <w:bottom w:val="single" w:sz="4" w:space="0" w:color="002B54"/>
              <w:right w:val="single" w:sz="4" w:space="0" w:color="002B54"/>
            </w:tcBorders>
            <w:vAlign w:val="center"/>
            <w:hideMark/>
          </w:tcPr>
          <w:p w14:paraId="763F358E"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632,085</w:t>
            </w:r>
          </w:p>
        </w:tc>
        <w:tc>
          <w:tcPr>
            <w:tcW w:w="1021" w:type="dxa"/>
            <w:tcBorders>
              <w:top w:val="nil"/>
              <w:left w:val="nil"/>
              <w:bottom w:val="single" w:sz="4" w:space="0" w:color="002B54"/>
              <w:right w:val="single" w:sz="4" w:space="0" w:color="002B54"/>
            </w:tcBorders>
            <w:vAlign w:val="center"/>
            <w:hideMark/>
          </w:tcPr>
          <w:p w14:paraId="71F6912D"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1,618,866</w:t>
            </w:r>
          </w:p>
        </w:tc>
        <w:tc>
          <w:tcPr>
            <w:tcW w:w="1021" w:type="dxa"/>
            <w:tcBorders>
              <w:top w:val="nil"/>
              <w:left w:val="nil"/>
              <w:bottom w:val="single" w:sz="4" w:space="0" w:color="002B54"/>
              <w:right w:val="single" w:sz="4" w:space="0" w:color="002B54"/>
            </w:tcBorders>
            <w:vAlign w:val="center"/>
            <w:hideMark/>
          </w:tcPr>
          <w:p w14:paraId="1B2C70A6"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2,557,386</w:t>
            </w:r>
          </w:p>
        </w:tc>
      </w:tr>
      <w:tr w:rsidR="00902A83" w:rsidRPr="003C41C8" w14:paraId="6029AF8F" w14:textId="77777777" w:rsidTr="00B254DB">
        <w:trPr>
          <w:trHeight w:val="447"/>
        </w:trPr>
        <w:tc>
          <w:tcPr>
            <w:tcW w:w="2133" w:type="dxa"/>
            <w:tcBorders>
              <w:top w:val="nil"/>
              <w:left w:val="single" w:sz="4" w:space="0" w:color="002B54"/>
              <w:bottom w:val="single" w:sz="4" w:space="0" w:color="000000"/>
              <w:right w:val="single" w:sz="4" w:space="0" w:color="000000"/>
            </w:tcBorders>
            <w:vAlign w:val="center"/>
            <w:hideMark/>
          </w:tcPr>
          <w:p w14:paraId="41061804" w14:textId="77777777" w:rsidR="00902A83" w:rsidRPr="003C41C8" w:rsidRDefault="00902A83" w:rsidP="00B254DB">
            <w:pPr>
              <w:spacing w:after="0" w:line="240" w:lineRule="auto"/>
              <w:jc w:val="center"/>
              <w:rPr>
                <w:rFonts w:ascii="Aptos Narrow" w:eastAsia="Times New Roman" w:hAnsi="Aptos Narrow" w:cs="Times New Roman"/>
                <w:color w:val="002B54"/>
                <w:kern w:val="0"/>
                <w:sz w:val="16"/>
                <w:szCs w:val="16"/>
                <w:lang w:val="en-US"/>
                <w14:ligatures w14:val="none"/>
              </w:rPr>
            </w:pPr>
            <w:r w:rsidRPr="003C41C8">
              <w:rPr>
                <w:rFonts w:ascii="Aptos Narrow" w:eastAsia="Times New Roman" w:hAnsi="Aptos Narrow" w:cs="Times New Roman"/>
                <w:color w:val="002B54"/>
                <w:kern w:val="0"/>
                <w:sz w:val="16"/>
                <w:szCs w:val="16"/>
                <w:lang w:val="en-US"/>
                <w14:ligatures w14:val="none"/>
              </w:rPr>
              <w:t>Ranking</w:t>
            </w:r>
          </w:p>
        </w:tc>
        <w:tc>
          <w:tcPr>
            <w:tcW w:w="1021" w:type="dxa"/>
            <w:tcBorders>
              <w:top w:val="nil"/>
              <w:left w:val="single" w:sz="4" w:space="0" w:color="002B54"/>
              <w:bottom w:val="single" w:sz="4" w:space="0" w:color="002B54"/>
              <w:right w:val="single" w:sz="4" w:space="0" w:color="002B54"/>
            </w:tcBorders>
            <w:vAlign w:val="center"/>
            <w:hideMark/>
          </w:tcPr>
          <w:p w14:paraId="21D43509"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21</w:t>
            </w:r>
          </w:p>
        </w:tc>
        <w:tc>
          <w:tcPr>
            <w:tcW w:w="1021" w:type="dxa"/>
            <w:tcBorders>
              <w:top w:val="nil"/>
              <w:left w:val="nil"/>
              <w:bottom w:val="single" w:sz="4" w:space="0" w:color="002B54"/>
              <w:right w:val="single" w:sz="4" w:space="0" w:color="002B54"/>
            </w:tcBorders>
            <w:vAlign w:val="center"/>
            <w:hideMark/>
          </w:tcPr>
          <w:p w14:paraId="65035D1B"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13</w:t>
            </w:r>
          </w:p>
        </w:tc>
        <w:tc>
          <w:tcPr>
            <w:tcW w:w="1021" w:type="dxa"/>
            <w:tcBorders>
              <w:top w:val="nil"/>
              <w:left w:val="nil"/>
              <w:bottom w:val="single" w:sz="4" w:space="0" w:color="002B54"/>
              <w:right w:val="single" w:sz="4" w:space="0" w:color="002B54"/>
            </w:tcBorders>
            <w:vAlign w:val="center"/>
            <w:hideMark/>
          </w:tcPr>
          <w:p w14:paraId="4D17AF8C"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14</w:t>
            </w:r>
          </w:p>
        </w:tc>
        <w:tc>
          <w:tcPr>
            <w:tcW w:w="1021" w:type="dxa"/>
            <w:tcBorders>
              <w:top w:val="nil"/>
              <w:left w:val="nil"/>
              <w:bottom w:val="single" w:sz="4" w:space="0" w:color="002B54"/>
              <w:right w:val="single" w:sz="4" w:space="0" w:color="002B54"/>
            </w:tcBorders>
            <w:vAlign w:val="center"/>
            <w:hideMark/>
          </w:tcPr>
          <w:p w14:paraId="20B6666D"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15</w:t>
            </w:r>
          </w:p>
        </w:tc>
        <w:tc>
          <w:tcPr>
            <w:tcW w:w="1021" w:type="dxa"/>
            <w:tcBorders>
              <w:top w:val="nil"/>
              <w:left w:val="nil"/>
              <w:bottom w:val="single" w:sz="4" w:space="0" w:color="002B54"/>
              <w:right w:val="single" w:sz="4" w:space="0" w:color="002B54"/>
            </w:tcBorders>
            <w:vAlign w:val="center"/>
            <w:hideMark/>
          </w:tcPr>
          <w:p w14:paraId="108431E7"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10</w:t>
            </w:r>
          </w:p>
        </w:tc>
        <w:tc>
          <w:tcPr>
            <w:tcW w:w="1021" w:type="dxa"/>
            <w:tcBorders>
              <w:top w:val="nil"/>
              <w:left w:val="nil"/>
              <w:bottom w:val="single" w:sz="4" w:space="0" w:color="002B54"/>
              <w:right w:val="single" w:sz="4" w:space="0" w:color="002B54"/>
            </w:tcBorders>
            <w:vAlign w:val="center"/>
            <w:hideMark/>
          </w:tcPr>
          <w:p w14:paraId="3A7B1747"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3</w:t>
            </w:r>
          </w:p>
        </w:tc>
        <w:tc>
          <w:tcPr>
            <w:tcW w:w="1021" w:type="dxa"/>
            <w:tcBorders>
              <w:top w:val="nil"/>
              <w:left w:val="nil"/>
              <w:bottom w:val="single" w:sz="4" w:space="0" w:color="002B54"/>
              <w:right w:val="single" w:sz="4" w:space="0" w:color="002B54"/>
            </w:tcBorders>
            <w:vAlign w:val="center"/>
            <w:hideMark/>
          </w:tcPr>
          <w:p w14:paraId="1F38C6A7"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2</w:t>
            </w:r>
          </w:p>
        </w:tc>
      </w:tr>
    </w:tbl>
    <w:p w14:paraId="510C9878" w14:textId="77777777" w:rsidR="00902A83" w:rsidRDefault="00902A83" w:rsidP="00360417">
      <w:pPr>
        <w:rPr>
          <w:rFonts w:cstheme="minorHAnsi"/>
        </w:rPr>
      </w:pPr>
    </w:p>
    <w:p w14:paraId="1FFB1AB6" w14:textId="75DEB0CB" w:rsidR="00F95A88" w:rsidRPr="00C94EE9" w:rsidRDefault="00A4083B">
      <w:pPr>
        <w:rPr>
          <w:rFonts w:cstheme="minorHAnsi"/>
        </w:rPr>
      </w:pPr>
      <w:r w:rsidRPr="00A00EF0">
        <w:rPr>
          <w:rFonts w:cstheme="minorHAnsi"/>
        </w:rPr>
        <w:t>El incremento de las exportaciones chinas no se limita al mercado global en su conjunto, sino que también se observa una expansión significativa hacia el continente americano. La siguiente tabla presenta la evolución del valor de las exportaciones chinas de varillas de acero hacia América entre 2014 y 2025, así como la participación de esta región dentro del total exportado por China.</w:t>
      </w:r>
    </w:p>
    <w:p w14:paraId="07B67D62" w14:textId="7919E10F" w:rsidR="00247A11" w:rsidRPr="00A00EF0" w:rsidRDefault="00F95A88">
      <w:pPr>
        <w:rPr>
          <w:rFonts w:cstheme="minorHAnsi"/>
          <w:b/>
          <w:bCs/>
          <w:sz w:val="22"/>
          <w:szCs w:val="22"/>
        </w:rPr>
      </w:pPr>
      <w:r w:rsidRPr="00A00EF0">
        <w:rPr>
          <w:rFonts w:cstheme="minorHAnsi"/>
          <w:b/>
          <w:bCs/>
          <w:sz w:val="22"/>
          <w:szCs w:val="22"/>
        </w:rPr>
        <w:t xml:space="preserve">Tabla </w:t>
      </w:r>
      <w:r w:rsidR="008F4F7E">
        <w:rPr>
          <w:rFonts w:cstheme="minorHAnsi"/>
          <w:b/>
          <w:bCs/>
          <w:sz w:val="22"/>
          <w:szCs w:val="22"/>
        </w:rPr>
        <w:t>5</w:t>
      </w:r>
      <w:r w:rsidRPr="00A00EF0">
        <w:rPr>
          <w:rFonts w:cstheme="minorHAnsi"/>
          <w:b/>
          <w:bCs/>
          <w:sz w:val="22"/>
          <w:szCs w:val="22"/>
        </w:rPr>
        <w:t>. Exportaciones de Varillas HS 7214.20 desde China al America</w:t>
      </w:r>
    </w:p>
    <w:tbl>
      <w:tblPr>
        <w:tblW w:w="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07"/>
        <w:gridCol w:w="1302"/>
        <w:gridCol w:w="960"/>
      </w:tblGrid>
      <w:tr w:rsidR="00247A11" w:rsidRPr="00A00EF0" w14:paraId="3BA4C288" w14:textId="77777777" w:rsidTr="00247A11">
        <w:trPr>
          <w:trHeight w:val="300"/>
          <w:jc w:val="center"/>
        </w:trPr>
        <w:tc>
          <w:tcPr>
            <w:tcW w:w="960" w:type="dxa"/>
            <w:shd w:val="clear" w:color="auto" w:fill="3E7D7E"/>
            <w:noWrap/>
            <w:vAlign w:val="center"/>
            <w:hideMark/>
          </w:tcPr>
          <w:p w14:paraId="7EF4CAF3" w14:textId="77777777" w:rsidR="00247A11" w:rsidRPr="00A00EF0" w:rsidRDefault="00247A11" w:rsidP="00247A11">
            <w:pPr>
              <w:spacing w:after="0" w:line="240" w:lineRule="auto"/>
              <w:jc w:val="center"/>
              <w:rPr>
                <w:rFonts w:eastAsia="Times New Roman" w:cstheme="minorHAnsi"/>
                <w:color w:val="FFFFFF" w:themeColor="background1"/>
                <w:kern w:val="0"/>
                <w:sz w:val="22"/>
                <w:szCs w:val="22"/>
                <w14:ligatures w14:val="none"/>
              </w:rPr>
            </w:pPr>
            <w:r w:rsidRPr="00A00EF0">
              <w:rPr>
                <w:rFonts w:eastAsia="Times New Roman" w:cstheme="minorHAnsi"/>
                <w:color w:val="FFFFFF" w:themeColor="background1"/>
                <w:kern w:val="0"/>
                <w:sz w:val="22"/>
                <w:szCs w:val="22"/>
                <w14:ligatures w14:val="none"/>
              </w:rPr>
              <w:t>Año</w:t>
            </w:r>
          </w:p>
        </w:tc>
        <w:tc>
          <w:tcPr>
            <w:tcW w:w="1107" w:type="dxa"/>
            <w:shd w:val="clear" w:color="auto" w:fill="3E7D7E"/>
            <w:noWrap/>
            <w:vAlign w:val="center"/>
            <w:hideMark/>
          </w:tcPr>
          <w:p w14:paraId="101ACEE1" w14:textId="77777777" w:rsidR="00247A11" w:rsidRPr="00A00EF0" w:rsidRDefault="00247A11" w:rsidP="00247A11">
            <w:pPr>
              <w:spacing w:after="0" w:line="240" w:lineRule="auto"/>
              <w:jc w:val="center"/>
              <w:rPr>
                <w:rFonts w:eastAsia="Times New Roman" w:cstheme="minorHAnsi"/>
                <w:color w:val="FFFFFF" w:themeColor="background1"/>
                <w:kern w:val="0"/>
                <w:sz w:val="22"/>
                <w:szCs w:val="22"/>
                <w14:ligatures w14:val="none"/>
              </w:rPr>
            </w:pPr>
            <w:r w:rsidRPr="00A00EF0">
              <w:rPr>
                <w:rFonts w:eastAsia="Times New Roman" w:cstheme="minorHAnsi"/>
                <w:color w:val="FFFFFF" w:themeColor="background1"/>
                <w:kern w:val="0"/>
                <w:sz w:val="22"/>
                <w:szCs w:val="22"/>
                <w14:ligatures w14:val="none"/>
              </w:rPr>
              <w:t>World</w:t>
            </w:r>
          </w:p>
        </w:tc>
        <w:tc>
          <w:tcPr>
            <w:tcW w:w="1302" w:type="dxa"/>
            <w:shd w:val="clear" w:color="auto" w:fill="3E7D7E"/>
            <w:noWrap/>
            <w:vAlign w:val="center"/>
            <w:hideMark/>
          </w:tcPr>
          <w:p w14:paraId="6F7F584A" w14:textId="7B314099" w:rsidR="00247A11" w:rsidRPr="00A00EF0" w:rsidRDefault="00247A11" w:rsidP="00247A11">
            <w:pPr>
              <w:spacing w:after="0" w:line="240" w:lineRule="auto"/>
              <w:jc w:val="center"/>
              <w:rPr>
                <w:rFonts w:eastAsia="Times New Roman" w:cstheme="minorHAnsi"/>
                <w:color w:val="FFFFFF" w:themeColor="background1"/>
                <w:kern w:val="0"/>
                <w:sz w:val="22"/>
                <w:szCs w:val="22"/>
                <w14:ligatures w14:val="none"/>
              </w:rPr>
            </w:pPr>
            <w:r w:rsidRPr="00A00EF0">
              <w:rPr>
                <w:rFonts w:eastAsia="Times New Roman" w:cstheme="minorHAnsi"/>
                <w:color w:val="FFFFFF" w:themeColor="background1"/>
                <w:kern w:val="0"/>
                <w:sz w:val="22"/>
                <w:szCs w:val="22"/>
                <w14:ligatures w14:val="none"/>
              </w:rPr>
              <w:t xml:space="preserve">America </w:t>
            </w:r>
          </w:p>
        </w:tc>
        <w:tc>
          <w:tcPr>
            <w:tcW w:w="960" w:type="dxa"/>
            <w:shd w:val="clear" w:color="auto" w:fill="3E7D7E"/>
            <w:noWrap/>
            <w:vAlign w:val="center"/>
            <w:hideMark/>
          </w:tcPr>
          <w:p w14:paraId="036B04D3" w14:textId="77777777" w:rsidR="00247A11" w:rsidRPr="00A00EF0" w:rsidRDefault="00247A11" w:rsidP="00247A11">
            <w:pPr>
              <w:spacing w:after="0" w:line="240" w:lineRule="auto"/>
              <w:jc w:val="center"/>
              <w:rPr>
                <w:rFonts w:eastAsia="Times New Roman" w:cstheme="minorHAnsi"/>
                <w:color w:val="FFFFFF" w:themeColor="background1"/>
                <w:kern w:val="0"/>
                <w:sz w:val="22"/>
                <w:szCs w:val="22"/>
                <w14:ligatures w14:val="none"/>
              </w:rPr>
            </w:pPr>
            <w:r w:rsidRPr="00A00EF0">
              <w:rPr>
                <w:rFonts w:eastAsia="Times New Roman" w:cstheme="minorHAnsi"/>
                <w:color w:val="FFFFFF" w:themeColor="background1"/>
                <w:kern w:val="0"/>
                <w:sz w:val="22"/>
                <w:szCs w:val="22"/>
                <w14:ligatures w14:val="none"/>
              </w:rPr>
              <w:t>%</w:t>
            </w:r>
          </w:p>
        </w:tc>
      </w:tr>
      <w:tr w:rsidR="00247A11" w:rsidRPr="00A00EF0" w14:paraId="0EA91220" w14:textId="77777777" w:rsidTr="00247A11">
        <w:trPr>
          <w:trHeight w:val="300"/>
          <w:jc w:val="center"/>
        </w:trPr>
        <w:tc>
          <w:tcPr>
            <w:tcW w:w="960" w:type="dxa"/>
            <w:noWrap/>
            <w:vAlign w:val="center"/>
            <w:hideMark/>
          </w:tcPr>
          <w:p w14:paraId="3AC7B7DE"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2014</w:t>
            </w:r>
          </w:p>
        </w:tc>
        <w:tc>
          <w:tcPr>
            <w:tcW w:w="1107" w:type="dxa"/>
            <w:noWrap/>
            <w:vAlign w:val="center"/>
            <w:hideMark/>
          </w:tcPr>
          <w:p w14:paraId="1AE59F09" w14:textId="4678D8AE"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189,006</w:t>
            </w:r>
          </w:p>
        </w:tc>
        <w:tc>
          <w:tcPr>
            <w:tcW w:w="1302" w:type="dxa"/>
            <w:noWrap/>
            <w:vAlign w:val="center"/>
            <w:hideMark/>
          </w:tcPr>
          <w:p w14:paraId="7612D882" w14:textId="74B76A03"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2,496</w:t>
            </w:r>
          </w:p>
        </w:tc>
        <w:tc>
          <w:tcPr>
            <w:tcW w:w="960" w:type="dxa"/>
            <w:noWrap/>
            <w:vAlign w:val="center"/>
            <w:hideMark/>
          </w:tcPr>
          <w:p w14:paraId="4C08F4ED"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1.3%</w:t>
            </w:r>
          </w:p>
        </w:tc>
      </w:tr>
      <w:tr w:rsidR="00247A11" w:rsidRPr="00A00EF0" w14:paraId="64A773FB" w14:textId="77777777" w:rsidTr="00247A11">
        <w:trPr>
          <w:trHeight w:val="300"/>
          <w:jc w:val="center"/>
        </w:trPr>
        <w:tc>
          <w:tcPr>
            <w:tcW w:w="960" w:type="dxa"/>
            <w:noWrap/>
            <w:vAlign w:val="center"/>
            <w:hideMark/>
          </w:tcPr>
          <w:p w14:paraId="072909EE"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2015</w:t>
            </w:r>
          </w:p>
        </w:tc>
        <w:tc>
          <w:tcPr>
            <w:tcW w:w="1107" w:type="dxa"/>
            <w:noWrap/>
            <w:vAlign w:val="center"/>
            <w:hideMark/>
          </w:tcPr>
          <w:p w14:paraId="4C6E9AB2" w14:textId="0EA4EEC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188,279</w:t>
            </w:r>
          </w:p>
        </w:tc>
        <w:tc>
          <w:tcPr>
            <w:tcW w:w="1302" w:type="dxa"/>
            <w:noWrap/>
            <w:vAlign w:val="center"/>
            <w:hideMark/>
          </w:tcPr>
          <w:p w14:paraId="4A317116" w14:textId="1D0B77B3"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3,933</w:t>
            </w:r>
          </w:p>
        </w:tc>
        <w:tc>
          <w:tcPr>
            <w:tcW w:w="960" w:type="dxa"/>
            <w:noWrap/>
            <w:vAlign w:val="center"/>
            <w:hideMark/>
          </w:tcPr>
          <w:p w14:paraId="65CC2B56"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2.1%</w:t>
            </w:r>
          </w:p>
        </w:tc>
      </w:tr>
      <w:tr w:rsidR="00247A11" w:rsidRPr="00A00EF0" w14:paraId="16A1DF79" w14:textId="77777777" w:rsidTr="00247A11">
        <w:trPr>
          <w:trHeight w:val="300"/>
          <w:jc w:val="center"/>
        </w:trPr>
        <w:tc>
          <w:tcPr>
            <w:tcW w:w="960" w:type="dxa"/>
            <w:noWrap/>
            <w:vAlign w:val="center"/>
            <w:hideMark/>
          </w:tcPr>
          <w:p w14:paraId="07195A0D"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2016</w:t>
            </w:r>
          </w:p>
        </w:tc>
        <w:tc>
          <w:tcPr>
            <w:tcW w:w="1107" w:type="dxa"/>
            <w:noWrap/>
            <w:vAlign w:val="center"/>
            <w:hideMark/>
          </w:tcPr>
          <w:p w14:paraId="72A04D7B" w14:textId="670CC313"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182,541</w:t>
            </w:r>
          </w:p>
        </w:tc>
        <w:tc>
          <w:tcPr>
            <w:tcW w:w="1302" w:type="dxa"/>
            <w:noWrap/>
            <w:vAlign w:val="center"/>
            <w:hideMark/>
          </w:tcPr>
          <w:p w14:paraId="0AC960B2" w14:textId="166A6E04"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3,292</w:t>
            </w:r>
          </w:p>
        </w:tc>
        <w:tc>
          <w:tcPr>
            <w:tcW w:w="960" w:type="dxa"/>
            <w:noWrap/>
            <w:vAlign w:val="center"/>
            <w:hideMark/>
          </w:tcPr>
          <w:p w14:paraId="6A8F4DA0"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1.8%</w:t>
            </w:r>
          </w:p>
        </w:tc>
      </w:tr>
      <w:tr w:rsidR="00247A11" w:rsidRPr="00A00EF0" w14:paraId="0538A791" w14:textId="77777777" w:rsidTr="00247A11">
        <w:trPr>
          <w:trHeight w:val="300"/>
          <w:jc w:val="center"/>
        </w:trPr>
        <w:tc>
          <w:tcPr>
            <w:tcW w:w="960" w:type="dxa"/>
            <w:noWrap/>
            <w:vAlign w:val="center"/>
            <w:hideMark/>
          </w:tcPr>
          <w:p w14:paraId="5B06F175"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2017</w:t>
            </w:r>
          </w:p>
        </w:tc>
        <w:tc>
          <w:tcPr>
            <w:tcW w:w="1107" w:type="dxa"/>
            <w:noWrap/>
            <w:vAlign w:val="center"/>
            <w:hideMark/>
          </w:tcPr>
          <w:p w14:paraId="346A00CD" w14:textId="2A7D4ED2"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157,021</w:t>
            </w:r>
          </w:p>
        </w:tc>
        <w:tc>
          <w:tcPr>
            <w:tcW w:w="1302" w:type="dxa"/>
            <w:noWrap/>
            <w:vAlign w:val="center"/>
            <w:hideMark/>
          </w:tcPr>
          <w:p w14:paraId="61AD9682" w14:textId="1B78B7E4"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2,524</w:t>
            </w:r>
          </w:p>
        </w:tc>
        <w:tc>
          <w:tcPr>
            <w:tcW w:w="960" w:type="dxa"/>
            <w:noWrap/>
            <w:vAlign w:val="center"/>
            <w:hideMark/>
          </w:tcPr>
          <w:p w14:paraId="5B73D17E"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1.6%</w:t>
            </w:r>
          </w:p>
        </w:tc>
      </w:tr>
      <w:tr w:rsidR="00247A11" w:rsidRPr="00A00EF0" w14:paraId="50C1B1A9" w14:textId="77777777" w:rsidTr="00247A11">
        <w:trPr>
          <w:trHeight w:val="300"/>
          <w:jc w:val="center"/>
        </w:trPr>
        <w:tc>
          <w:tcPr>
            <w:tcW w:w="960" w:type="dxa"/>
            <w:noWrap/>
            <w:vAlign w:val="center"/>
            <w:hideMark/>
          </w:tcPr>
          <w:p w14:paraId="69812284"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2018</w:t>
            </w:r>
          </w:p>
        </w:tc>
        <w:tc>
          <w:tcPr>
            <w:tcW w:w="1107" w:type="dxa"/>
            <w:noWrap/>
            <w:vAlign w:val="center"/>
            <w:hideMark/>
          </w:tcPr>
          <w:p w14:paraId="1A160EAD" w14:textId="2E2326E6"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246,864</w:t>
            </w:r>
          </w:p>
        </w:tc>
        <w:tc>
          <w:tcPr>
            <w:tcW w:w="1302" w:type="dxa"/>
            <w:noWrap/>
            <w:vAlign w:val="center"/>
            <w:hideMark/>
          </w:tcPr>
          <w:p w14:paraId="5B3DCBD4" w14:textId="0821810F"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5,689</w:t>
            </w:r>
          </w:p>
        </w:tc>
        <w:tc>
          <w:tcPr>
            <w:tcW w:w="960" w:type="dxa"/>
            <w:noWrap/>
            <w:vAlign w:val="center"/>
            <w:hideMark/>
          </w:tcPr>
          <w:p w14:paraId="6CC15AB5"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2.3%</w:t>
            </w:r>
          </w:p>
        </w:tc>
      </w:tr>
      <w:tr w:rsidR="00247A11" w:rsidRPr="00A00EF0" w14:paraId="7C569C24" w14:textId="77777777" w:rsidTr="00247A11">
        <w:trPr>
          <w:trHeight w:val="300"/>
          <w:jc w:val="center"/>
        </w:trPr>
        <w:tc>
          <w:tcPr>
            <w:tcW w:w="960" w:type="dxa"/>
            <w:noWrap/>
            <w:vAlign w:val="center"/>
            <w:hideMark/>
          </w:tcPr>
          <w:p w14:paraId="31C98D6B"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2019</w:t>
            </w:r>
          </w:p>
        </w:tc>
        <w:tc>
          <w:tcPr>
            <w:tcW w:w="1107" w:type="dxa"/>
            <w:noWrap/>
            <w:vAlign w:val="center"/>
            <w:hideMark/>
          </w:tcPr>
          <w:p w14:paraId="1C43005D" w14:textId="0450A1A2"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376,731</w:t>
            </w:r>
          </w:p>
        </w:tc>
        <w:tc>
          <w:tcPr>
            <w:tcW w:w="1302" w:type="dxa"/>
            <w:noWrap/>
            <w:vAlign w:val="center"/>
            <w:hideMark/>
          </w:tcPr>
          <w:p w14:paraId="5171B5FE" w14:textId="7CEDFD56"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8,175</w:t>
            </w:r>
          </w:p>
        </w:tc>
        <w:tc>
          <w:tcPr>
            <w:tcW w:w="960" w:type="dxa"/>
            <w:noWrap/>
            <w:vAlign w:val="center"/>
            <w:hideMark/>
          </w:tcPr>
          <w:p w14:paraId="125FB2AF"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2.2%</w:t>
            </w:r>
          </w:p>
        </w:tc>
      </w:tr>
      <w:tr w:rsidR="00247A11" w:rsidRPr="00A00EF0" w14:paraId="4A0BBE15" w14:textId="77777777" w:rsidTr="00247A11">
        <w:trPr>
          <w:trHeight w:val="300"/>
          <w:jc w:val="center"/>
        </w:trPr>
        <w:tc>
          <w:tcPr>
            <w:tcW w:w="960" w:type="dxa"/>
            <w:noWrap/>
            <w:vAlign w:val="center"/>
            <w:hideMark/>
          </w:tcPr>
          <w:p w14:paraId="21B1169A"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2020</w:t>
            </w:r>
          </w:p>
        </w:tc>
        <w:tc>
          <w:tcPr>
            <w:tcW w:w="1107" w:type="dxa"/>
            <w:noWrap/>
            <w:vAlign w:val="center"/>
            <w:hideMark/>
          </w:tcPr>
          <w:p w14:paraId="21BCDFCC" w14:textId="5867986F"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352,118</w:t>
            </w:r>
          </w:p>
        </w:tc>
        <w:tc>
          <w:tcPr>
            <w:tcW w:w="1302" w:type="dxa"/>
            <w:noWrap/>
            <w:vAlign w:val="center"/>
            <w:hideMark/>
          </w:tcPr>
          <w:p w14:paraId="65E26462" w14:textId="25433874"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3,902</w:t>
            </w:r>
          </w:p>
        </w:tc>
        <w:tc>
          <w:tcPr>
            <w:tcW w:w="960" w:type="dxa"/>
            <w:noWrap/>
            <w:vAlign w:val="center"/>
            <w:hideMark/>
          </w:tcPr>
          <w:p w14:paraId="3931E42F"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1.1%</w:t>
            </w:r>
          </w:p>
        </w:tc>
      </w:tr>
      <w:tr w:rsidR="00247A11" w:rsidRPr="00A00EF0" w14:paraId="229E062F" w14:textId="77777777" w:rsidTr="00247A11">
        <w:trPr>
          <w:trHeight w:val="300"/>
          <w:jc w:val="center"/>
        </w:trPr>
        <w:tc>
          <w:tcPr>
            <w:tcW w:w="960" w:type="dxa"/>
            <w:noWrap/>
            <w:vAlign w:val="center"/>
            <w:hideMark/>
          </w:tcPr>
          <w:p w14:paraId="3F8811C2"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2021</w:t>
            </w:r>
          </w:p>
        </w:tc>
        <w:tc>
          <w:tcPr>
            <w:tcW w:w="1107" w:type="dxa"/>
            <w:noWrap/>
            <w:vAlign w:val="center"/>
            <w:hideMark/>
          </w:tcPr>
          <w:p w14:paraId="621E090E" w14:textId="18689FE4"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394,747</w:t>
            </w:r>
          </w:p>
        </w:tc>
        <w:tc>
          <w:tcPr>
            <w:tcW w:w="1302" w:type="dxa"/>
            <w:noWrap/>
            <w:vAlign w:val="center"/>
            <w:hideMark/>
          </w:tcPr>
          <w:p w14:paraId="354E462A" w14:textId="7808659A"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5,256</w:t>
            </w:r>
          </w:p>
        </w:tc>
        <w:tc>
          <w:tcPr>
            <w:tcW w:w="960" w:type="dxa"/>
            <w:noWrap/>
            <w:vAlign w:val="center"/>
            <w:hideMark/>
          </w:tcPr>
          <w:p w14:paraId="16E67833"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1.3%</w:t>
            </w:r>
          </w:p>
        </w:tc>
      </w:tr>
      <w:tr w:rsidR="00247A11" w:rsidRPr="00A00EF0" w14:paraId="7DBF3E3C" w14:textId="77777777" w:rsidTr="00247A11">
        <w:trPr>
          <w:trHeight w:val="300"/>
          <w:jc w:val="center"/>
        </w:trPr>
        <w:tc>
          <w:tcPr>
            <w:tcW w:w="960" w:type="dxa"/>
            <w:noWrap/>
            <w:vAlign w:val="center"/>
            <w:hideMark/>
          </w:tcPr>
          <w:p w14:paraId="236001C2"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2022</w:t>
            </w:r>
          </w:p>
        </w:tc>
        <w:tc>
          <w:tcPr>
            <w:tcW w:w="1107" w:type="dxa"/>
            <w:noWrap/>
            <w:vAlign w:val="center"/>
            <w:hideMark/>
          </w:tcPr>
          <w:p w14:paraId="35302A4C" w14:textId="1B3D6353"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632,085</w:t>
            </w:r>
          </w:p>
        </w:tc>
        <w:tc>
          <w:tcPr>
            <w:tcW w:w="1302" w:type="dxa"/>
            <w:noWrap/>
            <w:vAlign w:val="center"/>
            <w:hideMark/>
          </w:tcPr>
          <w:p w14:paraId="13D36FA4" w14:textId="426BD105"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19,586</w:t>
            </w:r>
          </w:p>
        </w:tc>
        <w:tc>
          <w:tcPr>
            <w:tcW w:w="960" w:type="dxa"/>
            <w:noWrap/>
            <w:vAlign w:val="center"/>
            <w:hideMark/>
          </w:tcPr>
          <w:p w14:paraId="316EABBD"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3.1%</w:t>
            </w:r>
          </w:p>
        </w:tc>
      </w:tr>
      <w:tr w:rsidR="00247A11" w:rsidRPr="00A00EF0" w14:paraId="087EE845" w14:textId="77777777" w:rsidTr="00247A11">
        <w:trPr>
          <w:trHeight w:val="300"/>
          <w:jc w:val="center"/>
        </w:trPr>
        <w:tc>
          <w:tcPr>
            <w:tcW w:w="960" w:type="dxa"/>
            <w:noWrap/>
            <w:vAlign w:val="center"/>
            <w:hideMark/>
          </w:tcPr>
          <w:p w14:paraId="2CC37610"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2023</w:t>
            </w:r>
          </w:p>
        </w:tc>
        <w:tc>
          <w:tcPr>
            <w:tcW w:w="1107" w:type="dxa"/>
            <w:noWrap/>
            <w:vAlign w:val="center"/>
            <w:hideMark/>
          </w:tcPr>
          <w:p w14:paraId="61951DCD" w14:textId="2344E6C2"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1,618,866</w:t>
            </w:r>
          </w:p>
        </w:tc>
        <w:tc>
          <w:tcPr>
            <w:tcW w:w="1302" w:type="dxa"/>
            <w:noWrap/>
            <w:vAlign w:val="center"/>
            <w:hideMark/>
          </w:tcPr>
          <w:p w14:paraId="30A52115" w14:textId="55C78635"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71,356</w:t>
            </w:r>
          </w:p>
        </w:tc>
        <w:tc>
          <w:tcPr>
            <w:tcW w:w="960" w:type="dxa"/>
            <w:noWrap/>
            <w:vAlign w:val="center"/>
            <w:hideMark/>
          </w:tcPr>
          <w:p w14:paraId="49F2F3C7"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4.4%</w:t>
            </w:r>
          </w:p>
        </w:tc>
      </w:tr>
      <w:tr w:rsidR="00247A11" w:rsidRPr="00A00EF0" w14:paraId="56A01E0C" w14:textId="77777777" w:rsidTr="00247A11">
        <w:trPr>
          <w:trHeight w:val="300"/>
          <w:jc w:val="center"/>
        </w:trPr>
        <w:tc>
          <w:tcPr>
            <w:tcW w:w="960" w:type="dxa"/>
            <w:noWrap/>
            <w:vAlign w:val="center"/>
            <w:hideMark/>
          </w:tcPr>
          <w:p w14:paraId="07A163C8"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2024</w:t>
            </w:r>
          </w:p>
        </w:tc>
        <w:tc>
          <w:tcPr>
            <w:tcW w:w="1107" w:type="dxa"/>
            <w:noWrap/>
            <w:vAlign w:val="center"/>
            <w:hideMark/>
          </w:tcPr>
          <w:p w14:paraId="557D926C" w14:textId="2BB2043C"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2,557,386</w:t>
            </w:r>
          </w:p>
        </w:tc>
        <w:tc>
          <w:tcPr>
            <w:tcW w:w="1302" w:type="dxa"/>
            <w:noWrap/>
            <w:vAlign w:val="center"/>
            <w:hideMark/>
          </w:tcPr>
          <w:p w14:paraId="4D671DDD" w14:textId="647023A6"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164,944</w:t>
            </w:r>
          </w:p>
        </w:tc>
        <w:tc>
          <w:tcPr>
            <w:tcW w:w="960" w:type="dxa"/>
            <w:noWrap/>
            <w:vAlign w:val="center"/>
            <w:hideMark/>
          </w:tcPr>
          <w:p w14:paraId="07F17EF4"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6.4%</w:t>
            </w:r>
          </w:p>
        </w:tc>
      </w:tr>
      <w:tr w:rsidR="00247A11" w:rsidRPr="00A00EF0" w14:paraId="4F98DFE4" w14:textId="77777777" w:rsidTr="00247A11">
        <w:trPr>
          <w:trHeight w:val="300"/>
          <w:jc w:val="center"/>
        </w:trPr>
        <w:tc>
          <w:tcPr>
            <w:tcW w:w="960" w:type="dxa"/>
            <w:noWrap/>
            <w:vAlign w:val="center"/>
            <w:hideMark/>
          </w:tcPr>
          <w:p w14:paraId="57AD902B"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2025</w:t>
            </w:r>
          </w:p>
        </w:tc>
        <w:tc>
          <w:tcPr>
            <w:tcW w:w="1107" w:type="dxa"/>
            <w:noWrap/>
            <w:vAlign w:val="center"/>
            <w:hideMark/>
          </w:tcPr>
          <w:p w14:paraId="3880AB58" w14:textId="56509293"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3,667,202</w:t>
            </w:r>
          </w:p>
        </w:tc>
        <w:tc>
          <w:tcPr>
            <w:tcW w:w="1302" w:type="dxa"/>
            <w:noWrap/>
            <w:vAlign w:val="center"/>
            <w:hideMark/>
          </w:tcPr>
          <w:p w14:paraId="3B3A341F" w14:textId="55B85E3A"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259,312</w:t>
            </w:r>
          </w:p>
        </w:tc>
        <w:tc>
          <w:tcPr>
            <w:tcW w:w="960" w:type="dxa"/>
            <w:noWrap/>
            <w:vAlign w:val="center"/>
            <w:hideMark/>
          </w:tcPr>
          <w:p w14:paraId="42EE6B58"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7.1%</w:t>
            </w:r>
          </w:p>
        </w:tc>
      </w:tr>
    </w:tbl>
    <w:p w14:paraId="313F30F9" w14:textId="77777777" w:rsidR="00247A11" w:rsidRPr="00A00EF0" w:rsidRDefault="00247A11" w:rsidP="00247A11">
      <w:pPr>
        <w:spacing w:before="40" w:after="60"/>
        <w:ind w:firstLine="720"/>
        <w:rPr>
          <w:rFonts w:cstheme="minorHAnsi"/>
        </w:rPr>
      </w:pPr>
      <w:r w:rsidRPr="00A00EF0">
        <w:rPr>
          <w:rFonts w:eastAsia="Arial" w:cstheme="minorHAnsi"/>
          <w:i/>
          <w:iCs/>
          <w:color w:val="595959"/>
          <w:sz w:val="16"/>
          <w:szCs w:val="16"/>
        </w:rPr>
        <w:t>Fuente: Trademap</w:t>
      </w:r>
    </w:p>
    <w:p w14:paraId="059A203E" w14:textId="54381CD2" w:rsidR="00247A11" w:rsidRPr="00A00EF0" w:rsidRDefault="00247A11">
      <w:pPr>
        <w:rPr>
          <w:rFonts w:cstheme="minorHAnsi"/>
          <w:b/>
          <w:bCs/>
        </w:rPr>
      </w:pPr>
    </w:p>
    <w:p w14:paraId="044419DF" w14:textId="77777777" w:rsidR="003F4B5B" w:rsidRPr="003F4B5B" w:rsidRDefault="003F4B5B" w:rsidP="003F4B5B">
      <w:pPr>
        <w:rPr>
          <w:rFonts w:cstheme="minorHAnsi"/>
        </w:rPr>
      </w:pPr>
      <w:r w:rsidRPr="003F4B5B">
        <w:rPr>
          <w:rFonts w:cstheme="minorHAnsi"/>
        </w:rPr>
        <w:t>Como puede observarse, durante el período 2014-2021 la participación del continente americano en las exportaciones chinas de varillas de acero se mantuvo relativamente estable, en niveles cercanos al 1-2% del total exportado. Sin embargo, a partir de 2022 se observa un cambio significativo en el patrón de comercio, caracterizado por un aumento acelerado de las exportaciones chinas hacia el continente americano.</w:t>
      </w:r>
    </w:p>
    <w:p w14:paraId="21059C41" w14:textId="240438FE" w:rsidR="003F4B5B" w:rsidRPr="00A00EF0" w:rsidRDefault="003F4B5B">
      <w:pPr>
        <w:rPr>
          <w:rFonts w:cstheme="minorHAnsi"/>
        </w:rPr>
      </w:pPr>
      <w:r w:rsidRPr="003F4B5B">
        <w:rPr>
          <w:rFonts w:cstheme="minorHAnsi"/>
        </w:rPr>
        <w:t>Entre 2021 y 2025, el valor de las exportaciones chinas hacia América pasó de aproximadamente US$5.2 millones a US$259 millones, mientras que la participación de la región dentro de las exportaciones totales de China de este producto aumentó de 1.3% a 7.1%. Esto implica que, en apenas cuatro años, la presencia de China en los mercados del continente americano se multiplicó más de cinco veces.</w:t>
      </w:r>
    </w:p>
    <w:p w14:paraId="2BC803B1" w14:textId="4E46D20B" w:rsidR="00192DC1" w:rsidRPr="00A00EF0" w:rsidRDefault="00247A11" w:rsidP="00247A11">
      <w:pPr>
        <w:jc w:val="center"/>
        <w:rPr>
          <w:rFonts w:cstheme="minorHAnsi"/>
          <w:b/>
          <w:bCs/>
        </w:rPr>
      </w:pPr>
      <w:r w:rsidRPr="00A00EF0">
        <w:rPr>
          <w:rFonts w:cstheme="minorHAnsi"/>
          <w:b/>
          <w:bCs/>
        </w:rPr>
        <w:lastRenderedPageBreak/>
        <w:t xml:space="preserve">Gráfico </w:t>
      </w:r>
      <w:proofErr w:type="gramStart"/>
      <w:r w:rsidR="008F4F7E">
        <w:rPr>
          <w:rFonts w:cstheme="minorHAnsi"/>
          <w:b/>
          <w:bCs/>
        </w:rPr>
        <w:t>3</w:t>
      </w:r>
      <w:r w:rsidR="00DC380F">
        <w:rPr>
          <w:rFonts w:cstheme="minorHAnsi"/>
          <w:b/>
          <w:bCs/>
        </w:rPr>
        <w:t xml:space="preserve"> </w:t>
      </w:r>
      <w:r w:rsidRPr="00A00EF0">
        <w:rPr>
          <w:rFonts w:cstheme="minorHAnsi"/>
          <w:b/>
          <w:bCs/>
        </w:rPr>
        <w:t>.</w:t>
      </w:r>
      <w:proofErr w:type="gramEnd"/>
      <w:r w:rsidRPr="00A00EF0">
        <w:rPr>
          <w:rFonts w:cstheme="minorHAnsi"/>
          <w:b/>
          <w:bCs/>
        </w:rPr>
        <w:t xml:space="preserve"> Porcentaje de Exportaciones Chinas del HS 7214 a America</w:t>
      </w:r>
    </w:p>
    <w:p w14:paraId="18518CB6" w14:textId="46A3568C" w:rsidR="00192DC1" w:rsidRPr="00A00EF0" w:rsidRDefault="00247A11" w:rsidP="00247A11">
      <w:pPr>
        <w:jc w:val="center"/>
        <w:rPr>
          <w:rFonts w:cstheme="minorHAnsi"/>
        </w:rPr>
      </w:pPr>
      <w:r w:rsidRPr="00A00EF0">
        <w:rPr>
          <w:rFonts w:cstheme="minorHAnsi"/>
          <w:noProof/>
        </w:rPr>
        <w:drawing>
          <wp:inline distT="0" distB="0" distL="0" distR="0" wp14:anchorId="033C0909" wp14:editId="0F4C981D">
            <wp:extent cx="5124893" cy="3381375"/>
            <wp:effectExtent l="0" t="0" r="0" b="0"/>
            <wp:docPr id="596245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143514" w14:textId="6E2D5D71" w:rsidR="00247A11" w:rsidRPr="00A00EF0" w:rsidRDefault="00247A11" w:rsidP="00247A11">
      <w:pPr>
        <w:spacing w:before="40" w:after="60"/>
        <w:ind w:firstLine="720"/>
        <w:rPr>
          <w:rFonts w:cstheme="minorHAnsi"/>
        </w:rPr>
      </w:pPr>
      <w:r w:rsidRPr="00A00EF0">
        <w:rPr>
          <w:rFonts w:eastAsia="Arial" w:cstheme="minorHAnsi"/>
          <w:i/>
          <w:iCs/>
          <w:color w:val="595959"/>
          <w:sz w:val="16"/>
          <w:szCs w:val="16"/>
        </w:rPr>
        <w:t>Fuente: Trademap</w:t>
      </w:r>
    </w:p>
    <w:p w14:paraId="30B588E3" w14:textId="06447A1F" w:rsidR="00301FCB" w:rsidRPr="00A00EF0" w:rsidRDefault="00301FCB" w:rsidP="00301FCB">
      <w:pPr>
        <w:rPr>
          <w:rFonts w:cstheme="minorHAnsi"/>
        </w:rPr>
      </w:pPr>
    </w:p>
    <w:p w14:paraId="487063F6" w14:textId="77777777" w:rsidR="003F4B5B" w:rsidRPr="003F4B5B" w:rsidRDefault="003F4B5B" w:rsidP="003F4B5B">
      <w:pPr>
        <w:rPr>
          <w:rFonts w:cstheme="minorHAnsi"/>
        </w:rPr>
      </w:pPr>
      <w:r w:rsidRPr="003F4B5B">
        <w:rPr>
          <w:rFonts w:cstheme="minorHAnsi"/>
        </w:rPr>
        <w:t>La evolución descrita demuestra que China no solo posee una capacidad exportadora significativa en el sector siderúrgico, sino que además ha incrementado de manera acelerada su presencia en los mercados del continente americano en los últimos años. Este comportamiento refleja factores estructurales ampliamente documentados en el mercado mundial del acero, particularmente el exceso de capacidad productiva existente en China y la necesidad de la industria siderúrgica china de colocar su excedente de producción en mercados externos.</w:t>
      </w:r>
    </w:p>
    <w:p w14:paraId="1AB7C1C4" w14:textId="77777777" w:rsidR="003F4B5B" w:rsidRPr="003F4B5B" w:rsidRDefault="003F4B5B" w:rsidP="003F4B5B">
      <w:pPr>
        <w:rPr>
          <w:rFonts w:cstheme="minorHAnsi"/>
        </w:rPr>
      </w:pPr>
      <w:r w:rsidRPr="003F4B5B">
        <w:rPr>
          <w:rFonts w:cstheme="minorHAnsi"/>
        </w:rPr>
        <w:t>En un contexto en el que numerosos países han impuesto medidas de defensa comercial contra productos siderúrgicos originarios de China, los exportadores tienden a redirigir sus envíos hacia mercados con menores barreras comerciales. En consecuencia, el incremento reciente de las exportaciones chinas hacia América constituye un indicio relevante de que los productores chinos poseen tanto la capacidad como la propensión de expandir sus exportaciones hacia la región cuando existen oportunidades de mercado.</w:t>
      </w:r>
    </w:p>
    <w:p w14:paraId="058CCE56" w14:textId="56340CB6" w:rsidR="00527288" w:rsidRDefault="003F4B5B" w:rsidP="00301FCB">
      <w:pPr>
        <w:rPr>
          <w:rFonts w:cstheme="minorHAnsi"/>
        </w:rPr>
      </w:pPr>
      <w:r w:rsidRPr="003F4B5B">
        <w:rPr>
          <w:rFonts w:cstheme="minorHAnsi"/>
        </w:rPr>
        <w:t>En este contexto, la expansión reciente de las exportaciones chinas hacia América refuerza la probabilidad de que estos flujos comerciales puedan redirigirse hacia mercados específicos de la región en ausencia de medidas de defensa comercial.</w:t>
      </w:r>
    </w:p>
    <w:p w14:paraId="318A6E88" w14:textId="77777777" w:rsidR="006346B2" w:rsidRPr="008F4F7E" w:rsidRDefault="006346B2" w:rsidP="00301FCB">
      <w:pPr>
        <w:rPr>
          <w:rFonts w:cstheme="minorHAnsi"/>
        </w:rPr>
      </w:pPr>
    </w:p>
    <w:sectPr w:rsidR="006346B2" w:rsidRPr="008F4F7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89E9" w14:textId="77777777" w:rsidR="00A83314" w:rsidRPr="00A00EF0" w:rsidRDefault="00A83314" w:rsidP="00965721">
      <w:pPr>
        <w:spacing w:after="0" w:line="240" w:lineRule="auto"/>
      </w:pPr>
      <w:r w:rsidRPr="00A00EF0">
        <w:separator/>
      </w:r>
    </w:p>
  </w:endnote>
  <w:endnote w:type="continuationSeparator" w:id="0">
    <w:p w14:paraId="59228D15" w14:textId="77777777" w:rsidR="00A83314" w:rsidRPr="00A00EF0" w:rsidRDefault="00A83314" w:rsidP="00965721">
      <w:pPr>
        <w:spacing w:after="0" w:line="240" w:lineRule="auto"/>
      </w:pPr>
      <w:r w:rsidRPr="00A00E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7242" w14:textId="77777777" w:rsidR="00A83314" w:rsidRPr="00A00EF0" w:rsidRDefault="00A83314" w:rsidP="00965721">
      <w:pPr>
        <w:spacing w:after="0" w:line="240" w:lineRule="auto"/>
      </w:pPr>
      <w:r w:rsidRPr="00A00EF0">
        <w:separator/>
      </w:r>
    </w:p>
  </w:footnote>
  <w:footnote w:type="continuationSeparator" w:id="0">
    <w:p w14:paraId="3BF0FAAF" w14:textId="77777777" w:rsidR="00A83314" w:rsidRPr="00A00EF0" w:rsidRDefault="00A83314" w:rsidP="00965721">
      <w:pPr>
        <w:spacing w:after="0" w:line="240" w:lineRule="auto"/>
      </w:pPr>
      <w:r w:rsidRPr="00A00EF0">
        <w:continuationSeparator/>
      </w:r>
    </w:p>
  </w:footnote>
  <w:footnote w:id="1">
    <w:p w14:paraId="01276D5F" w14:textId="77777777" w:rsidR="00843C1F" w:rsidRPr="00A00EF0" w:rsidRDefault="00843C1F" w:rsidP="00843C1F">
      <w:pPr>
        <w:pStyle w:val="FootnoteText"/>
      </w:pPr>
      <w:r w:rsidRPr="00A00EF0">
        <w:rPr>
          <w:rStyle w:val="FootnoteReference"/>
        </w:rPr>
        <w:footnoteRef/>
      </w:r>
      <w:r w:rsidRPr="00A00EF0">
        <w:t xml:space="preserve"> </w:t>
      </w:r>
      <w:hyperlink r:id="rId1" w:history="1">
        <w:r w:rsidRPr="00A00EF0">
          <w:rPr>
            <w:rStyle w:val="Hyperlink"/>
          </w:rPr>
          <w:t>https://www.wto.org/spanish/docs_s/legal_s/19-adp.pdf</w:t>
        </w:r>
      </w:hyperlink>
      <w:r w:rsidRPr="00A00EF0">
        <w:t xml:space="preserve"> </w:t>
      </w:r>
    </w:p>
  </w:footnote>
  <w:footnote w:id="2">
    <w:p w14:paraId="609B9114" w14:textId="77777777" w:rsidR="00843C1F" w:rsidRPr="00A00EF0" w:rsidRDefault="00843C1F" w:rsidP="00843C1F">
      <w:pPr>
        <w:pStyle w:val="FootnoteText"/>
      </w:pPr>
      <w:r w:rsidRPr="00A00EF0">
        <w:rPr>
          <w:rStyle w:val="FootnoteReference"/>
        </w:rPr>
        <w:footnoteRef/>
      </w:r>
      <w:r w:rsidRPr="00A00EF0">
        <w:t xml:space="preserve"> </w:t>
      </w:r>
      <w:hyperlink r:id="rId2" w:history="1">
        <w:r w:rsidRPr="00A00EF0">
          <w:rPr>
            <w:rStyle w:val="Hyperlink"/>
          </w:rPr>
          <w:t>https://www.wto.org/spanish/thewto_s/whatis_s/tif_s/agrm8_s.htm</w:t>
        </w:r>
      </w:hyperlink>
      <w:r w:rsidRPr="00A00EF0">
        <w:t xml:space="preserve"> </w:t>
      </w:r>
    </w:p>
  </w:footnote>
  <w:footnote w:id="3">
    <w:p w14:paraId="4B19959E" w14:textId="77777777" w:rsidR="00843C1F" w:rsidRPr="00A00EF0" w:rsidRDefault="00843C1F" w:rsidP="00843C1F">
      <w:pPr>
        <w:pStyle w:val="FootnoteText"/>
      </w:pPr>
      <w:r w:rsidRPr="00A00EF0">
        <w:rPr>
          <w:rStyle w:val="FootnoteReference"/>
        </w:rPr>
        <w:footnoteRef/>
      </w:r>
      <w:r w:rsidRPr="00A00EF0">
        <w:t xml:space="preserve"> </w:t>
      </w:r>
      <w:hyperlink r:id="rId3" w:history="1">
        <w:r w:rsidRPr="00A00EF0">
          <w:rPr>
            <w:rStyle w:val="Hyperlink"/>
          </w:rPr>
          <w:t>https://www.congress.gov/crs-product/IF10385</w:t>
        </w:r>
      </w:hyperlink>
      <w:r w:rsidRPr="00A00EF0">
        <w:t xml:space="preserve"> </w:t>
      </w:r>
    </w:p>
  </w:footnote>
  <w:footnote w:id="4">
    <w:p w14:paraId="2F8D9C2D" w14:textId="77777777" w:rsidR="00843C1F" w:rsidRPr="00A00EF0" w:rsidRDefault="00843C1F" w:rsidP="00843C1F">
      <w:pPr>
        <w:pStyle w:val="FootnoteText"/>
      </w:pPr>
      <w:r w:rsidRPr="00A00EF0">
        <w:rPr>
          <w:rStyle w:val="FootnoteReference"/>
        </w:rPr>
        <w:footnoteRef/>
      </w:r>
      <w:r w:rsidRPr="00A00EF0">
        <w:t xml:space="preserve"> </w:t>
      </w:r>
      <w:hyperlink r:id="rId4" w:history="1">
        <w:r w:rsidRPr="00A00EF0">
          <w:rPr>
            <w:rStyle w:val="Hyperlink"/>
          </w:rPr>
          <w:t>https://policy.trade.ec.europa.eu/news/commission-updates-report-state-induced-distortions-chinas-economy-2024-04-10_en?prefLang=es&amp;etrans=es</w:t>
        </w:r>
      </w:hyperlink>
      <w:r w:rsidRPr="00A00EF0">
        <w:t xml:space="preserve"> </w:t>
      </w:r>
    </w:p>
  </w:footnote>
  <w:footnote w:id="5">
    <w:p w14:paraId="66AD32A7" w14:textId="77777777" w:rsidR="00843C1F" w:rsidRPr="00A00EF0" w:rsidRDefault="00843C1F" w:rsidP="00843C1F">
      <w:pPr>
        <w:pStyle w:val="FootnoteText"/>
      </w:pPr>
      <w:r w:rsidRPr="00A00EF0">
        <w:rPr>
          <w:rStyle w:val="FootnoteReference"/>
        </w:rPr>
        <w:footnoteRef/>
      </w:r>
      <w:r w:rsidRPr="00A00EF0">
        <w:t xml:space="preserve"> </w:t>
      </w:r>
      <w:hyperlink r:id="rId5" w:history="1">
        <w:r w:rsidRPr="00A00EF0">
          <w:rPr>
            <w:rStyle w:val="Hyperlink"/>
          </w:rPr>
          <w:t>https://blogs.worldbank.org/es/opendata/understanding-country-income--world-bank-group-income-classifica</w:t>
        </w:r>
      </w:hyperlink>
      <w:r w:rsidRPr="00A00EF0">
        <w:t xml:space="preserve"> </w:t>
      </w:r>
    </w:p>
  </w:footnote>
  <w:footnote w:id="6">
    <w:p w14:paraId="1D7D1560" w14:textId="77777777" w:rsidR="00843C1F" w:rsidRPr="00A00EF0" w:rsidRDefault="00843C1F" w:rsidP="00843C1F">
      <w:pPr>
        <w:pStyle w:val="FootnoteText"/>
      </w:pPr>
      <w:r w:rsidRPr="00A00EF0">
        <w:rPr>
          <w:rStyle w:val="FootnoteReference"/>
        </w:rPr>
        <w:footnoteRef/>
      </w:r>
      <w:r w:rsidRPr="00A00EF0">
        <w:t xml:space="preserve"> </w:t>
      </w:r>
      <w:hyperlink r:id="rId6" w:history="1">
        <w:r w:rsidRPr="00A00EF0">
          <w:rPr>
            <w:rStyle w:val="Hyperlink"/>
          </w:rPr>
          <w:t>https://www.grandviewresearch.com/horizon/outlook/steel-market/brazil</w:t>
        </w:r>
      </w:hyperlink>
      <w:r w:rsidRPr="00A00EF0">
        <w:t xml:space="preserve"> </w:t>
      </w:r>
    </w:p>
  </w:footnote>
  <w:footnote w:id="7">
    <w:p w14:paraId="62A9BC25" w14:textId="77777777" w:rsidR="00843C1F" w:rsidRDefault="00843C1F" w:rsidP="00843C1F">
      <w:pPr>
        <w:pStyle w:val="FootnoteText"/>
      </w:pPr>
      <w:r w:rsidRPr="00A00EF0">
        <w:rPr>
          <w:rStyle w:val="FootnoteReference"/>
        </w:rPr>
        <w:footnoteRef/>
      </w:r>
      <w:r w:rsidRPr="00A00EF0">
        <w:t xml:space="preserve"> </w:t>
      </w:r>
      <w:hyperlink r:id="rId7" w:history="1">
        <w:r w:rsidRPr="00A00EF0">
          <w:rPr>
            <w:rStyle w:val="Hyperlink"/>
          </w:rPr>
          <w:t>https://worldsteel.org/data/world-steel-in-figures/world-steel-in-figures-2025/</w:t>
        </w:r>
      </w:hyperlink>
      <w:r w:rsidRPr="00A00EF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67EA"/>
    <w:multiLevelType w:val="multilevel"/>
    <w:tmpl w:val="75BE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015D1"/>
    <w:multiLevelType w:val="hybridMultilevel"/>
    <w:tmpl w:val="931ABD90"/>
    <w:lvl w:ilvl="0" w:tplc="9D263B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01E23"/>
    <w:multiLevelType w:val="multilevel"/>
    <w:tmpl w:val="B5B8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F0159"/>
    <w:multiLevelType w:val="multilevel"/>
    <w:tmpl w:val="D36E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C5DD3"/>
    <w:multiLevelType w:val="multilevel"/>
    <w:tmpl w:val="784E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D4671"/>
    <w:multiLevelType w:val="multilevel"/>
    <w:tmpl w:val="50A0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4243C"/>
    <w:multiLevelType w:val="multilevel"/>
    <w:tmpl w:val="711E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824BA8"/>
    <w:multiLevelType w:val="hybridMultilevel"/>
    <w:tmpl w:val="42E0D762"/>
    <w:lvl w:ilvl="0" w:tplc="8D0EF2CA">
      <w:start w:val="1"/>
      <w:numFmt w:val="bullet"/>
      <w:lvlText w:val="•"/>
      <w:lvlJc w:val="left"/>
      <w:pPr>
        <w:ind w:left="720" w:hanging="360"/>
      </w:pPr>
    </w:lvl>
    <w:lvl w:ilvl="1" w:tplc="D56C1DB0">
      <w:numFmt w:val="decimal"/>
      <w:lvlText w:val=""/>
      <w:lvlJc w:val="left"/>
    </w:lvl>
    <w:lvl w:ilvl="2" w:tplc="427A9BDC">
      <w:numFmt w:val="decimal"/>
      <w:lvlText w:val=""/>
      <w:lvlJc w:val="left"/>
    </w:lvl>
    <w:lvl w:ilvl="3" w:tplc="E2BCC60A">
      <w:numFmt w:val="decimal"/>
      <w:lvlText w:val=""/>
      <w:lvlJc w:val="left"/>
    </w:lvl>
    <w:lvl w:ilvl="4" w:tplc="1E585584">
      <w:numFmt w:val="decimal"/>
      <w:lvlText w:val=""/>
      <w:lvlJc w:val="left"/>
    </w:lvl>
    <w:lvl w:ilvl="5" w:tplc="0F602C64">
      <w:numFmt w:val="decimal"/>
      <w:lvlText w:val=""/>
      <w:lvlJc w:val="left"/>
    </w:lvl>
    <w:lvl w:ilvl="6" w:tplc="497A6162">
      <w:numFmt w:val="decimal"/>
      <w:lvlText w:val=""/>
      <w:lvlJc w:val="left"/>
    </w:lvl>
    <w:lvl w:ilvl="7" w:tplc="50FC61F2">
      <w:numFmt w:val="decimal"/>
      <w:lvlText w:val=""/>
      <w:lvlJc w:val="left"/>
    </w:lvl>
    <w:lvl w:ilvl="8" w:tplc="09E4C67C">
      <w:numFmt w:val="decimal"/>
      <w:lvlText w:val=""/>
      <w:lvlJc w:val="left"/>
    </w:lvl>
  </w:abstractNum>
  <w:abstractNum w:abstractNumId="8" w15:restartNumberingAfterBreak="0">
    <w:nsid w:val="708C0CE1"/>
    <w:multiLevelType w:val="multilevel"/>
    <w:tmpl w:val="73BA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946883">
    <w:abstractNumId w:val="6"/>
  </w:num>
  <w:num w:numId="2" w16cid:durableId="638655005">
    <w:abstractNumId w:val="2"/>
  </w:num>
  <w:num w:numId="3" w16cid:durableId="1344279961">
    <w:abstractNumId w:val="1"/>
  </w:num>
  <w:num w:numId="4" w16cid:durableId="52777678">
    <w:abstractNumId w:val="8"/>
  </w:num>
  <w:num w:numId="5" w16cid:durableId="1775322394">
    <w:abstractNumId w:val="7"/>
    <w:lvlOverride w:ilvl="0">
      <w:startOverride w:val="1"/>
    </w:lvlOverride>
  </w:num>
  <w:num w:numId="6" w16cid:durableId="1225871827">
    <w:abstractNumId w:val="0"/>
  </w:num>
  <w:num w:numId="7" w16cid:durableId="799492613">
    <w:abstractNumId w:val="4"/>
  </w:num>
  <w:num w:numId="8" w16cid:durableId="1854878856">
    <w:abstractNumId w:val="3"/>
  </w:num>
  <w:num w:numId="9" w16cid:durableId="1327440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21"/>
    <w:rsid w:val="00025B85"/>
    <w:rsid w:val="000564FB"/>
    <w:rsid w:val="000640F8"/>
    <w:rsid w:val="000A5BEB"/>
    <w:rsid w:val="000C7B1E"/>
    <w:rsid w:val="000D0C03"/>
    <w:rsid w:val="000E28C8"/>
    <w:rsid w:val="00190658"/>
    <w:rsid w:val="00192DC1"/>
    <w:rsid w:val="001B14CC"/>
    <w:rsid w:val="001D3EEA"/>
    <w:rsid w:val="001E6A33"/>
    <w:rsid w:val="00217E32"/>
    <w:rsid w:val="00223550"/>
    <w:rsid w:val="00247A11"/>
    <w:rsid w:val="0025368A"/>
    <w:rsid w:val="00267870"/>
    <w:rsid w:val="00275264"/>
    <w:rsid w:val="00276320"/>
    <w:rsid w:val="00277660"/>
    <w:rsid w:val="002B16AF"/>
    <w:rsid w:val="002B3923"/>
    <w:rsid w:val="00301FCB"/>
    <w:rsid w:val="00360417"/>
    <w:rsid w:val="003C41C8"/>
    <w:rsid w:val="003E6A8A"/>
    <w:rsid w:val="003F4B5B"/>
    <w:rsid w:val="004256E4"/>
    <w:rsid w:val="00446E02"/>
    <w:rsid w:val="00527288"/>
    <w:rsid w:val="0054034E"/>
    <w:rsid w:val="00552134"/>
    <w:rsid w:val="00553F56"/>
    <w:rsid w:val="005A61A3"/>
    <w:rsid w:val="005C7E5F"/>
    <w:rsid w:val="00605193"/>
    <w:rsid w:val="00622E78"/>
    <w:rsid w:val="006346B2"/>
    <w:rsid w:val="006B2EC9"/>
    <w:rsid w:val="006D6B69"/>
    <w:rsid w:val="00743922"/>
    <w:rsid w:val="007509F8"/>
    <w:rsid w:val="00751620"/>
    <w:rsid w:val="00776886"/>
    <w:rsid w:val="00785372"/>
    <w:rsid w:val="007B42D3"/>
    <w:rsid w:val="007F1630"/>
    <w:rsid w:val="00843C1F"/>
    <w:rsid w:val="008F4F7E"/>
    <w:rsid w:val="00902A83"/>
    <w:rsid w:val="00935218"/>
    <w:rsid w:val="00965721"/>
    <w:rsid w:val="009F6D65"/>
    <w:rsid w:val="00A00EF0"/>
    <w:rsid w:val="00A3023A"/>
    <w:rsid w:val="00A4083B"/>
    <w:rsid w:val="00A83314"/>
    <w:rsid w:val="00AA15EE"/>
    <w:rsid w:val="00B919CC"/>
    <w:rsid w:val="00BD7A6C"/>
    <w:rsid w:val="00BF5A6A"/>
    <w:rsid w:val="00C858B1"/>
    <w:rsid w:val="00C94EE9"/>
    <w:rsid w:val="00D96854"/>
    <w:rsid w:val="00DA15ED"/>
    <w:rsid w:val="00DB0198"/>
    <w:rsid w:val="00DC380F"/>
    <w:rsid w:val="00DD58B7"/>
    <w:rsid w:val="00E05DD5"/>
    <w:rsid w:val="00E45D24"/>
    <w:rsid w:val="00E63178"/>
    <w:rsid w:val="00EE1FB7"/>
    <w:rsid w:val="00EE38EE"/>
    <w:rsid w:val="00EF25F6"/>
    <w:rsid w:val="00F0588D"/>
    <w:rsid w:val="00F30F53"/>
    <w:rsid w:val="00F3559B"/>
    <w:rsid w:val="00F47378"/>
    <w:rsid w:val="00F95A88"/>
    <w:rsid w:val="00FB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5B24"/>
  <w15:chartTrackingRefBased/>
  <w15:docId w15:val="{E046B22F-9FAF-4C29-9383-409DFCB0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886"/>
    <w:rPr>
      <w:lang w:val="es-DO"/>
    </w:rPr>
  </w:style>
  <w:style w:type="paragraph" w:styleId="Heading1">
    <w:name w:val="heading 1"/>
    <w:basedOn w:val="Normal"/>
    <w:next w:val="Normal"/>
    <w:link w:val="Heading1Char"/>
    <w:uiPriority w:val="9"/>
    <w:qFormat/>
    <w:rsid w:val="00965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5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5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5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5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5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5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5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5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5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5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721"/>
    <w:rPr>
      <w:rFonts w:eastAsiaTheme="majorEastAsia" w:cstheme="majorBidi"/>
      <w:color w:val="272727" w:themeColor="text1" w:themeTint="D8"/>
    </w:rPr>
  </w:style>
  <w:style w:type="paragraph" w:styleId="Title">
    <w:name w:val="Title"/>
    <w:basedOn w:val="Normal"/>
    <w:next w:val="Normal"/>
    <w:link w:val="TitleChar"/>
    <w:uiPriority w:val="10"/>
    <w:qFormat/>
    <w:rsid w:val="00965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721"/>
    <w:pPr>
      <w:spacing w:before="160"/>
      <w:jc w:val="center"/>
    </w:pPr>
    <w:rPr>
      <w:i/>
      <w:iCs/>
      <w:color w:val="404040" w:themeColor="text1" w:themeTint="BF"/>
    </w:rPr>
  </w:style>
  <w:style w:type="character" w:customStyle="1" w:styleId="QuoteChar">
    <w:name w:val="Quote Char"/>
    <w:basedOn w:val="DefaultParagraphFont"/>
    <w:link w:val="Quote"/>
    <w:uiPriority w:val="29"/>
    <w:rsid w:val="00965721"/>
    <w:rPr>
      <w:i/>
      <w:iCs/>
      <w:color w:val="404040" w:themeColor="text1" w:themeTint="BF"/>
    </w:rPr>
  </w:style>
  <w:style w:type="paragraph" w:styleId="ListParagraph">
    <w:name w:val="List Paragraph"/>
    <w:basedOn w:val="Normal"/>
    <w:qFormat/>
    <w:rsid w:val="00965721"/>
    <w:pPr>
      <w:ind w:left="720"/>
      <w:contextualSpacing/>
    </w:pPr>
  </w:style>
  <w:style w:type="character" w:styleId="IntenseEmphasis">
    <w:name w:val="Intense Emphasis"/>
    <w:basedOn w:val="DefaultParagraphFont"/>
    <w:uiPriority w:val="21"/>
    <w:qFormat/>
    <w:rsid w:val="00965721"/>
    <w:rPr>
      <w:i/>
      <w:iCs/>
      <w:color w:val="2F5496" w:themeColor="accent1" w:themeShade="BF"/>
    </w:rPr>
  </w:style>
  <w:style w:type="paragraph" w:styleId="IntenseQuote">
    <w:name w:val="Intense Quote"/>
    <w:basedOn w:val="Normal"/>
    <w:next w:val="Normal"/>
    <w:link w:val="IntenseQuoteChar"/>
    <w:uiPriority w:val="30"/>
    <w:qFormat/>
    <w:rsid w:val="00965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5721"/>
    <w:rPr>
      <w:i/>
      <w:iCs/>
      <w:color w:val="2F5496" w:themeColor="accent1" w:themeShade="BF"/>
    </w:rPr>
  </w:style>
  <w:style w:type="character" w:styleId="IntenseReference">
    <w:name w:val="Intense Reference"/>
    <w:basedOn w:val="DefaultParagraphFont"/>
    <w:uiPriority w:val="32"/>
    <w:qFormat/>
    <w:rsid w:val="00965721"/>
    <w:rPr>
      <w:b/>
      <w:bCs/>
      <w:smallCaps/>
      <w:color w:val="2F5496" w:themeColor="accent1" w:themeShade="BF"/>
      <w:spacing w:val="5"/>
    </w:rPr>
  </w:style>
  <w:style w:type="paragraph" w:styleId="FootnoteText">
    <w:name w:val="footnote text"/>
    <w:basedOn w:val="Normal"/>
    <w:link w:val="FootnoteTextChar"/>
    <w:uiPriority w:val="99"/>
    <w:semiHidden/>
    <w:unhideWhenUsed/>
    <w:rsid w:val="009657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21"/>
    <w:rPr>
      <w:sz w:val="20"/>
      <w:szCs w:val="20"/>
    </w:rPr>
  </w:style>
  <w:style w:type="character" w:styleId="FootnoteReference">
    <w:name w:val="footnote reference"/>
    <w:basedOn w:val="DefaultParagraphFont"/>
    <w:uiPriority w:val="99"/>
    <w:semiHidden/>
    <w:unhideWhenUsed/>
    <w:rsid w:val="00965721"/>
    <w:rPr>
      <w:vertAlign w:val="superscript"/>
    </w:rPr>
  </w:style>
  <w:style w:type="character" w:styleId="Hyperlink">
    <w:name w:val="Hyperlink"/>
    <w:basedOn w:val="DefaultParagraphFont"/>
    <w:uiPriority w:val="99"/>
    <w:unhideWhenUsed/>
    <w:rsid w:val="00965721"/>
    <w:rPr>
      <w:color w:val="0563C1" w:themeColor="hyperlink"/>
      <w:u w:val="single"/>
    </w:rPr>
  </w:style>
  <w:style w:type="character" w:styleId="UnresolvedMention">
    <w:name w:val="Unresolved Mention"/>
    <w:basedOn w:val="DefaultParagraphFont"/>
    <w:uiPriority w:val="99"/>
    <w:semiHidden/>
    <w:unhideWhenUsed/>
    <w:rsid w:val="00965721"/>
    <w:rPr>
      <w:color w:val="605E5C"/>
      <w:shd w:val="clear" w:color="auto" w:fill="E1DFDD"/>
    </w:rPr>
  </w:style>
  <w:style w:type="character" w:styleId="CommentReference">
    <w:name w:val="annotation reference"/>
    <w:basedOn w:val="DefaultParagraphFont"/>
    <w:uiPriority w:val="99"/>
    <w:semiHidden/>
    <w:unhideWhenUsed/>
    <w:rsid w:val="00785372"/>
    <w:rPr>
      <w:sz w:val="16"/>
      <w:szCs w:val="16"/>
    </w:rPr>
  </w:style>
  <w:style w:type="paragraph" w:styleId="CommentText">
    <w:name w:val="annotation text"/>
    <w:basedOn w:val="Normal"/>
    <w:link w:val="CommentTextChar"/>
    <w:uiPriority w:val="99"/>
    <w:semiHidden/>
    <w:unhideWhenUsed/>
    <w:rsid w:val="00785372"/>
    <w:pPr>
      <w:spacing w:line="240" w:lineRule="auto"/>
    </w:pPr>
    <w:rPr>
      <w:sz w:val="20"/>
      <w:szCs w:val="20"/>
    </w:rPr>
  </w:style>
  <w:style w:type="character" w:customStyle="1" w:styleId="CommentTextChar">
    <w:name w:val="Comment Text Char"/>
    <w:basedOn w:val="DefaultParagraphFont"/>
    <w:link w:val="CommentText"/>
    <w:uiPriority w:val="99"/>
    <w:semiHidden/>
    <w:rsid w:val="00785372"/>
    <w:rPr>
      <w:sz w:val="20"/>
      <w:szCs w:val="20"/>
    </w:rPr>
  </w:style>
  <w:style w:type="paragraph" w:styleId="CommentSubject">
    <w:name w:val="annotation subject"/>
    <w:basedOn w:val="CommentText"/>
    <w:next w:val="CommentText"/>
    <w:link w:val="CommentSubjectChar"/>
    <w:uiPriority w:val="99"/>
    <w:semiHidden/>
    <w:unhideWhenUsed/>
    <w:rsid w:val="00785372"/>
    <w:rPr>
      <w:b/>
      <w:bCs/>
    </w:rPr>
  </w:style>
  <w:style w:type="character" w:customStyle="1" w:styleId="CommentSubjectChar">
    <w:name w:val="Comment Subject Char"/>
    <w:basedOn w:val="CommentTextChar"/>
    <w:link w:val="CommentSubject"/>
    <w:uiPriority w:val="99"/>
    <w:semiHidden/>
    <w:rsid w:val="00785372"/>
    <w:rPr>
      <w:b/>
      <w:bCs/>
      <w:sz w:val="20"/>
      <w:szCs w:val="20"/>
    </w:rPr>
  </w:style>
  <w:style w:type="character" w:styleId="FollowedHyperlink">
    <w:name w:val="FollowedHyperlink"/>
    <w:basedOn w:val="DefaultParagraphFont"/>
    <w:uiPriority w:val="99"/>
    <w:semiHidden/>
    <w:unhideWhenUsed/>
    <w:rsid w:val="00743922"/>
    <w:rPr>
      <w:color w:val="954F72" w:themeColor="followedHyperlink"/>
      <w:u w:val="single"/>
    </w:rPr>
  </w:style>
  <w:style w:type="paragraph" w:styleId="TOCHeading">
    <w:name w:val="TOC Heading"/>
    <w:basedOn w:val="Heading1"/>
    <w:next w:val="Normal"/>
    <w:uiPriority w:val="39"/>
    <w:unhideWhenUsed/>
    <w:qFormat/>
    <w:rsid w:val="00247A11"/>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47A11"/>
    <w:pPr>
      <w:spacing w:after="100"/>
    </w:pPr>
  </w:style>
  <w:style w:type="paragraph" w:styleId="TOC2">
    <w:name w:val="toc 2"/>
    <w:basedOn w:val="Normal"/>
    <w:next w:val="Normal"/>
    <w:autoRedefine/>
    <w:uiPriority w:val="39"/>
    <w:unhideWhenUsed/>
    <w:rsid w:val="00247A11"/>
    <w:pPr>
      <w:spacing w:after="100"/>
      <w:ind w:left="240"/>
    </w:pPr>
  </w:style>
  <w:style w:type="paragraph" w:styleId="Header">
    <w:name w:val="header"/>
    <w:basedOn w:val="Normal"/>
    <w:link w:val="HeaderChar"/>
    <w:uiPriority w:val="99"/>
    <w:unhideWhenUsed/>
    <w:rsid w:val="00F95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A88"/>
    <w:rPr>
      <w:lang w:val="es-DO"/>
    </w:rPr>
  </w:style>
  <w:style w:type="paragraph" w:styleId="Footer">
    <w:name w:val="footer"/>
    <w:basedOn w:val="Normal"/>
    <w:link w:val="FooterChar"/>
    <w:uiPriority w:val="99"/>
    <w:unhideWhenUsed/>
    <w:rsid w:val="00F95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A88"/>
    <w:rPr>
      <w:lang w:val="es-DO"/>
    </w:rPr>
  </w:style>
  <w:style w:type="paragraph" w:styleId="NormalWeb">
    <w:name w:val="Normal (Web)"/>
    <w:basedOn w:val="Normal"/>
    <w:uiPriority w:val="99"/>
    <w:semiHidden/>
    <w:unhideWhenUsed/>
    <w:rsid w:val="007B42D3"/>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3" Type="http://schemas.openxmlformats.org/officeDocument/2006/relationships/hyperlink" Target="https://www.congress.gov/crs-product/IF10385" TargetMode="External"/><Relationship Id="rId7" Type="http://schemas.openxmlformats.org/officeDocument/2006/relationships/hyperlink" Target="https://worldsteel.org/data/world-steel-in-figures/world-steel-in-figures-2025/" TargetMode="External"/><Relationship Id="rId2" Type="http://schemas.openxmlformats.org/officeDocument/2006/relationships/hyperlink" Target="https://www.wto.org/spanish/thewto_s/whatis_s/tif_s/agrm8_s.htm" TargetMode="External"/><Relationship Id="rId1" Type="http://schemas.openxmlformats.org/officeDocument/2006/relationships/hyperlink" Target="https://www.wto.org/spanish/docs_s/legal_s/19-adp.pdf" TargetMode="External"/><Relationship Id="rId6" Type="http://schemas.openxmlformats.org/officeDocument/2006/relationships/hyperlink" Target="https://www.grandviewresearch.com/horizon/outlook/steel-market/brazil" TargetMode="External"/><Relationship Id="rId5" Type="http://schemas.openxmlformats.org/officeDocument/2006/relationships/hyperlink" Target="https://blogs.worldbank.org/es/opendata/understanding-country-income--world-bank-group-income-classifica" TargetMode="External"/><Relationship Id="rId4" Type="http://schemas.openxmlformats.org/officeDocument/2006/relationships/hyperlink" Target="https://policy.trade.ec.europa.eu/news/commission-updates-report-state-induced-distortions-chinas-economy-2024-04-10_en?prefLang=es&amp;etrans=e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r>
              <a:rPr lang="en-US" b="1"/>
              <a:t>Capacidad Ociosa Estimada de China (mmt)</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Capacidad Ociosa Estimada</c:v>
                </c:pt>
              </c:strCache>
            </c:strRef>
          </c:tx>
          <c:spPr>
            <a:solidFill>
              <a:srgbClr val="134B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2023</c:v>
                </c:pt>
              </c:numCache>
            </c:numRef>
          </c:cat>
          <c:val>
            <c:numRef>
              <c:f>Sheet1!$B$2:$B$6</c:f>
              <c:numCache>
                <c:formatCode>General</c:formatCode>
                <c:ptCount val="5"/>
                <c:pt idx="0">
                  <c:v>83.1</c:v>
                </c:pt>
                <c:pt idx="1">
                  <c:v>111.3</c:v>
                </c:pt>
                <c:pt idx="2">
                  <c:v>131.9</c:v>
                </c:pt>
                <c:pt idx="3">
                  <c:v>119</c:v>
                </c:pt>
                <c:pt idx="4">
                  <c:v>136.4</c:v>
                </c:pt>
              </c:numCache>
            </c:numRef>
          </c:val>
          <c:extLst>
            <c:ext xmlns:c16="http://schemas.microsoft.com/office/drawing/2014/chart" uri="{C3380CC4-5D6E-409C-BE32-E72D297353CC}">
              <c16:uniqueId val="{00000000-EDDB-4A69-B709-419EE3A26E8A}"/>
            </c:ext>
          </c:extLst>
        </c:ser>
        <c:dLbls>
          <c:showLegendKey val="0"/>
          <c:showVal val="0"/>
          <c:showCatName val="0"/>
          <c:showSerName val="0"/>
          <c:showPercent val="0"/>
          <c:showBubbleSize val="0"/>
        </c:dLbls>
        <c:gapWidth val="219"/>
        <c:overlap val="-27"/>
        <c:axId val="1504878112"/>
        <c:axId val="1504882432"/>
      </c:barChart>
      <c:catAx>
        <c:axId val="150487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1504882432"/>
        <c:crosses val="autoZero"/>
        <c:auto val="1"/>
        <c:lblAlgn val="ctr"/>
        <c:lblOffset val="100"/>
        <c:noMultiLvlLbl val="0"/>
      </c:catAx>
      <c:valAx>
        <c:axId val="1504882432"/>
        <c:scaling>
          <c:orientation val="minMax"/>
        </c:scaling>
        <c:delete val="1"/>
        <c:axPos val="l"/>
        <c:numFmt formatCode="General" sourceLinked="1"/>
        <c:majorTickMark val="none"/>
        <c:minorTickMark val="none"/>
        <c:tickLblPos val="nextTo"/>
        <c:crossAx val="1504878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mj-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Ingreso Nacional Bruto</c:v>
                </c:pt>
              </c:strCache>
            </c:strRef>
          </c:tx>
          <c:spPr>
            <a:solidFill>
              <a:srgbClr val="ACD3C4"/>
            </a:solidFill>
            <a:ln>
              <a:noFill/>
            </a:ln>
            <a:effectLst/>
          </c:spPr>
          <c:invertIfNegative val="0"/>
          <c:dPt>
            <c:idx val="6"/>
            <c:invertIfNegative val="0"/>
            <c:bubble3D val="0"/>
            <c:spPr>
              <a:solidFill>
                <a:srgbClr val="134B53"/>
              </a:solidFill>
              <a:ln>
                <a:noFill/>
              </a:ln>
              <a:effectLst/>
            </c:spPr>
            <c:extLst>
              <c:ext xmlns:c16="http://schemas.microsoft.com/office/drawing/2014/chart" uri="{C3380CC4-5D6E-409C-BE32-E72D297353CC}">
                <c16:uniqueId val="{00000001-E620-4993-9643-75B4895510A1}"/>
              </c:ext>
            </c:extLst>
          </c:dPt>
          <c:dPt>
            <c:idx val="7"/>
            <c:invertIfNegative val="0"/>
            <c:bubble3D val="0"/>
            <c:spPr>
              <a:solidFill>
                <a:srgbClr val="134B53"/>
              </a:solidFill>
              <a:ln>
                <a:noFill/>
              </a:ln>
              <a:effectLst/>
            </c:spPr>
            <c:extLst>
              <c:ext xmlns:c16="http://schemas.microsoft.com/office/drawing/2014/chart" uri="{C3380CC4-5D6E-409C-BE32-E72D297353CC}">
                <c16:uniqueId val="{00000003-E620-4993-9643-75B4895510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EEUU</c:v>
                </c:pt>
                <c:pt idx="1">
                  <c:v>Alemania</c:v>
                </c:pt>
                <c:pt idx="2">
                  <c:v>Corea del Sur</c:v>
                </c:pt>
                <c:pt idx="3">
                  <c:v>Japan</c:v>
                </c:pt>
                <c:pt idx="4">
                  <c:v>Rusia</c:v>
                </c:pt>
                <c:pt idx="5">
                  <c:v>Turquia</c:v>
                </c:pt>
                <c:pt idx="6">
                  <c:v>China</c:v>
                </c:pt>
                <c:pt idx="7">
                  <c:v>Brazil</c:v>
                </c:pt>
                <c:pt idx="8">
                  <c:v>Iran</c:v>
                </c:pt>
                <c:pt idx="9">
                  <c:v>India</c:v>
                </c:pt>
              </c:strCache>
            </c:strRef>
          </c:cat>
          <c:val>
            <c:numRef>
              <c:f>Sheet1!$B$2:$B$11</c:f>
              <c:numCache>
                <c:formatCode>_(* #,##0_);_(* \(#,##0\);_(* "-"??_);_(@_)</c:formatCode>
                <c:ptCount val="10"/>
                <c:pt idx="0">
                  <c:v>85980</c:v>
                </c:pt>
                <c:pt idx="1">
                  <c:v>76180</c:v>
                </c:pt>
                <c:pt idx="2">
                  <c:v>61930</c:v>
                </c:pt>
                <c:pt idx="3">
                  <c:v>55490</c:v>
                </c:pt>
                <c:pt idx="4">
                  <c:v>46780</c:v>
                </c:pt>
                <c:pt idx="5">
                  <c:v>45110</c:v>
                </c:pt>
                <c:pt idx="6">
                  <c:v>26920</c:v>
                </c:pt>
                <c:pt idx="7">
                  <c:v>21590</c:v>
                </c:pt>
                <c:pt idx="8">
                  <c:v>19820</c:v>
                </c:pt>
                <c:pt idx="9">
                  <c:v>11000</c:v>
                </c:pt>
              </c:numCache>
            </c:numRef>
          </c:val>
          <c:extLst>
            <c:ext xmlns:c16="http://schemas.microsoft.com/office/drawing/2014/chart" uri="{C3380CC4-5D6E-409C-BE32-E72D297353CC}">
              <c16:uniqueId val="{00000004-E620-4993-9643-75B4895510A1}"/>
            </c:ext>
          </c:extLst>
        </c:ser>
        <c:dLbls>
          <c:showLegendKey val="0"/>
          <c:showVal val="0"/>
          <c:showCatName val="0"/>
          <c:showSerName val="0"/>
          <c:showPercent val="0"/>
          <c:showBubbleSize val="0"/>
        </c:dLbls>
        <c:gapWidth val="219"/>
        <c:axId val="1504796032"/>
        <c:axId val="1504797952"/>
      </c:barChart>
      <c:catAx>
        <c:axId val="1504796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1504797952"/>
        <c:crosses val="autoZero"/>
        <c:auto val="1"/>
        <c:lblAlgn val="ctr"/>
        <c:lblOffset val="100"/>
        <c:noMultiLvlLbl val="0"/>
      </c:catAx>
      <c:valAx>
        <c:axId val="1504797952"/>
        <c:scaling>
          <c:orientation val="minMax"/>
        </c:scaling>
        <c:delete val="1"/>
        <c:axPos val="b"/>
        <c:numFmt formatCode="_(* #,##0_);_(* \(#,##0\);_(* &quot;-&quot;??_);_(@_)" sourceLinked="1"/>
        <c:majorTickMark val="none"/>
        <c:minorTickMark val="none"/>
        <c:tickLblPos val="nextTo"/>
        <c:crossAx val="1504796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rgbClr val="3E7D7E"/>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Sheet1!$B$2:$B$8</c:f>
              <c:numCache>
                <c:formatCode>_(* #,##0_);_(* \(#,##0\);_(* "-"??_);_(@_)</c:formatCode>
                <c:ptCount val="7"/>
                <c:pt idx="0">
                  <c:v>246864</c:v>
                </c:pt>
                <c:pt idx="1">
                  <c:v>376731</c:v>
                </c:pt>
                <c:pt idx="2">
                  <c:v>352118</c:v>
                </c:pt>
                <c:pt idx="3">
                  <c:v>394747</c:v>
                </c:pt>
                <c:pt idx="4">
                  <c:v>632085</c:v>
                </c:pt>
                <c:pt idx="5">
                  <c:v>1618866</c:v>
                </c:pt>
                <c:pt idx="6">
                  <c:v>2557386</c:v>
                </c:pt>
              </c:numCache>
            </c:numRef>
          </c:val>
          <c:smooth val="0"/>
          <c:extLst>
            <c:ext xmlns:c16="http://schemas.microsoft.com/office/drawing/2014/chart" uri="{C3380CC4-5D6E-409C-BE32-E72D297353CC}">
              <c16:uniqueId val="{00000000-3DD9-4B2F-97BA-00536BA9FD1C}"/>
            </c:ext>
          </c:extLst>
        </c:ser>
        <c:dLbls>
          <c:showLegendKey val="0"/>
          <c:showVal val="0"/>
          <c:showCatName val="0"/>
          <c:showSerName val="0"/>
          <c:showPercent val="0"/>
          <c:showBubbleSize val="0"/>
        </c:dLbls>
        <c:smooth val="0"/>
        <c:axId val="853717360"/>
        <c:axId val="853717840"/>
      </c:lineChart>
      <c:catAx>
        <c:axId val="85371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53717840"/>
        <c:crosses val="autoZero"/>
        <c:auto val="1"/>
        <c:lblAlgn val="ctr"/>
        <c:lblOffset val="100"/>
        <c:noMultiLvlLbl val="0"/>
      </c:catAx>
      <c:valAx>
        <c:axId val="85371784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853717360"/>
        <c:crosses val="autoZero"/>
        <c:crossBetween val="between"/>
      </c:valAx>
      <c:spPr>
        <a:noFill/>
        <a:ln w="34925">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rgbClr val="3E7D7E"/>
              </a:solidFill>
              <a:round/>
            </a:ln>
            <a:effectLst/>
          </c:spPr>
          <c:marker>
            <c:symbol val="none"/>
          </c:marker>
          <c:cat>
            <c:numRef>
              <c:f>Sheet1!$A$2:$A$13</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Sheet1!$B$2:$B$13</c:f>
              <c:numCache>
                <c:formatCode>0.0%</c:formatCode>
                <c:ptCount val="12"/>
                <c:pt idx="0">
                  <c:v>1.3205929970477127E-2</c:v>
                </c:pt>
                <c:pt idx="1">
                  <c:v>2.0889212286022339E-2</c:v>
                </c:pt>
                <c:pt idx="2">
                  <c:v>1.8034304621975337E-2</c:v>
                </c:pt>
                <c:pt idx="3">
                  <c:v>1.6074283057680182E-2</c:v>
                </c:pt>
                <c:pt idx="4">
                  <c:v>2.3045077451552272E-2</c:v>
                </c:pt>
                <c:pt idx="5">
                  <c:v>2.1699833568248963E-2</c:v>
                </c:pt>
                <c:pt idx="6">
                  <c:v>1.1081512447531793E-2</c:v>
                </c:pt>
                <c:pt idx="7">
                  <c:v>1.3314857364337157E-2</c:v>
                </c:pt>
                <c:pt idx="8">
                  <c:v>3.0986338862652965E-2</c:v>
                </c:pt>
                <c:pt idx="9">
                  <c:v>4.4077768017859419E-2</c:v>
                </c:pt>
                <c:pt idx="10">
                  <c:v>6.4497107593456754E-2</c:v>
                </c:pt>
                <c:pt idx="11">
                  <c:v>7.0711130720369372E-2</c:v>
                </c:pt>
              </c:numCache>
            </c:numRef>
          </c:val>
          <c:smooth val="0"/>
          <c:extLst>
            <c:ext xmlns:c16="http://schemas.microsoft.com/office/drawing/2014/chart" uri="{C3380CC4-5D6E-409C-BE32-E72D297353CC}">
              <c16:uniqueId val="{00000000-ED4B-4D0C-8948-CFF5234D8394}"/>
            </c:ext>
          </c:extLst>
        </c:ser>
        <c:dLbls>
          <c:showLegendKey val="0"/>
          <c:showVal val="0"/>
          <c:showCatName val="0"/>
          <c:showSerName val="0"/>
          <c:showPercent val="0"/>
          <c:showBubbleSize val="0"/>
        </c:dLbls>
        <c:smooth val="0"/>
        <c:axId val="367860463"/>
        <c:axId val="367861423"/>
      </c:lineChart>
      <c:catAx>
        <c:axId val="367860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j-lt"/>
                <a:ea typeface="+mn-ea"/>
                <a:cs typeface="+mn-cs"/>
              </a:defRPr>
            </a:pPr>
            <a:endParaRPr lang="en-US"/>
          </a:p>
        </c:txPr>
        <c:crossAx val="367861423"/>
        <c:crosses val="autoZero"/>
        <c:auto val="1"/>
        <c:lblAlgn val="ctr"/>
        <c:lblOffset val="100"/>
        <c:noMultiLvlLbl val="0"/>
      </c:catAx>
      <c:valAx>
        <c:axId val="3678614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j-lt"/>
                <a:ea typeface="+mn-ea"/>
                <a:cs typeface="+mn-cs"/>
              </a:defRPr>
            </a:pPr>
            <a:endParaRPr lang="en-US"/>
          </a:p>
        </c:txPr>
        <c:crossAx val="3678604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lumMod val="95000"/>
              <a:lumOff val="5000"/>
            </a:schemeClr>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79D71-BAA7-40BE-BE5C-DF58F5A0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22</Pages>
  <Words>4851</Words>
  <Characters>27652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Roberto Despradel</cp:lastModifiedBy>
  <cp:revision>10</cp:revision>
  <cp:lastPrinted>2026-03-17T20:31:00Z</cp:lastPrinted>
  <dcterms:created xsi:type="dcterms:W3CDTF">2026-03-11T16:33:00Z</dcterms:created>
  <dcterms:modified xsi:type="dcterms:W3CDTF">2026-03-18T13:46:00Z</dcterms:modified>
</cp:coreProperties>
</file>