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Contenido</w:t>
      </w:r>
    </w:p>
    <w:sdt>
      <w:sdtPr>
        <w:id w:val="-292001793"/>
        <w:docPartObj>
          <w:docPartGallery w:val="Table of Contents"/>
          <w:docPartUnique w:val="1"/>
        </w:docPartObj>
      </w:sdtPr>
      <w:sdtContent>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mss8d6d9xqi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Contexto Internacional: El Rol de China en el Mercado Mundial del Acero y los Riesgos para Mercados Importadores</w:t>
              <w:tab/>
              <w:t xml:space="preserve">2</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d532g1ejsy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Situación actual del mercado global del acero</w:t>
              <w:tab/>
              <w:t xml:space="preserve">2</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81m91fwa54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Transformación estructural del mercado mundial del acero</w:t>
              <w:tab/>
              <w:t xml:space="preserve">3</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gmhq97c3o6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Exceso de capacidad estructural y presión sobre los mercados internacionales</w:t>
              <w:tab/>
              <w:t xml:space="preserve">4</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lofb7ev4tv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Dinámica reciente de las exportaciones chinas de acero</w:t>
              <w:tab/>
              <w:t xml:space="preserve">5</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avcj8a9vl6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Subsidios y distorsiones en la competencia internacional</w:t>
              <w:tab/>
              <w:t xml:space="preserve">6</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52gx1srj0k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Expansión internacional de la capacidad siderúrgica china</w:t>
              <w:tab/>
              <w:t xml:space="preserve">7</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72qxv9wjfq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Reacción internacional: aumento de medidas antidumping</w:t>
              <w:tab/>
              <w:t xml:space="preserve">8</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d5yyjz2mag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Implicaciones para mercados importadores</w:t>
              <w:tab/>
              <w:t xml:space="preserve">12</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cnjai3upff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Justificación Economía de No Mercado y Alternativa de Valor Normal</w:t>
              <w:tab/>
              <w:t xml:space="preserve">13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gtxvnkmcus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Probabilidad de Recurrencia de Dumping</w:t>
              <w:tab/>
              <w:t xml:space="preserve">17</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f6114mnvao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Metodología para la estimación del margen de dumping</w:t>
              <w:tab/>
              <w:t xml:space="preserve">18</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m9b0qxo4ff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Evolución reciente de los precios y márgenes de dumping</w:t>
              <w:tab/>
              <w:t xml:space="preserve">19</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dmnon8a9vv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Evolución reciente de las exportaciones chinas de varillas de acero</w:t>
              <w:tab/>
              <w:t xml:space="preserve">20</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rFonts w:ascii="Calibri" w:cs="Calibri" w:eastAsia="Calibri" w:hAnsi="Calibri"/>
        </w:rPr>
      </w:pPr>
      <w:bookmarkStart w:colFirst="0" w:colLast="0" w:name="_heading=h.mss8d6d9xqio" w:id="0"/>
      <w:bookmarkEnd w:id="0"/>
      <w:r w:rsidDel="00000000" w:rsidR="00000000" w:rsidRPr="00000000">
        <w:br w:type="page"/>
      </w:r>
      <w:r w:rsidDel="00000000" w:rsidR="00000000" w:rsidRPr="00000000">
        <w:rPr>
          <w:rFonts w:ascii="Calibri" w:cs="Calibri" w:eastAsia="Calibri" w:hAnsi="Calibri"/>
          <w:rtl w:val="0"/>
        </w:rPr>
        <w:t xml:space="preserve">Contexto Internacional: El Rol de China en el Mercado Mundial del Acero y los Riesgos para Mercados Importadores</w:t>
      </w:r>
    </w:p>
    <w:p w:rsidR="00000000" w:rsidDel="00000000" w:rsidP="00000000" w:rsidRDefault="00000000" w:rsidRPr="00000000" w14:paraId="00000013">
      <w:pPr>
        <w:pStyle w:val="Heading2"/>
        <w:rPr>
          <w:rFonts w:ascii="Calibri" w:cs="Calibri" w:eastAsia="Calibri" w:hAnsi="Calibri"/>
        </w:rPr>
      </w:pPr>
      <w:bookmarkStart w:colFirst="0" w:colLast="0" w:name="_heading=h.id532g1ejsy8" w:id="1"/>
      <w:bookmarkEnd w:id="1"/>
      <w:r w:rsidDel="00000000" w:rsidR="00000000" w:rsidRPr="00000000">
        <w:rPr>
          <w:rFonts w:ascii="Calibri" w:cs="Calibri" w:eastAsia="Calibri" w:hAnsi="Calibri"/>
          <w:rtl w:val="0"/>
        </w:rPr>
        <w:t xml:space="preserve">Situación actual del mercado global del acero</w:t>
      </w:r>
    </w:p>
    <w:p w:rsidR="00000000" w:rsidDel="00000000" w:rsidP="00000000" w:rsidRDefault="00000000" w:rsidRPr="00000000" w14:paraId="00000014">
      <w:pPr>
        <w:rPr/>
      </w:pPr>
      <w:r w:rsidDel="00000000" w:rsidR="00000000" w:rsidRPr="00000000">
        <w:rPr>
          <w:rtl w:val="0"/>
        </w:rPr>
        <w:t xml:space="preserve">El mercado mundial del acero atraviesa una fase de crecimiento estructuralmente limitado acompañado de un exceso significativo de capacidad productiva. De acuerdo con el informe </w:t>
      </w:r>
      <w:r w:rsidDel="00000000" w:rsidR="00000000" w:rsidRPr="00000000">
        <w:rPr>
          <w:i w:val="1"/>
          <w:iCs w:val="1"/>
          <w:rtl w:val="0"/>
        </w:rPr>
        <w:t xml:space="preserve">Perspectivas del Acero 2025</w:t>
      </w:r>
      <w:r w:rsidDel="00000000" w:rsidR="00000000" w:rsidRPr="00000000">
        <w:rPr>
          <w:rtl w:val="0"/>
        </w:rPr>
        <w:t xml:space="preserve">, se espera que la demanda global de acero crezca a un ritmo inferior al 1 % anual hacia 2030, reflejando la desaceleración de sectores intensivos en acero como la construcción y ciertos segmentos de la manufactura.</w:t>
      </w:r>
    </w:p>
    <w:p w:rsidR="00000000" w:rsidDel="00000000" w:rsidP="00000000" w:rsidRDefault="00000000" w:rsidRPr="00000000" w14:paraId="00000015">
      <w:pPr>
        <w:rPr/>
      </w:pPr>
      <w:r w:rsidDel="00000000" w:rsidR="00000000" w:rsidRPr="00000000">
        <w:rPr>
          <w:rtl w:val="0"/>
        </w:rPr>
        <w:t xml:space="preserve">A pesar de este crecimiento moderado de la demanda, la capacidad global de producción continúa expandiéndose, con un aumento proyectado de aproximadamente 165 millones de toneladas entre 2025 y 2027. Esta dinámica ha contribuido a mantener una brecha estructural entre oferta y demanda.</w:t>
      </w:r>
    </w:p>
    <w:p w:rsidR="00000000" w:rsidDel="00000000" w:rsidP="00000000" w:rsidRDefault="00000000" w:rsidRPr="00000000" w14:paraId="00000016">
      <w:pPr>
        <w:rPr/>
      </w:pPr>
      <w:r w:rsidDel="00000000" w:rsidR="00000000" w:rsidRPr="00000000">
        <w:rPr>
          <w:rtl w:val="0"/>
        </w:rPr>
        <w:t xml:space="preserve">Como resultado, el mercado mundial enfrenta un exceso significativo de capacidad productiva, que según estimaciones de la OCDE podría alcanzar 721 millones de toneladas para 2027. Este volumen supera ampliamente la producción total de acero de todos los países de la OCDE, lo que evidencia la magnitud del desequilibrio estructural existente en el sector.</w:t>
      </w:r>
    </w:p>
    <w:p w:rsidR="00000000" w:rsidDel="00000000" w:rsidP="00000000" w:rsidRDefault="00000000" w:rsidRPr="00000000" w14:paraId="00000017">
      <w:pPr>
        <w:rPr/>
      </w:pPr>
      <w:r w:rsidDel="00000000" w:rsidR="00000000" w:rsidRPr="00000000">
        <w:rPr>
          <w:rtl w:val="0"/>
        </w:rPr>
        <w:t xml:space="preserve">El exceso de capacidad tiene efectos directos sobre el funcionamiento del mercado internacional, incluyendo:</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presión sostenida a la baja sobre los precios internacionales del acero,</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reducción de los márgenes de rentabilidad de los productores, y</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aumento de las tensiones comerciales entre países importadores y exportadores.</w:t>
      </w:r>
    </w:p>
    <w:p w:rsidR="00000000" w:rsidDel="00000000" w:rsidP="00000000" w:rsidRDefault="00000000" w:rsidRPr="00000000" w14:paraId="0000001B">
      <w:pPr>
        <w:rPr/>
      </w:pPr>
      <w:r w:rsidDel="00000000" w:rsidR="00000000" w:rsidRPr="00000000">
        <w:rPr>
          <w:rtl w:val="0"/>
        </w:rPr>
        <w:t xml:space="preserve">En este contexto, diversos gobiernos han recurrido con mayor frecuencia a instrumentos de defensa comercial, como medidas antidumping, compensatorias y salvaguardias, con el objetivo de proteger a sus industrias frente a incrementos súbitos de importaciones provenientes de mercados con exceso de producción.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rFonts w:ascii="Calibri" w:cs="Calibri" w:eastAsia="Calibri" w:hAnsi="Calibri"/>
        </w:rPr>
      </w:pPr>
      <w:bookmarkStart w:colFirst="0" w:colLast="0" w:name="_heading=h.v81m91fwa54h" w:id="2"/>
      <w:bookmarkEnd w:id="2"/>
      <w:r w:rsidDel="00000000" w:rsidR="00000000" w:rsidRPr="00000000">
        <w:rPr>
          <w:rFonts w:ascii="Calibri" w:cs="Calibri" w:eastAsia="Calibri" w:hAnsi="Calibri"/>
          <w:rtl w:val="0"/>
        </w:rPr>
        <w:t xml:space="preserve">Transformación estructural del mercado mundial del acero</w:t>
      </w:r>
    </w:p>
    <w:p w:rsidR="00000000" w:rsidDel="00000000" w:rsidP="00000000" w:rsidRDefault="00000000" w:rsidRPr="00000000" w14:paraId="0000001E">
      <w:pPr>
        <w:rPr/>
      </w:pPr>
      <w:r w:rsidDel="00000000" w:rsidR="00000000" w:rsidRPr="00000000">
        <w:rPr>
          <w:rtl w:val="0"/>
        </w:rPr>
        <w:t xml:space="preserve">Durante las últimas décadas, la estructura del mercado mundial del acero ha experimentado una transformación profunda caracterizada por una creciente concentración de capacidad productiva en Asia, particularmente en la República Popular China. Este cambio ha alterado de forma significativa las dinámicas tradicionales de oferta, comercio internacional y formación de precios en el sector siderúrgico.</w:t>
      </w:r>
    </w:p>
    <w:p w:rsidR="00000000" w:rsidDel="00000000" w:rsidP="00000000" w:rsidRDefault="00000000" w:rsidRPr="00000000" w14:paraId="0000001F">
      <w:pPr>
        <w:rPr/>
      </w:pPr>
      <w:r w:rsidDel="00000000" w:rsidR="00000000" w:rsidRPr="00000000">
        <w:rPr>
          <w:rtl w:val="0"/>
        </w:rPr>
        <w:t xml:space="preserve">China constituye actualmente el actor dominante en la industria global del acero. De acuerdo con el OECD Steel Outlook 2025, la capacidad instalada de producción de acero de China asciende a aproximadamente 1,141.5 millones de toneladas métricas (mmt), lo que representa cerca del 46.2% de la capacidad mundial total.</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3120"/>
        <w:gridCol w:w="3120"/>
        <w:tblGridChange w:id="0">
          <w:tblGrid>
            <w:gridCol w:w="3120"/>
            <w:gridCol w:w="3120"/>
            <w:gridCol w:w="312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20">
            <w:pPr>
              <w:jc w:val="center"/>
              <w:rPr/>
            </w:pPr>
            <w:r w:rsidDel="00000000" w:rsidR="00000000" w:rsidRPr="00000000">
              <w:rPr>
                <w:b w:val="1"/>
                <w:bCs w:val="1"/>
                <w:color w:val="ffffff"/>
                <w:sz w:val="18"/>
                <w:szCs w:val="18"/>
                <w:rtl w:val="0"/>
              </w:rPr>
              <w:t xml:space="preserve">Economía</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21">
            <w:pPr>
              <w:jc w:val="center"/>
              <w:rPr/>
            </w:pPr>
            <w:r w:rsidDel="00000000" w:rsidR="00000000" w:rsidRPr="00000000">
              <w:rPr>
                <w:b w:val="1"/>
                <w:bCs w:val="1"/>
                <w:color w:val="ffffff"/>
                <w:sz w:val="18"/>
                <w:szCs w:val="18"/>
                <w:rtl w:val="0"/>
              </w:rPr>
              <w:t xml:space="preserve">Capacidad 2024 (mmt)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22">
            <w:pPr>
              <w:jc w:val="center"/>
              <w:rPr/>
            </w:pPr>
            <w:r w:rsidDel="00000000" w:rsidR="00000000" w:rsidRPr="00000000">
              <w:rPr>
                <w:b w:val="1"/>
                <w:bCs w:val="1"/>
                <w:color w:val="ffffff"/>
                <w:sz w:val="18"/>
                <w:szCs w:val="18"/>
                <w:rtl w:val="0"/>
              </w:rPr>
              <w:t xml:space="preserve">Participación Mundial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b w:val="1"/>
                <w:bCs w:val="1"/>
                <w:sz w:val="18"/>
                <w:szCs w:val="18"/>
                <w:rtl w:val="0"/>
              </w:rPr>
              <w:t xml:space="preserve">China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24">
            <w:pPr>
              <w:jc w:val="center"/>
              <w:rPr/>
            </w:pPr>
            <w:r w:rsidDel="00000000" w:rsidR="00000000" w:rsidRPr="00000000">
              <w:rPr>
                <w:sz w:val="18"/>
                <w:szCs w:val="18"/>
                <w:rtl w:val="0"/>
              </w:rPr>
              <w:t xml:space="preserve">1,141.5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25">
            <w:pPr>
              <w:jc w:val="center"/>
              <w:rPr/>
            </w:pPr>
            <w:r w:rsidDel="00000000" w:rsidR="00000000" w:rsidRPr="00000000">
              <w:rPr>
                <w:sz w:val="18"/>
                <w:szCs w:val="18"/>
                <w:rtl w:val="0"/>
              </w:rPr>
              <w:t xml:space="preserve">46.2%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b w:val="1"/>
                <w:bCs w:val="1"/>
                <w:sz w:val="18"/>
                <w:szCs w:val="18"/>
                <w:rtl w:val="0"/>
              </w:rPr>
              <w:t xml:space="preserve">Unión Europea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7">
            <w:pPr>
              <w:jc w:val="center"/>
              <w:rPr/>
            </w:pPr>
            <w:r w:rsidDel="00000000" w:rsidR="00000000" w:rsidRPr="00000000">
              <w:rPr>
                <w:sz w:val="18"/>
                <w:szCs w:val="18"/>
                <w:rtl w:val="0"/>
              </w:rPr>
              <w:t xml:space="preserve">205.7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8">
            <w:pPr>
              <w:jc w:val="center"/>
              <w:rPr/>
            </w:pPr>
            <w:r w:rsidDel="00000000" w:rsidR="00000000" w:rsidRPr="00000000">
              <w:rPr>
                <w:sz w:val="18"/>
                <w:szCs w:val="18"/>
                <w:rtl w:val="0"/>
              </w:rPr>
              <w:t xml:space="preserve">8.3%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b w:val="1"/>
                <w:bCs w:val="1"/>
                <w:sz w:val="18"/>
                <w:szCs w:val="18"/>
                <w:rtl w:val="0"/>
              </w:rPr>
              <w:t xml:space="preserve">India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2A">
            <w:pPr>
              <w:jc w:val="center"/>
              <w:rPr/>
            </w:pPr>
            <w:r w:rsidDel="00000000" w:rsidR="00000000" w:rsidRPr="00000000">
              <w:rPr>
                <w:sz w:val="18"/>
                <w:szCs w:val="18"/>
                <w:rtl w:val="0"/>
              </w:rPr>
              <w:t xml:space="preserve">179.5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2B">
            <w:pPr>
              <w:jc w:val="center"/>
              <w:rPr/>
            </w:pPr>
            <w:r w:rsidDel="00000000" w:rsidR="00000000" w:rsidRPr="00000000">
              <w:rPr>
                <w:sz w:val="18"/>
                <w:szCs w:val="18"/>
                <w:rtl w:val="0"/>
              </w:rPr>
              <w:t xml:space="preserve">7.3%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b w:val="1"/>
                <w:bCs w:val="1"/>
                <w:sz w:val="18"/>
                <w:szCs w:val="18"/>
                <w:rtl w:val="0"/>
              </w:rPr>
              <w:t xml:space="preserve">Estados Unidos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jc w:val="center"/>
              <w:rPr/>
            </w:pPr>
            <w:r w:rsidDel="00000000" w:rsidR="00000000" w:rsidRPr="00000000">
              <w:rPr>
                <w:sz w:val="18"/>
                <w:szCs w:val="18"/>
                <w:rtl w:val="0"/>
              </w:rPr>
              <w:t xml:space="preserve">119.3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jc w:val="center"/>
              <w:rPr/>
            </w:pPr>
            <w:r w:rsidDel="00000000" w:rsidR="00000000" w:rsidRPr="00000000">
              <w:rPr>
                <w:sz w:val="18"/>
                <w:szCs w:val="18"/>
                <w:rtl w:val="0"/>
              </w:rPr>
              <w:t xml:space="preserve">4.8%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b w:val="1"/>
                <w:bCs w:val="1"/>
                <w:sz w:val="18"/>
                <w:szCs w:val="18"/>
                <w:rtl w:val="0"/>
              </w:rPr>
              <w:t xml:space="preserve">Japón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30">
            <w:pPr>
              <w:jc w:val="center"/>
              <w:rPr/>
            </w:pPr>
            <w:r w:rsidDel="00000000" w:rsidR="00000000" w:rsidRPr="00000000">
              <w:rPr>
                <w:sz w:val="18"/>
                <w:szCs w:val="18"/>
                <w:rtl w:val="0"/>
              </w:rPr>
              <w:t xml:space="preserve">117.0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31">
            <w:pPr>
              <w:jc w:val="center"/>
              <w:rPr/>
            </w:pPr>
            <w:r w:rsidDel="00000000" w:rsidR="00000000" w:rsidRPr="00000000">
              <w:rPr>
                <w:sz w:val="18"/>
                <w:szCs w:val="18"/>
                <w:rtl w:val="0"/>
              </w:rPr>
              <w:t xml:space="preserve">4.7%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b w:val="1"/>
                <w:bCs w:val="1"/>
                <w:sz w:val="18"/>
                <w:szCs w:val="18"/>
                <w:rtl w:val="0"/>
              </w:rPr>
              <w:t xml:space="preserve">Rusia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3">
            <w:pPr>
              <w:jc w:val="center"/>
              <w:rPr/>
            </w:pPr>
            <w:r w:rsidDel="00000000" w:rsidR="00000000" w:rsidRPr="00000000">
              <w:rPr>
                <w:sz w:val="18"/>
                <w:szCs w:val="18"/>
                <w:rtl w:val="0"/>
              </w:rPr>
              <w:t xml:space="preserve">90.8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4">
            <w:pPr>
              <w:jc w:val="center"/>
              <w:rPr/>
            </w:pPr>
            <w:r w:rsidDel="00000000" w:rsidR="00000000" w:rsidRPr="00000000">
              <w:rPr>
                <w:sz w:val="18"/>
                <w:szCs w:val="18"/>
                <w:rtl w:val="0"/>
              </w:rPr>
              <w:t xml:space="preserve">3.7%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b w:val="1"/>
                <w:bCs w:val="1"/>
                <w:sz w:val="18"/>
                <w:szCs w:val="18"/>
                <w:rtl w:val="0"/>
              </w:rPr>
              <w:t xml:space="preserve">Corea del Sur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36">
            <w:pPr>
              <w:jc w:val="center"/>
              <w:rPr/>
            </w:pPr>
            <w:r w:rsidDel="00000000" w:rsidR="00000000" w:rsidRPr="00000000">
              <w:rPr>
                <w:sz w:val="18"/>
                <w:szCs w:val="18"/>
                <w:rtl w:val="0"/>
              </w:rPr>
              <w:t xml:space="preserve">81.6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37">
            <w:pPr>
              <w:jc w:val="center"/>
              <w:rPr/>
            </w:pPr>
            <w:r w:rsidDel="00000000" w:rsidR="00000000" w:rsidRPr="00000000">
              <w:rPr>
                <w:sz w:val="18"/>
                <w:szCs w:val="18"/>
                <w:rtl w:val="0"/>
              </w:rPr>
              <w:t xml:space="preserve">3.3%</w:t>
            </w:r>
            <w:r w:rsidDel="00000000" w:rsidR="00000000" w:rsidRPr="00000000">
              <w:rPr>
                <w:rtl w:val="0"/>
              </w:rPr>
            </w:r>
          </w:p>
        </w:tc>
      </w:tr>
    </w:tbl>
    <w:p w:rsidR="00000000" w:rsidDel="00000000" w:rsidP="00000000" w:rsidRDefault="00000000" w:rsidRPr="00000000" w14:paraId="00000038">
      <w:pPr>
        <w:rPr/>
      </w:pPr>
      <w:r w:rsidDel="00000000" w:rsidR="00000000" w:rsidRPr="00000000">
        <w:rPr>
          <w:b w:val="1"/>
          <w:bCs w:val="1"/>
          <w:i w:val="1"/>
          <w:iCs w:val="1"/>
          <w:rtl w:val="0"/>
        </w:rPr>
        <w:t xml:space="preserve">Fuente: OECD Steel Outlook 2025 – Tabla 2.1</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Este nivel de concentración no tiene precedentes en la historia reciente de la industria siderúrgica. Para dimensionar esta magnitud, la capacidad productiva china supera ampliamente a la de cualquier otra economía individual y equivale aproximadamente a casi el doble de la capacidad combinada de Estados Unidos y la Unión Europea.</w:t>
      </w:r>
    </w:p>
    <w:p w:rsidR="00000000" w:rsidDel="00000000" w:rsidP="00000000" w:rsidRDefault="00000000" w:rsidRPr="00000000" w14:paraId="0000003A">
      <w:pPr>
        <w:rPr/>
      </w:pPr>
      <w:r w:rsidDel="00000000" w:rsidR="00000000" w:rsidRPr="00000000">
        <w:rPr>
          <w:rtl w:val="0"/>
        </w:rPr>
        <w:t xml:space="preserve">Esta estructura altamente concentrada implica que las decisiones de producción y exportación de China tienen un impacto directo sobre el equilibrio del mercado mundial. En particular, los cambios en la demanda doméstica china o en las políticas industriales del país pueden generar alteraciones significativas en los precios internacionales y en los flujos comerciales de acero.</w:t>
      </w:r>
    </w:p>
    <w:p w:rsidR="00000000" w:rsidDel="00000000" w:rsidP="00000000" w:rsidRDefault="00000000" w:rsidRPr="00000000" w14:paraId="0000003B">
      <w:pPr>
        <w:pStyle w:val="Heading2"/>
        <w:rPr>
          <w:rFonts w:ascii="Calibri" w:cs="Calibri" w:eastAsia="Calibri" w:hAnsi="Calibri"/>
        </w:rPr>
      </w:pPr>
      <w:bookmarkStart w:colFirst="0" w:colLast="0" w:name="_heading=h.hgmhq97c3o6j" w:id="3"/>
      <w:bookmarkEnd w:id="3"/>
      <w:r w:rsidDel="00000000" w:rsidR="00000000" w:rsidRPr="00000000">
        <w:rPr>
          <w:rFonts w:ascii="Calibri" w:cs="Calibri" w:eastAsia="Calibri" w:hAnsi="Calibri"/>
          <w:rtl w:val="0"/>
        </w:rPr>
        <w:t xml:space="preserve">Exceso de capacidad estructural y presión sobre los mercados internacionales</w:t>
      </w:r>
    </w:p>
    <w:p w:rsidR="00000000" w:rsidDel="00000000" w:rsidP="00000000" w:rsidRDefault="00000000" w:rsidRPr="00000000" w14:paraId="0000003C">
      <w:pPr>
        <w:rPr/>
      </w:pPr>
      <w:r w:rsidDel="00000000" w:rsidR="00000000" w:rsidRPr="00000000">
        <w:rPr>
          <w:rtl w:val="0"/>
        </w:rPr>
        <w:t xml:space="preserve">Uno de los principales desafíos estructurales del mercado mundial del acero es la persistencia de niveles elevados de exceso de capacidad, fenómeno que ha sido ampliamente documentado por organismos internacionales.</w:t>
      </w:r>
    </w:p>
    <w:p w:rsidR="00000000" w:rsidDel="00000000" w:rsidP="00000000" w:rsidRDefault="00000000" w:rsidRPr="00000000" w14:paraId="0000003D">
      <w:pPr>
        <w:rPr/>
      </w:pPr>
      <w:r w:rsidDel="00000000" w:rsidR="00000000" w:rsidRPr="00000000">
        <w:rPr>
          <w:rtl w:val="0"/>
        </w:rPr>
        <w:t xml:space="preserve">El crecimiento acelerado de la industria siderúrgica china durante las últimas dos décadas estuvo impulsado por un modelo de desarrollo económico basado en la inversión en infraestructura, construcción y manufactura pesada. Este modelo generó una expansión masiva de la capacidad productiva, que en muchos casos superó el crecimiento de la demanda doméstica.</w:t>
      </w:r>
    </w:p>
    <w:p w:rsidR="00000000" w:rsidDel="00000000" w:rsidP="00000000" w:rsidRDefault="00000000" w:rsidRPr="00000000" w14:paraId="0000003E">
      <w:pPr>
        <w:rPr/>
      </w:pPr>
      <w:r w:rsidDel="00000000" w:rsidR="00000000" w:rsidRPr="00000000">
        <w:rPr>
          <w:rtl w:val="0"/>
        </w:rPr>
        <w:t xml:space="preserve">A medida que la economía china ha transitado hacia un patrón de crecimiento menos intensivo en inversión, la demanda interna de acero ha comenzado a desacelerarse. Sin embargo, la capacidad productiva instalada no se ha ajustado en la misma magnitud.</w:t>
      </w:r>
    </w:p>
    <w:p w:rsidR="00000000" w:rsidDel="00000000" w:rsidP="00000000" w:rsidRDefault="00000000" w:rsidRPr="00000000" w14:paraId="0000003F">
      <w:pPr>
        <w:rPr/>
      </w:pPr>
      <w:r w:rsidDel="00000000" w:rsidR="00000000" w:rsidRPr="00000000">
        <w:rPr>
          <w:rtl w:val="0"/>
        </w:rPr>
        <w:t xml:space="preserve">Como resultado, el mercado internacional se ha convertido en el principal mecanismo de absorción del excedente productivo chino.</w:t>
      </w:r>
    </w:p>
    <w:p w:rsidR="00000000" w:rsidDel="00000000" w:rsidP="00000000" w:rsidRDefault="00000000" w:rsidRPr="00000000" w14:paraId="00000040">
      <w:pPr>
        <w:rPr>
          <w:b w:val="1"/>
          <w:bCs w:val="1"/>
          <w:i w:val="1"/>
          <w:iCs w:val="1"/>
        </w:rPr>
      </w:pPr>
      <w:r w:rsidDel="00000000" w:rsidR="00000000" w:rsidRPr="00000000">
        <w:rPr/>
        <w:drawing>
          <wp:inline distB="0" distT="0" distL="0" distR="0">
            <wp:extent cx="5486400" cy="3200400"/>
            <wp:docPr id="2047128226"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41">
      <w:pPr>
        <w:rPr>
          <w:i w:val="1"/>
          <w:iCs w:val="1"/>
          <w:sz w:val="20"/>
          <w:szCs w:val="20"/>
        </w:rPr>
      </w:pPr>
      <w:r w:rsidDel="00000000" w:rsidR="00000000" w:rsidRPr="00000000">
        <w:rPr>
          <w:i w:val="1"/>
          <w:iCs w:val="1"/>
          <w:sz w:val="20"/>
          <w:szCs w:val="20"/>
          <w:rtl w:val="0"/>
        </w:rPr>
        <w:t xml:space="preserve">Fuente: Estimado con datos de producción y capacidad de Perspectivas del Acero de la OECD 2025</w:t>
      </w:r>
    </w:p>
    <w:p w:rsidR="00000000" w:rsidDel="00000000" w:rsidP="00000000" w:rsidRDefault="00000000" w:rsidRPr="00000000" w14:paraId="00000042">
      <w:pPr>
        <w:rPr/>
      </w:pPr>
      <w:r w:rsidDel="00000000" w:rsidR="00000000" w:rsidRPr="00000000">
        <w:rPr>
          <w:rtl w:val="0"/>
        </w:rPr>
        <w:t xml:space="preserve">Esta situación genera un desequilibrio estructural en el mercado mundial, donde una parte significativa de la producción global depende de las exportaciones para mantener niveles de utilización de capacidad económicamente viables.</w:t>
      </w:r>
    </w:p>
    <w:p w:rsidR="00000000" w:rsidDel="00000000" w:rsidP="00000000" w:rsidRDefault="00000000" w:rsidRPr="00000000" w14:paraId="00000043">
      <w:pPr>
        <w:rPr/>
      </w:pPr>
      <w:r w:rsidDel="00000000" w:rsidR="00000000" w:rsidRPr="00000000">
        <w:rPr>
          <w:rtl w:val="0"/>
        </w:rPr>
        <w:t xml:space="preserve">Para los mercados importadores, este exceso de oferta se traduce en una presión sostenida a la baja sobre los precios internacionales, particularmente en segmentos de productos básicos como el acero largo utilizado en la construcción.</w:t>
      </w:r>
    </w:p>
    <w:p w:rsidR="00000000" w:rsidDel="00000000" w:rsidP="00000000" w:rsidRDefault="00000000" w:rsidRPr="00000000" w14:paraId="00000044">
      <w:pPr>
        <w:pStyle w:val="Heading2"/>
        <w:rPr>
          <w:rFonts w:ascii="Calibri" w:cs="Calibri" w:eastAsia="Calibri" w:hAnsi="Calibri"/>
        </w:rPr>
      </w:pPr>
      <w:bookmarkStart w:colFirst="0" w:colLast="0" w:name="_heading=h.xlofb7ev4tvz" w:id="4"/>
      <w:bookmarkEnd w:id="4"/>
      <w:r w:rsidDel="00000000" w:rsidR="00000000" w:rsidRPr="00000000">
        <w:rPr>
          <w:rFonts w:ascii="Calibri" w:cs="Calibri" w:eastAsia="Calibri" w:hAnsi="Calibri"/>
          <w:rtl w:val="0"/>
        </w:rPr>
        <w:t xml:space="preserve">Dinámica reciente de las exportaciones chinas de acero</w:t>
      </w:r>
    </w:p>
    <w:p w:rsidR="00000000" w:rsidDel="00000000" w:rsidP="00000000" w:rsidRDefault="00000000" w:rsidRPr="00000000" w14:paraId="00000045">
      <w:pPr>
        <w:rPr/>
      </w:pPr>
      <w:r w:rsidDel="00000000" w:rsidR="00000000" w:rsidRPr="00000000">
        <w:rPr>
          <w:rtl w:val="0"/>
        </w:rPr>
        <w:t xml:space="preserve">La evolución reciente del comercio internacional confirma la creciente dependencia de la industria siderúrgica china de los mercados externos.</w:t>
      </w:r>
    </w:p>
    <w:p w:rsidR="00000000" w:rsidDel="00000000" w:rsidP="00000000" w:rsidRDefault="00000000" w:rsidRPr="00000000" w14:paraId="00000046">
      <w:pPr>
        <w:rPr/>
      </w:pPr>
      <w:r w:rsidDel="00000000" w:rsidR="00000000" w:rsidRPr="00000000">
        <w:rPr>
          <w:rtl w:val="0"/>
        </w:rPr>
        <w:t xml:space="preserve">Las exportaciones chinas de acero han experimentado un crecimiento extraordinario en los últimos años. Entre 2020 y 2024, los envíos al exterior pasaron de 53.8 mmt a 118.2 mmt, lo que representa más del doble en apenas cuatro años.</w:t>
      </w:r>
    </w:p>
    <w:p w:rsidR="00000000" w:rsidDel="00000000" w:rsidP="00000000" w:rsidRDefault="00000000" w:rsidRPr="00000000" w14:paraId="00000047">
      <w:pPr>
        <w:rPr>
          <w:b w:val="1"/>
          <w:bCs w:val="1"/>
          <w:sz w:val="22"/>
          <w:szCs w:val="22"/>
        </w:rPr>
      </w:pPr>
      <w:r w:rsidDel="00000000" w:rsidR="00000000" w:rsidRPr="00000000">
        <w:rPr>
          <w:b w:val="1"/>
          <w:bCs w:val="1"/>
          <w:sz w:val="22"/>
          <w:szCs w:val="22"/>
          <w:rtl w:val="0"/>
        </w:rPr>
        <w:t xml:space="preserve">Panorama de exportaciones de Acero</w:t>
      </w:r>
    </w:p>
    <w:tbl>
      <w:tblPr>
        <w:tblStyle w:val="Table2"/>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2"/>
        <w:gridCol w:w="2052"/>
        <w:gridCol w:w="2052"/>
        <w:gridCol w:w="2052"/>
        <w:gridCol w:w="2052"/>
        <w:tblGridChange w:id="0">
          <w:tblGrid>
            <w:gridCol w:w="2052"/>
            <w:gridCol w:w="2052"/>
            <w:gridCol w:w="2052"/>
            <w:gridCol w:w="2052"/>
            <w:gridCol w:w="2052"/>
          </w:tblGrid>
        </w:tblGridChange>
      </w:tblGrid>
      <w:tr>
        <w:trPr>
          <w:cantSplit w:val="0"/>
          <w:trHeight w:val="756" w:hRule="atLeast"/>
          <w:tblHeader w:val="0"/>
        </w:trPr>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48">
            <w:pPr>
              <w:jc w:val="center"/>
              <w:rPr/>
            </w:pPr>
            <w:r w:rsidDel="00000000" w:rsidR="00000000" w:rsidRPr="00000000">
              <w:rPr>
                <w:b w:val="1"/>
                <w:bCs w:val="1"/>
                <w:color w:val="ffffff"/>
                <w:sz w:val="18"/>
                <w:szCs w:val="18"/>
                <w:rtl w:val="0"/>
              </w:rPr>
              <w:t xml:space="preserve">Año</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49">
            <w:pPr>
              <w:jc w:val="center"/>
              <w:rPr/>
            </w:pPr>
            <w:r w:rsidDel="00000000" w:rsidR="00000000" w:rsidRPr="00000000">
              <w:rPr>
                <w:b w:val="1"/>
                <w:bCs w:val="1"/>
                <w:color w:val="ffffff"/>
                <w:sz w:val="18"/>
                <w:szCs w:val="18"/>
                <w:rtl w:val="0"/>
              </w:rPr>
              <w:t xml:space="preserve">Exportaciones China (mmt)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4A">
            <w:pPr>
              <w:jc w:val="center"/>
              <w:rPr/>
            </w:pPr>
            <w:r w:rsidDel="00000000" w:rsidR="00000000" w:rsidRPr="00000000">
              <w:rPr>
                <w:b w:val="1"/>
                <w:bCs w:val="1"/>
                <w:color w:val="ffffff"/>
                <w:sz w:val="18"/>
                <w:szCs w:val="18"/>
                <w:rtl w:val="0"/>
              </w:rPr>
              <w:t xml:space="preserve">Var. anual</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4B">
            <w:pPr>
              <w:jc w:val="center"/>
              <w:rPr/>
            </w:pPr>
            <w:r w:rsidDel="00000000" w:rsidR="00000000" w:rsidRPr="00000000">
              <w:rPr>
                <w:b w:val="1"/>
                <w:bCs w:val="1"/>
                <w:color w:val="ffffff"/>
                <w:sz w:val="18"/>
                <w:szCs w:val="18"/>
                <w:rtl w:val="0"/>
              </w:rPr>
              <w:t xml:space="preserve">Exportaciones Mundiales (excl. intra-UE, mmt)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1f3864" w:val="clear"/>
          </w:tcPr>
          <w:p w:rsidR="00000000" w:rsidDel="00000000" w:rsidP="00000000" w:rsidRDefault="00000000" w:rsidRPr="00000000" w14:paraId="0000004C">
            <w:pPr>
              <w:jc w:val="center"/>
              <w:rPr>
                <w:b w:val="1"/>
                <w:bCs w:val="1"/>
                <w:color w:val="ffffff"/>
                <w:sz w:val="18"/>
                <w:szCs w:val="18"/>
              </w:rPr>
            </w:pPr>
            <w:r w:rsidDel="00000000" w:rsidR="00000000" w:rsidRPr="00000000">
              <w:rPr>
                <w:b w:val="1"/>
                <w:bCs w:val="1"/>
                <w:color w:val="ffffff"/>
                <w:sz w:val="18"/>
                <w:szCs w:val="18"/>
                <w:rtl w:val="0"/>
              </w:rPr>
              <w:t xml:space="preserve">MS% China</w:t>
            </w:r>
          </w:p>
        </w:tc>
      </w:tr>
      <w:tr>
        <w:trPr>
          <w:cantSplit w:val="0"/>
          <w:trHeight w:val="414" w:hRule="atLeast"/>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b w:val="1"/>
                <w:bCs w:val="1"/>
                <w:sz w:val="18"/>
                <w:szCs w:val="18"/>
                <w:rtl w:val="0"/>
              </w:rPr>
              <w:t xml:space="preserve">2020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4E">
            <w:pPr>
              <w:jc w:val="center"/>
              <w:rPr/>
            </w:pPr>
            <w:r w:rsidDel="00000000" w:rsidR="00000000" w:rsidRPr="00000000">
              <w:rPr>
                <w:sz w:val="18"/>
                <w:szCs w:val="18"/>
                <w:rtl w:val="0"/>
              </w:rPr>
              <w:t xml:space="preserve">53.8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4F">
            <w:pPr>
              <w:jc w:val="center"/>
              <w:rPr/>
            </w:pPr>
            <w:r w:rsidDel="00000000" w:rsidR="00000000" w:rsidRPr="00000000">
              <w:rPr>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50">
            <w:pPr>
              <w:jc w:val="center"/>
              <w:rPr/>
            </w:pPr>
            <w:r w:rsidDel="00000000" w:rsidR="00000000" w:rsidRPr="00000000">
              <w:rPr>
                <w:sz w:val="18"/>
                <w:szCs w:val="18"/>
                <w:rtl w:val="0"/>
              </w:rPr>
              <w:t xml:space="preserve">296.6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Pr>
          <w:p w:rsidR="00000000" w:rsidDel="00000000" w:rsidP="00000000" w:rsidRDefault="00000000" w:rsidRPr="00000000" w14:paraId="00000051">
            <w:pPr>
              <w:jc w:val="center"/>
              <w:rPr>
                <w:sz w:val="18"/>
                <w:szCs w:val="18"/>
              </w:rPr>
            </w:pPr>
            <w:r w:rsidDel="00000000" w:rsidR="00000000" w:rsidRPr="00000000">
              <w:rPr>
                <w:sz w:val="18"/>
                <w:szCs w:val="18"/>
                <w:rtl w:val="0"/>
              </w:rPr>
              <w:t xml:space="preserve">18%</w:t>
            </w:r>
          </w:p>
        </w:tc>
      </w:tr>
      <w:tr>
        <w:trPr>
          <w:cantSplit w:val="0"/>
          <w:trHeight w:val="427"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b w:val="1"/>
                <w:bCs w:val="1"/>
                <w:sz w:val="18"/>
                <w:szCs w:val="18"/>
                <w:rtl w:val="0"/>
              </w:rPr>
              <w:t xml:space="preserve">2021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jc w:val="center"/>
              <w:rPr/>
            </w:pPr>
            <w:r w:rsidDel="00000000" w:rsidR="00000000" w:rsidRPr="00000000">
              <w:rPr>
                <w:sz w:val="18"/>
                <w:szCs w:val="18"/>
                <w:rtl w:val="0"/>
              </w:rPr>
              <w:t xml:space="preserve">67.0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4">
            <w:pPr>
              <w:jc w:val="center"/>
              <w:rPr/>
            </w:pPr>
            <w:r w:rsidDel="00000000" w:rsidR="00000000" w:rsidRPr="00000000">
              <w:rPr>
                <w:sz w:val="18"/>
                <w:szCs w:val="18"/>
                <w:rtl w:val="0"/>
              </w:rPr>
              <w:t xml:space="preserve">+24.5%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5">
            <w:pPr>
              <w:jc w:val="center"/>
              <w:rPr/>
            </w:pPr>
            <w:r w:rsidDel="00000000" w:rsidR="00000000" w:rsidRPr="00000000">
              <w:rPr>
                <w:sz w:val="18"/>
                <w:szCs w:val="18"/>
                <w:rtl w:val="0"/>
              </w:rPr>
              <w:t xml:space="preserve">333.3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6">
            <w:pPr>
              <w:jc w:val="center"/>
              <w:rPr>
                <w:sz w:val="18"/>
                <w:szCs w:val="18"/>
              </w:rPr>
            </w:pPr>
            <w:r w:rsidDel="00000000" w:rsidR="00000000" w:rsidRPr="00000000">
              <w:rPr>
                <w:sz w:val="18"/>
                <w:szCs w:val="18"/>
                <w:rtl w:val="0"/>
              </w:rPr>
              <w:t xml:space="preserve">20%</w:t>
            </w:r>
          </w:p>
        </w:tc>
      </w:tr>
      <w:tr>
        <w:trPr>
          <w:cantSplit w:val="0"/>
          <w:trHeight w:val="414" w:hRule="atLeast"/>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b w:val="1"/>
                <w:bCs w:val="1"/>
                <w:sz w:val="18"/>
                <w:szCs w:val="18"/>
                <w:rtl w:val="0"/>
              </w:rPr>
              <w:t xml:space="preserve">2022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58">
            <w:pPr>
              <w:jc w:val="center"/>
              <w:rPr/>
            </w:pPr>
            <w:r w:rsidDel="00000000" w:rsidR="00000000" w:rsidRPr="00000000">
              <w:rPr>
                <w:sz w:val="18"/>
                <w:szCs w:val="18"/>
                <w:rtl w:val="0"/>
              </w:rPr>
              <w:t xml:space="preserve">69.0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59">
            <w:pPr>
              <w:jc w:val="center"/>
              <w:rPr/>
            </w:pPr>
            <w:r w:rsidDel="00000000" w:rsidR="00000000" w:rsidRPr="00000000">
              <w:rPr>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5A">
            <w:pPr>
              <w:jc w:val="center"/>
              <w:rPr/>
            </w:pPr>
            <w:r w:rsidDel="00000000" w:rsidR="00000000" w:rsidRPr="00000000">
              <w:rPr>
                <w:sz w:val="18"/>
                <w:szCs w:val="18"/>
                <w:rtl w:val="0"/>
              </w:rPr>
              <w:t xml:space="preserve">280.4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Pr>
          <w:p w:rsidR="00000000" w:rsidDel="00000000" w:rsidP="00000000" w:rsidRDefault="00000000" w:rsidRPr="00000000" w14:paraId="0000005B">
            <w:pPr>
              <w:jc w:val="center"/>
              <w:rPr>
                <w:sz w:val="18"/>
                <w:szCs w:val="18"/>
              </w:rPr>
            </w:pPr>
            <w:r w:rsidDel="00000000" w:rsidR="00000000" w:rsidRPr="00000000">
              <w:rPr>
                <w:sz w:val="18"/>
                <w:szCs w:val="18"/>
                <w:rtl w:val="0"/>
              </w:rPr>
              <w:t xml:space="preserve">25%</w:t>
            </w:r>
          </w:p>
        </w:tc>
      </w:tr>
      <w:tr>
        <w:trPr>
          <w:cantSplit w:val="0"/>
          <w:trHeight w:val="414"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b w:val="1"/>
                <w:bCs w:val="1"/>
                <w:sz w:val="18"/>
                <w:szCs w:val="18"/>
                <w:rtl w:val="0"/>
              </w:rPr>
              <w:t xml:space="preserve">2023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D">
            <w:pPr>
              <w:jc w:val="center"/>
              <w:rPr/>
            </w:pPr>
            <w:r w:rsidDel="00000000" w:rsidR="00000000" w:rsidRPr="00000000">
              <w:rPr>
                <w:sz w:val="18"/>
                <w:szCs w:val="18"/>
                <w:rtl w:val="0"/>
              </w:rPr>
              <w:t xml:space="preserve">95.2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E">
            <w:pPr>
              <w:jc w:val="center"/>
              <w:rPr/>
            </w:pPr>
            <w:r w:rsidDel="00000000" w:rsidR="00000000" w:rsidRPr="00000000">
              <w:rPr>
                <w:sz w:val="18"/>
                <w:szCs w:val="18"/>
                <w:rtl w:val="0"/>
              </w:rPr>
              <w:t xml:space="preserve">+37.9%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F">
            <w:pPr>
              <w:jc w:val="center"/>
              <w:rPr/>
            </w:pPr>
            <w:r w:rsidDel="00000000" w:rsidR="00000000" w:rsidRPr="00000000">
              <w:rPr>
                <w:sz w:val="18"/>
                <w:szCs w:val="18"/>
                <w:rtl w:val="0"/>
              </w:rPr>
              <w:t xml:space="preserve">294.1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0">
            <w:pPr>
              <w:jc w:val="center"/>
              <w:rPr>
                <w:sz w:val="18"/>
                <w:szCs w:val="18"/>
              </w:rPr>
            </w:pPr>
            <w:r w:rsidDel="00000000" w:rsidR="00000000" w:rsidRPr="00000000">
              <w:rPr>
                <w:sz w:val="18"/>
                <w:szCs w:val="18"/>
                <w:rtl w:val="0"/>
              </w:rPr>
              <w:t xml:space="preserve">32%</w:t>
            </w:r>
          </w:p>
        </w:tc>
      </w:tr>
      <w:tr>
        <w:trPr>
          <w:cantSplit w:val="0"/>
          <w:trHeight w:val="414" w:hRule="atLeast"/>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b w:val="1"/>
                <w:bCs w:val="1"/>
                <w:sz w:val="18"/>
                <w:szCs w:val="18"/>
                <w:rtl w:val="0"/>
              </w:rPr>
              <w:t xml:space="preserve">2024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62">
            <w:pPr>
              <w:jc w:val="center"/>
              <w:rPr/>
            </w:pPr>
            <w:r w:rsidDel="00000000" w:rsidR="00000000" w:rsidRPr="00000000">
              <w:rPr>
                <w:sz w:val="18"/>
                <w:szCs w:val="18"/>
                <w:rtl w:val="0"/>
              </w:rPr>
              <w:t xml:space="preserve">118.2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63">
            <w:pPr>
              <w:jc w:val="center"/>
              <w:rPr/>
            </w:pPr>
            <w:r w:rsidDel="00000000" w:rsidR="00000000" w:rsidRPr="00000000">
              <w:rPr>
                <w:sz w:val="18"/>
                <w:szCs w:val="18"/>
                <w:rtl w:val="0"/>
              </w:rPr>
              <w:t xml:space="preserve">+24.2%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64">
            <w:pPr>
              <w:jc w:val="center"/>
              <w:rPr/>
            </w:pPr>
            <w:r w:rsidDel="00000000" w:rsidR="00000000" w:rsidRPr="00000000">
              <w:rPr>
                <w:sz w:val="18"/>
                <w:szCs w:val="18"/>
                <w:rtl w:val="0"/>
              </w:rPr>
              <w:t xml:space="preserve">322.3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Pr>
          <w:p w:rsidR="00000000" w:rsidDel="00000000" w:rsidP="00000000" w:rsidRDefault="00000000" w:rsidRPr="00000000" w14:paraId="00000065">
            <w:pPr>
              <w:jc w:val="center"/>
              <w:rPr>
                <w:sz w:val="18"/>
                <w:szCs w:val="18"/>
              </w:rPr>
            </w:pPr>
            <w:r w:rsidDel="00000000" w:rsidR="00000000" w:rsidRPr="00000000">
              <w:rPr>
                <w:sz w:val="18"/>
                <w:szCs w:val="18"/>
                <w:rtl w:val="0"/>
              </w:rPr>
              <w:t xml:space="preserve">37%</w:t>
            </w:r>
          </w:p>
        </w:tc>
      </w:tr>
    </w:tbl>
    <w:p w:rsidR="00000000" w:rsidDel="00000000" w:rsidP="00000000" w:rsidRDefault="00000000" w:rsidRPr="00000000" w14:paraId="00000066">
      <w:pPr>
        <w:spacing w:after="60" w:before="40" w:lineRule="auto"/>
        <w:rPr/>
      </w:pPr>
      <w:r w:rsidDel="00000000" w:rsidR="00000000" w:rsidRPr="00000000">
        <w:rPr>
          <w:i w:val="1"/>
          <w:iCs w:val="1"/>
          <w:color w:val="595959"/>
          <w:sz w:val="16"/>
          <w:szCs w:val="16"/>
          <w:rtl w:val="0"/>
        </w:rPr>
        <w:t xml:space="preserve">Fuente: OECD Steel Outlook 2025, Tabla 5.1.</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Este volumen representa aproximadamente 36.7% de las exportaciones mundiales de acero, excluyendo el comercio intra-Unión Europea.</w:t>
      </w:r>
    </w:p>
    <w:p w:rsidR="00000000" w:rsidDel="00000000" w:rsidP="00000000" w:rsidRDefault="00000000" w:rsidRPr="00000000" w14:paraId="00000069">
      <w:pPr>
        <w:rPr/>
      </w:pPr>
      <w:r w:rsidDel="00000000" w:rsidR="00000000" w:rsidRPr="00000000">
        <w:rPr>
          <w:rtl w:val="0"/>
        </w:rPr>
        <w:t xml:space="preserve">Paralelamente, las importaciones chinas de acero han disminuido de forma significativa, reduciéndose 77.5% entre 2020 y 2024.</w:t>
      </w:r>
    </w:p>
    <w:p w:rsidR="00000000" w:rsidDel="00000000" w:rsidP="00000000" w:rsidRDefault="00000000" w:rsidRPr="00000000" w14:paraId="0000006A">
      <w:pPr>
        <w:rPr/>
      </w:pPr>
      <w:r w:rsidDel="00000000" w:rsidR="00000000" w:rsidRPr="00000000">
        <w:rPr>
          <w:rtl w:val="0"/>
        </w:rPr>
        <w:t xml:space="preserve">Esta combinación de exportaciones crecientes e importaciones decrecientes ha generado un superávit comercial siderúrgico superior a 109 mmt, consolidando el papel de China como el principal exportador neto de acero a nivel mundial.</w:t>
      </w:r>
    </w:p>
    <w:p w:rsidR="00000000" w:rsidDel="00000000" w:rsidP="00000000" w:rsidRDefault="00000000" w:rsidRPr="00000000" w14:paraId="0000006B">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2"/>
        <w:rPr>
          <w:rFonts w:ascii="Calibri" w:cs="Calibri" w:eastAsia="Calibri" w:hAnsi="Calibri"/>
        </w:rPr>
      </w:pPr>
      <w:bookmarkStart w:colFirst="0" w:colLast="0" w:name="_heading=h.mavcj8a9vl6a" w:id="5"/>
      <w:bookmarkEnd w:id="5"/>
      <w:r w:rsidDel="00000000" w:rsidR="00000000" w:rsidRPr="00000000">
        <w:rPr>
          <w:rFonts w:ascii="Calibri" w:cs="Calibri" w:eastAsia="Calibri" w:hAnsi="Calibri"/>
          <w:rtl w:val="0"/>
        </w:rPr>
        <w:t xml:space="preserve">Subsidios y distorsiones en la competencia internacional</w:t>
      </w:r>
    </w:p>
    <w:p w:rsidR="00000000" w:rsidDel="00000000" w:rsidP="00000000" w:rsidRDefault="00000000" w:rsidRPr="00000000" w14:paraId="0000006D">
      <w:pPr>
        <w:rPr/>
      </w:pPr>
      <w:r w:rsidDel="00000000" w:rsidR="00000000" w:rsidRPr="00000000">
        <w:rPr>
          <w:rtl w:val="0"/>
        </w:rPr>
        <w:t xml:space="preserve">El desempeño exportador de la industria siderúrgica china no puede entenderse sin considerar el papel de las políticas industriales y los mecanismos de apoyo estatal.</w:t>
      </w:r>
    </w:p>
    <w:p w:rsidR="00000000" w:rsidDel="00000000" w:rsidP="00000000" w:rsidRDefault="00000000" w:rsidRPr="00000000" w14:paraId="0000006E">
      <w:pPr>
        <w:rPr>
          <w:b w:val="1"/>
          <w:bCs w:val="1"/>
          <w:sz w:val="22"/>
          <w:szCs w:val="22"/>
        </w:rPr>
      </w:pPr>
      <w:r w:rsidDel="00000000" w:rsidR="00000000" w:rsidRPr="00000000">
        <w:rPr>
          <w:b w:val="1"/>
          <w:bCs w:val="1"/>
          <w:sz w:val="22"/>
          <w:szCs w:val="22"/>
          <w:rtl w:val="0"/>
        </w:rPr>
        <w:t xml:space="preserve">Subsidios en el sector de Acero como porcentaje de ingresos de empresas</w:t>
      </w:r>
    </w:p>
    <w:p w:rsidR="00000000" w:rsidDel="00000000" w:rsidP="00000000" w:rsidRDefault="00000000" w:rsidRPr="00000000" w14:paraId="0000006F">
      <w:pPr>
        <w:rPr>
          <w:b w:val="1"/>
          <w:bCs w:val="1"/>
          <w:i w:val="1"/>
          <w:iCs w:val="1"/>
        </w:rPr>
      </w:pPr>
      <w:r w:rsidDel="00000000" w:rsidR="00000000" w:rsidRPr="00000000">
        <w:rPr>
          <w:sz w:val="20"/>
          <w:szCs w:val="20"/>
        </w:rPr>
        <w:drawing>
          <wp:inline distB="0" distT="0" distL="0" distR="0">
            <wp:extent cx="5943600" cy="3918879"/>
            <wp:effectExtent b="0" l="0" r="0" t="0"/>
            <wp:docPr id="2047128230" name="image2.png"/>
            <a:graphic>
              <a:graphicData uri="http://schemas.openxmlformats.org/drawingml/2006/picture">
                <pic:pic>
                  <pic:nvPicPr>
                    <pic:cNvPr id="0" name="image2.png"/>
                    <pic:cNvPicPr preferRelativeResize="0"/>
                  </pic:nvPicPr>
                  <pic:blipFill>
                    <a:blip r:embed="rId9"/>
                    <a:srcRect b="9956" l="0" r="0" t="11226"/>
                    <a:stretch>
                      <a:fillRect/>
                    </a:stretch>
                  </pic:blipFill>
                  <pic:spPr>
                    <a:xfrm>
                      <a:off x="0" y="0"/>
                      <a:ext cx="5943600" cy="3918879"/>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60" w:before="40" w:lineRule="auto"/>
        <w:rPr/>
      </w:pPr>
      <w:r w:rsidDel="00000000" w:rsidR="00000000" w:rsidRPr="00000000">
        <w:rPr>
          <w:i w:val="1"/>
          <w:iCs w:val="1"/>
          <w:color w:val="595959"/>
          <w:sz w:val="16"/>
          <w:szCs w:val="16"/>
          <w:rtl w:val="0"/>
        </w:rPr>
        <w:t xml:space="preserve">Fuente: OECD Steel Outlook 2025</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De acuerdo con los datos de la base OECD MAGIC, las empresas manufactureras chinas presentan una tasa de subsidio cercana al 2% de sus ingresos, con episodios donde esta cifra ha alcanzado hasta 7%, mientras que en los países de la OCDE las tasas se sitúan entre 0.2% y 0.3%.</w:t>
      </w:r>
    </w:p>
    <w:p w:rsidR="00000000" w:rsidDel="00000000" w:rsidP="00000000" w:rsidRDefault="00000000" w:rsidRPr="00000000" w14:paraId="00000073">
      <w:pPr>
        <w:rPr/>
      </w:pPr>
      <w:r w:rsidDel="00000000" w:rsidR="00000000" w:rsidRPr="00000000">
        <w:rPr>
          <w:rtl w:val="0"/>
        </w:rPr>
        <w:t xml:space="preserve">Esto implica que el nivel de apoyo estatal a la industria en China es aproximadamente diez veces superior al observado en las economías de mercado avanzadas.</w:t>
      </w:r>
    </w:p>
    <w:p w:rsidR="00000000" w:rsidDel="00000000" w:rsidP="00000000" w:rsidRDefault="00000000" w:rsidRPr="00000000" w14:paraId="00000074">
      <w:pPr>
        <w:rPr/>
      </w:pPr>
      <w:r w:rsidDel="00000000" w:rsidR="00000000" w:rsidRPr="00000000">
        <w:rPr>
          <w:rtl w:val="0"/>
        </w:rPr>
        <w:t xml:space="preserve">Los instrumentos de apoyo incluyen, entre otros, financiamiento a tasas por debajo del mercado, reestructuración de deuda de empresas estatales, subsidios fiscales y energéticos, y acceso preferencial a crédito de bancos estatales.</w:t>
      </w:r>
    </w:p>
    <w:p w:rsidR="00000000" w:rsidDel="00000000" w:rsidP="00000000" w:rsidRDefault="00000000" w:rsidRPr="00000000" w14:paraId="00000075">
      <w:pPr>
        <w:rPr/>
      </w:pPr>
      <w:r w:rsidDel="00000000" w:rsidR="00000000" w:rsidRPr="00000000">
        <w:rPr>
          <w:rtl w:val="0"/>
        </w:rPr>
        <w:t xml:space="preserve">Estos mecanismos permiten que empresas con baja rentabilidad o pérdidas operativas continúen produciendo y exportando acero incluso en contextos donde los precios internacionales no cubren los costos económicos reales de producción.</w:t>
      </w:r>
    </w:p>
    <w:p w:rsidR="00000000" w:rsidDel="00000000" w:rsidP="00000000" w:rsidRDefault="00000000" w:rsidRPr="00000000" w14:paraId="00000076">
      <w:pPr>
        <w:pStyle w:val="Heading2"/>
        <w:rPr>
          <w:rFonts w:ascii="Calibri" w:cs="Calibri" w:eastAsia="Calibri" w:hAnsi="Calibri"/>
        </w:rPr>
      </w:pPr>
      <w:bookmarkStart w:colFirst="0" w:colLast="0" w:name="_heading=h.m52gx1srj0ka" w:id="6"/>
      <w:bookmarkEnd w:id="6"/>
      <w:r w:rsidDel="00000000" w:rsidR="00000000" w:rsidRPr="00000000">
        <w:rPr>
          <w:rFonts w:ascii="Calibri" w:cs="Calibri" w:eastAsia="Calibri" w:hAnsi="Calibri"/>
          <w:rtl w:val="0"/>
        </w:rPr>
        <w:t xml:space="preserve">Expansión internacional de la capacidad siderúrgica china</w:t>
      </w:r>
    </w:p>
    <w:p w:rsidR="00000000" w:rsidDel="00000000" w:rsidP="00000000" w:rsidRDefault="00000000" w:rsidRPr="00000000" w14:paraId="00000077">
      <w:pPr>
        <w:rPr/>
      </w:pPr>
      <w:r w:rsidDel="00000000" w:rsidR="00000000" w:rsidRPr="00000000">
        <w:rPr>
          <w:rtl w:val="0"/>
        </w:rPr>
        <w:t xml:space="preserve">Además de su capacidad doméstica, China ha impulsado una estrategia activa de internacionalización de su industria siderúrgica.</w:t>
      </w:r>
    </w:p>
    <w:p w:rsidR="00000000" w:rsidDel="00000000" w:rsidP="00000000" w:rsidRDefault="00000000" w:rsidRPr="00000000" w14:paraId="00000078">
      <w:pPr>
        <w:rPr/>
      </w:pPr>
      <w:r w:rsidDel="00000000" w:rsidR="00000000" w:rsidRPr="00000000">
        <w:rPr>
          <w:rtl w:val="0"/>
        </w:rPr>
        <w:t xml:space="preserve">Según el OECD Steel Outlook 2025, China representa aproximadamente 50% de la inversión transfronteriza global en capacidad siderúrgica, y alrededor del 65% de estas inversiones involucran empresas estatales chinas. Estas inversiones están frecuentemente vinculadas a proyectos de infraestructura asociados con la Iniciativa de la Franja y la Ruta (Belt and Road Initiative).</w:t>
      </w:r>
    </w:p>
    <w:p w:rsidR="00000000" w:rsidDel="00000000" w:rsidP="00000000" w:rsidRDefault="00000000" w:rsidRPr="00000000" w14:paraId="00000079">
      <w:pPr>
        <w:rPr/>
      </w:pPr>
      <w:r w:rsidDel="00000000" w:rsidR="00000000" w:rsidRPr="00000000">
        <w:rPr>
          <w:rtl w:val="0"/>
        </w:rPr>
        <w:t xml:space="preserve">La expansión de capacidad en terceros países tiene implicaciones importantes para el comercio internacional, ya que puede facilitar la triangulación de exportaciones o el desvío de comercio, permitiendo que productos siderúrgicos vinculados a empresas chinas ingresen a mercados internacionales desde jurisdicciones distintas.</w:t>
      </w:r>
    </w:p>
    <w:p w:rsidR="00000000" w:rsidDel="00000000" w:rsidP="00000000" w:rsidRDefault="00000000" w:rsidRPr="00000000" w14:paraId="0000007A">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rPr/>
      </w:pPr>
      <w:bookmarkStart w:colFirst="0" w:colLast="0" w:name="_heading=h.j72qxv9wjfqs" w:id="7"/>
      <w:bookmarkEnd w:id="7"/>
      <w:r w:rsidDel="00000000" w:rsidR="00000000" w:rsidRPr="00000000">
        <w:rPr>
          <w:rtl w:val="0"/>
        </w:rPr>
        <w:t xml:space="preserve">Reacción internacional: aumento de medidas antidumping</w:t>
      </w:r>
    </w:p>
    <w:p w:rsidR="00000000" w:rsidDel="00000000" w:rsidP="00000000" w:rsidRDefault="00000000" w:rsidRPr="00000000" w14:paraId="0000007C">
      <w:pPr>
        <w:rPr/>
      </w:pPr>
      <w:r w:rsidDel="00000000" w:rsidR="00000000" w:rsidRPr="00000000">
        <w:rPr>
          <w:rtl w:val="0"/>
        </w:rPr>
        <w:t xml:space="preserve">Las distorsiones observadas en el mercado internacional del acero han generado una respuesta creciente por parte de numerosos gobiernos mediante la implementación de medidas de defensa comercial y otras intervenciones destinadas a proteger sus industrias domésticas.</w:t>
      </w:r>
    </w:p>
    <w:p w:rsidR="00000000" w:rsidDel="00000000" w:rsidP="00000000" w:rsidRDefault="00000000" w:rsidRPr="00000000" w14:paraId="0000007D">
      <w:pPr>
        <w:rPr/>
      </w:pPr>
      <w:r w:rsidDel="00000000" w:rsidR="00000000" w:rsidRPr="00000000">
        <w:rPr>
          <w:rtl w:val="0"/>
        </w:rPr>
        <w:t xml:space="preserve">Durante 2024, un total de 19 países iniciaron 81 investigaciones antidumping relacionadas con productos de acero, lo que representa un aumento significativo en comparación con años anteriores. La Tabla presenta la distribución de estas investigaciones según el país investigador.</w:t>
      </w:r>
    </w:p>
    <w:p w:rsidR="00000000" w:rsidDel="00000000" w:rsidP="00000000" w:rsidRDefault="00000000" w:rsidRPr="00000000" w14:paraId="0000007E">
      <w:pPr>
        <w:rPr>
          <w:b w:val="1"/>
          <w:bCs w:val="1"/>
          <w:sz w:val="22"/>
          <w:szCs w:val="22"/>
        </w:rPr>
      </w:pPr>
      <w:r w:rsidDel="00000000" w:rsidR="00000000" w:rsidRPr="00000000">
        <w:rPr>
          <w:b w:val="1"/>
          <w:bCs w:val="1"/>
          <w:sz w:val="22"/>
          <w:szCs w:val="22"/>
          <w:rtl w:val="0"/>
        </w:rPr>
        <w:t xml:space="preserve">Cantidad de medidas antidumping iniciadas en 2024 para productos de Acero</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7F">
            <w:pPr>
              <w:jc w:val="center"/>
              <w:rPr/>
            </w:pPr>
            <w:r w:rsidDel="00000000" w:rsidR="00000000" w:rsidRPr="00000000">
              <w:rPr>
                <w:b w:val="1"/>
                <w:bCs w:val="1"/>
                <w:color w:val="ffffff"/>
                <w:sz w:val="18"/>
                <w:szCs w:val="18"/>
                <w:rtl w:val="0"/>
              </w:rPr>
              <w:t xml:space="preserve">País Investigador</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1f3864" w:val="clear"/>
            <w:tcMar>
              <w:top w:w="80.0" w:type="dxa"/>
              <w:left w:w="120.0" w:type="dxa"/>
              <w:bottom w:w="80.0" w:type="dxa"/>
              <w:right w:w="120.0" w:type="dxa"/>
            </w:tcMar>
          </w:tcPr>
          <w:p w:rsidR="00000000" w:rsidDel="00000000" w:rsidP="00000000" w:rsidRDefault="00000000" w:rsidRPr="00000000" w14:paraId="00000080">
            <w:pPr>
              <w:jc w:val="center"/>
              <w:rPr/>
            </w:pPr>
            <w:r w:rsidDel="00000000" w:rsidR="00000000" w:rsidRPr="00000000">
              <w:rPr>
                <w:b w:val="1"/>
                <w:bCs w:val="1"/>
                <w:color w:val="ffffff"/>
                <w:sz w:val="18"/>
                <w:szCs w:val="18"/>
                <w:rtl w:val="0"/>
              </w:rPr>
              <w:t xml:space="preserve">Investigaciones Iniciadas (2024)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b w:val="1"/>
                <w:bCs w:val="1"/>
                <w:sz w:val="18"/>
                <w:szCs w:val="18"/>
                <w:rtl w:val="0"/>
              </w:rPr>
              <w:t xml:space="preserve">Turquía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2">
            <w:pPr>
              <w:jc w:val="center"/>
              <w:rPr/>
            </w:pPr>
            <w:r w:rsidDel="00000000" w:rsidR="00000000" w:rsidRPr="00000000">
              <w:rPr>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b w:val="1"/>
                <w:bCs w:val="1"/>
                <w:sz w:val="18"/>
                <w:szCs w:val="18"/>
                <w:rtl w:val="0"/>
              </w:rPr>
              <w:t xml:space="preserve">Estados Unidos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4">
            <w:pPr>
              <w:jc w:val="center"/>
              <w:rPr/>
            </w:pPr>
            <w:r w:rsidDel="00000000" w:rsidR="00000000" w:rsidRPr="00000000">
              <w:rPr>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b w:val="1"/>
                <w:bCs w:val="1"/>
                <w:sz w:val="18"/>
                <w:szCs w:val="18"/>
                <w:rtl w:val="0"/>
              </w:rPr>
              <w:t xml:space="preserve">Australia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6">
            <w:pPr>
              <w:jc w:val="center"/>
              <w:rPr/>
            </w:pPr>
            <w:r w:rsidDel="00000000" w:rsidR="00000000" w:rsidRPr="00000000">
              <w:rPr>
                <w:sz w:val="18"/>
                <w:szCs w:val="18"/>
                <w:rtl w:val="0"/>
              </w:rPr>
              <w:t xml:space="preserve">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7">
            <w:pPr>
              <w:rPr/>
            </w:pPr>
            <w:r w:rsidDel="00000000" w:rsidR="00000000" w:rsidRPr="00000000">
              <w:rPr>
                <w:b w:val="1"/>
                <w:bCs w:val="1"/>
                <w:sz w:val="18"/>
                <w:szCs w:val="18"/>
                <w:rtl w:val="0"/>
              </w:rPr>
              <w:t xml:space="preserve">Brasil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8">
            <w:pPr>
              <w:jc w:val="center"/>
              <w:rPr/>
            </w:pPr>
            <w:r w:rsidDel="00000000" w:rsidR="00000000" w:rsidRPr="00000000">
              <w:rPr>
                <w:sz w:val="18"/>
                <w:szCs w:val="18"/>
                <w:rtl w:val="0"/>
              </w:rPr>
              <w:t xml:space="preserve">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b w:val="1"/>
                <w:bCs w:val="1"/>
                <w:sz w:val="18"/>
                <w:szCs w:val="18"/>
                <w:rtl w:val="0"/>
              </w:rPr>
              <w:t xml:space="preserve">Canadá</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A">
            <w:pPr>
              <w:jc w:val="center"/>
              <w:rPr/>
            </w:pPr>
            <w:r w:rsidDel="00000000" w:rsidR="00000000" w:rsidRPr="00000000">
              <w:rPr>
                <w:sz w:val="18"/>
                <w:szCs w:val="18"/>
                <w:rtl w:val="0"/>
              </w:rPr>
              <w:t xml:space="preserve">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b w:val="1"/>
                <w:bCs w:val="1"/>
                <w:sz w:val="18"/>
                <w:szCs w:val="18"/>
                <w:rtl w:val="0"/>
              </w:rPr>
              <w:t xml:space="preserve">Malasia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C">
            <w:pPr>
              <w:jc w:val="center"/>
              <w:rPr/>
            </w:pPr>
            <w:r w:rsidDel="00000000" w:rsidR="00000000" w:rsidRPr="00000000">
              <w:rPr>
                <w:sz w:val="18"/>
                <w:szCs w:val="18"/>
                <w:rtl w:val="0"/>
              </w:rPr>
              <w:t xml:space="preserve">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b w:val="1"/>
                <w:bCs w:val="1"/>
                <w:sz w:val="18"/>
                <w:szCs w:val="18"/>
                <w:rtl w:val="0"/>
              </w:rPr>
              <w:t xml:space="preserve">Unión Europea (EU27)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8E">
            <w:pPr>
              <w:jc w:val="center"/>
              <w:rPr/>
            </w:pPr>
            <w:r w:rsidDel="00000000" w:rsidR="00000000" w:rsidRPr="00000000">
              <w:rPr>
                <w:sz w:val="18"/>
                <w:szCs w:val="18"/>
                <w:rtl w:val="0"/>
              </w:rPr>
              <w:t xml:space="preserve">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b w:val="1"/>
                <w:bCs w:val="1"/>
                <w:sz w:val="18"/>
                <w:szCs w:val="18"/>
                <w:rtl w:val="0"/>
              </w:rPr>
              <w:t xml:space="preserve">Sudáfrica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0">
            <w:pPr>
              <w:jc w:val="center"/>
              <w:rPr/>
            </w:pPr>
            <w:r w:rsidDel="00000000" w:rsidR="00000000" w:rsidRPr="00000000">
              <w:rPr>
                <w:sz w:val="18"/>
                <w:szCs w:val="18"/>
                <w:rtl w:val="0"/>
              </w:rPr>
              <w:t xml:space="preserve">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b w:val="1"/>
                <w:bCs w:val="1"/>
                <w:sz w:val="18"/>
                <w:szCs w:val="18"/>
                <w:rtl w:val="0"/>
              </w:rPr>
              <w:t xml:space="preserve">Viet Nam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92">
            <w:pPr>
              <w:jc w:val="center"/>
              <w:rPr/>
            </w:pPr>
            <w:r w:rsidDel="00000000" w:rsidR="00000000" w:rsidRPr="00000000">
              <w:rPr>
                <w:sz w:val="18"/>
                <w:szCs w:val="18"/>
                <w:rtl w:val="0"/>
              </w:rPr>
              <w:t xml:space="preserve">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b w:val="1"/>
                <w:bCs w:val="1"/>
                <w:sz w:val="18"/>
                <w:szCs w:val="18"/>
                <w:rtl w:val="0"/>
              </w:rPr>
              <w:t xml:space="preserve">Corea del Sur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4">
            <w:pPr>
              <w:jc w:val="center"/>
              <w:rPr/>
            </w:pPr>
            <w:r w:rsidDel="00000000" w:rsidR="00000000" w:rsidRPr="00000000">
              <w:rPr>
                <w:sz w:val="18"/>
                <w:szCs w:val="18"/>
                <w:rtl w:val="0"/>
              </w:rPr>
              <w:t xml:space="preserve">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b w:val="1"/>
                <w:bCs w:val="1"/>
                <w:sz w:val="18"/>
                <w:szCs w:val="18"/>
                <w:rtl w:val="0"/>
              </w:rPr>
              <w:t xml:space="preserve">República Dominicana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96">
            <w:pPr>
              <w:jc w:val="center"/>
              <w:rPr/>
            </w:pPr>
            <w:r w:rsidDel="00000000" w:rsidR="00000000" w:rsidRPr="00000000">
              <w:rPr>
                <w:sz w:val="18"/>
                <w:szCs w:val="18"/>
                <w:rtl w:val="0"/>
              </w:rPr>
              <w:t xml:space="preserve">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b w:val="1"/>
                <w:bCs w:val="1"/>
                <w:sz w:val="18"/>
                <w:szCs w:val="18"/>
                <w:rtl w:val="0"/>
              </w:rPr>
              <w:t xml:space="preserve">Otros países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8">
            <w:pPr>
              <w:jc w:val="center"/>
              <w:rPr/>
            </w:pPr>
            <w:r w:rsidDel="00000000" w:rsidR="00000000" w:rsidRPr="00000000">
              <w:rPr>
                <w:sz w:val="18"/>
                <w:szCs w:val="18"/>
                <w:rtl w:val="0"/>
              </w:rPr>
              <w:t xml:space="preserve">12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b w:val="1"/>
                <w:bCs w:val="1"/>
                <w:sz w:val="18"/>
                <w:szCs w:val="18"/>
                <w:rtl w:val="0"/>
              </w:rPr>
              <w:t xml:space="preserve">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7fb" w:val="clear"/>
            <w:tcMar>
              <w:top w:w="80.0" w:type="dxa"/>
              <w:left w:w="120.0" w:type="dxa"/>
              <w:bottom w:w="80.0" w:type="dxa"/>
              <w:right w:w="120.0" w:type="dxa"/>
            </w:tcMar>
          </w:tcPr>
          <w:p w:rsidR="00000000" w:rsidDel="00000000" w:rsidP="00000000" w:rsidRDefault="00000000" w:rsidRPr="00000000" w14:paraId="0000009A">
            <w:pPr>
              <w:jc w:val="center"/>
              <w:rPr/>
            </w:pPr>
            <w:r w:rsidDel="00000000" w:rsidR="00000000" w:rsidRPr="00000000">
              <w:rPr>
                <w:sz w:val="18"/>
                <w:szCs w:val="18"/>
                <w:rtl w:val="0"/>
              </w:rPr>
              <w:t xml:space="preserve">81</w:t>
            </w:r>
            <w:r w:rsidDel="00000000" w:rsidR="00000000" w:rsidRPr="00000000">
              <w:rPr>
                <w:rtl w:val="0"/>
              </w:rPr>
            </w:r>
          </w:p>
        </w:tc>
      </w:tr>
    </w:tbl>
    <w:p w:rsidR="00000000" w:rsidDel="00000000" w:rsidP="00000000" w:rsidRDefault="00000000" w:rsidRPr="00000000" w14:paraId="0000009B">
      <w:pPr>
        <w:spacing w:after="60" w:before="40" w:lineRule="auto"/>
        <w:rPr/>
      </w:pPr>
      <w:r w:rsidDel="00000000" w:rsidR="00000000" w:rsidRPr="00000000">
        <w:rPr>
          <w:i w:val="1"/>
          <w:iCs w:val="1"/>
          <w:color w:val="595959"/>
          <w:sz w:val="16"/>
          <w:szCs w:val="16"/>
          <w:rtl w:val="0"/>
        </w:rPr>
        <w:t xml:space="preserve">Fuente: OECD Steel Outlook 2025, Tabla 5.3. Cálculos OCDE.</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Cerca del 80% de estas investigaciones se dirigieron contra productores asiáticos, siendo China el país más frecuentemente investigado. Este patrón refleja la preocupación creciente de las autoridades comerciales respecto a las condiciones de competencia en el mercado internacional del acero.</w:t>
      </w:r>
    </w:p>
    <w:p w:rsidR="00000000" w:rsidDel="00000000" w:rsidP="00000000" w:rsidRDefault="00000000" w:rsidRPr="00000000" w14:paraId="0000009E">
      <w:pPr>
        <w:rPr/>
      </w:pPr>
      <w:r w:rsidDel="00000000" w:rsidR="00000000" w:rsidRPr="00000000">
        <w:rPr>
          <w:rtl w:val="0"/>
        </w:rPr>
        <w:t xml:space="preserve">Más allá de las investigaciones iniciadas en un año específico, el sector del acero se caracteriza por un elevado número de intervenciones de política comercial a nivel mundial. Como se observa en la Tabla, el número total de intervenciones de protección en la industria del acero (HS 72) ha aumentado de manera significativa entre los períodos analizados. Mientras que entre 2009 y 2017 se registraron 1,324 intervenciones, en el período 2018-2026 la cifra aumentó a 2,640, alcanzando un total de 3,964 intervenciones.</w:t>
      </w:r>
    </w:p>
    <w:tbl>
      <w:tblPr>
        <w:tblStyle w:val="Table4"/>
        <w:tblW w:w="9033.0" w:type="dxa"/>
        <w:jc w:val="left"/>
        <w:tblLayout w:type="fixed"/>
        <w:tblLook w:val="0400"/>
      </w:tblPr>
      <w:tblGrid>
        <w:gridCol w:w="2870"/>
        <w:gridCol w:w="2250"/>
        <w:gridCol w:w="2013"/>
        <w:gridCol w:w="1678"/>
        <w:gridCol w:w="222"/>
        <w:tblGridChange w:id="0">
          <w:tblGrid>
            <w:gridCol w:w="2870"/>
            <w:gridCol w:w="2250"/>
            <w:gridCol w:w="2013"/>
            <w:gridCol w:w="1678"/>
            <w:gridCol w:w="222"/>
          </w:tblGrid>
        </w:tblGridChange>
      </w:tblGrid>
      <w:tr>
        <w:trPr>
          <w:cantSplit w:val="0"/>
          <w:trHeight w:val="1794" w:hRule="atLeast"/>
          <w:tblHeader w:val="0"/>
        </w:trPr>
        <w:tc>
          <w:tcPr>
            <w:gridSpan w:val="4"/>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9F">
            <w:pPr>
              <w:spacing w:line="276" w:lineRule="auto"/>
              <w:jc w:val="center"/>
              <w:rPr>
                <w:rFonts w:ascii="Arial" w:cs="Arial" w:eastAsia="Arial" w:hAnsi="Arial"/>
                <w:sz w:val="28"/>
                <w:szCs w:val="28"/>
              </w:rPr>
            </w:pPr>
            <w:r w:rsidDel="00000000" w:rsidR="00000000" w:rsidRPr="00000000">
              <w:rPr>
                <w:rFonts w:ascii="Calibri" w:cs="Calibri" w:eastAsia="Calibri" w:hAnsi="Calibri"/>
                <w:b w:val="1"/>
                <w:bCs w:val="1"/>
                <w:color w:val="000000"/>
                <w:sz w:val="28"/>
                <w:szCs w:val="28"/>
                <w:rtl w:val="0"/>
              </w:rPr>
              <w:t xml:space="preserve">Cantidad Intervenciones de Protección a la Industria del Acero (HS 72)                                                                                                               Análisis Comparativo por </w:t>
            </w:r>
            <w:r w:rsidDel="00000000" w:rsidR="00000000" w:rsidRPr="00000000">
              <w:rPr>
                <w:b w:val="1"/>
                <w:bCs w:val="1"/>
                <w:sz w:val="28"/>
                <w:szCs w:val="28"/>
                <w:rtl w:val="0"/>
              </w:rPr>
              <w:t xml:space="preserve">período</w:t>
            </w:r>
            <w:r w:rsidDel="00000000" w:rsidR="00000000" w:rsidRPr="00000000">
              <w:rPr>
                <w:rFonts w:ascii="Calibri" w:cs="Calibri" w:eastAsia="Calibri" w:hAnsi="Calibri"/>
                <w:b w:val="1"/>
                <w:bCs w:val="1"/>
                <w:color w:val="000000"/>
                <w:sz w:val="28"/>
                <w:szCs w:val="28"/>
                <w:rtl w:val="0"/>
              </w:rPr>
              <w:t xml:space="preserve"> - Mundial</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0A3">
            <w:pPr>
              <w:spacing w:line="276" w:lineRule="auto"/>
              <w:rPr>
                <w:rFonts w:ascii="Arial" w:cs="Arial" w:eastAsia="Arial" w:hAnsi="Arial"/>
                <w:sz w:val="28"/>
                <w:szCs w:val="28"/>
              </w:rPr>
            </w:pPr>
            <w:r w:rsidDel="00000000" w:rsidR="00000000" w:rsidRPr="00000000">
              <w:rPr>
                <w:rFonts w:ascii="Calibri" w:cs="Calibri" w:eastAsia="Calibri" w:hAnsi="Calibri"/>
                <w:color w:val="000000"/>
                <w:sz w:val="28"/>
                <w:szCs w:val="28"/>
                <w:rtl w:val="0"/>
              </w:rPr>
              <w:t xml:space="preserve"> </w:t>
            </w:r>
            <w:r w:rsidDel="00000000" w:rsidR="00000000" w:rsidRPr="00000000">
              <w:rPr>
                <w:rtl w:val="0"/>
              </w:rPr>
            </w:r>
          </w:p>
        </w:tc>
      </w:tr>
      <w:tr>
        <w:trPr>
          <w:cantSplit w:val="0"/>
          <w:trHeight w:val="99" w:hRule="atLeast"/>
          <w:tblHeader w:val="0"/>
        </w:trPr>
        <w:tc>
          <w:tcPr>
            <w:gridSpan w:val="4"/>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8"/>
                <w:szCs w:val="28"/>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bottom"/>
          </w:tcPr>
          <w:p w:rsidR="00000000" w:rsidDel="00000000" w:rsidP="00000000" w:rsidRDefault="00000000" w:rsidRPr="00000000" w14:paraId="000000A8">
            <w:pPr>
              <w:spacing w:after="0" w:line="240" w:lineRule="auto"/>
              <w:rPr>
                <w:rFonts w:ascii="Arial" w:cs="Arial" w:eastAsia="Arial" w:hAnsi="Arial"/>
                <w:sz w:val="28"/>
                <w:szCs w:val="28"/>
              </w:rPr>
            </w:pPr>
            <w:r w:rsidDel="00000000" w:rsidR="00000000" w:rsidRPr="00000000">
              <w:rPr>
                <w:rtl w:val="0"/>
              </w:rPr>
            </w:r>
          </w:p>
        </w:tc>
      </w:tr>
      <w:tr>
        <w:trPr>
          <w:cantSplit w:val="0"/>
          <w:trHeight w:val="942"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9">
            <w:pPr>
              <w:spacing w:line="276" w:lineRule="auto"/>
              <w:jc w:val="center"/>
              <w:rPr>
                <w:rFonts w:ascii="Arial" w:cs="Arial" w:eastAsia="Arial" w:hAnsi="Arial"/>
                <w:sz w:val="28"/>
                <w:szCs w:val="28"/>
              </w:rPr>
            </w:pPr>
            <w:r w:rsidDel="00000000" w:rsidR="00000000" w:rsidRPr="00000000">
              <w:rPr>
                <w:rFonts w:ascii="Calibri" w:cs="Calibri" w:eastAsia="Calibri" w:hAnsi="Calibri"/>
                <w:b w:val="1"/>
                <w:bCs w:val="1"/>
                <w:color w:val="000000"/>
                <w:sz w:val="28"/>
                <w:szCs w:val="28"/>
                <w:rtl w:val="0"/>
              </w:rPr>
              <w:t xml:space="preserve">Periodo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A">
            <w:pPr>
              <w:spacing w:line="276" w:lineRule="auto"/>
              <w:jc w:val="center"/>
              <w:rPr>
                <w:rFonts w:ascii="Arial" w:cs="Arial" w:eastAsia="Arial" w:hAnsi="Arial"/>
                <w:sz w:val="28"/>
                <w:szCs w:val="28"/>
              </w:rPr>
            </w:pPr>
            <w:r w:rsidDel="00000000" w:rsidR="00000000" w:rsidRPr="00000000">
              <w:rPr>
                <w:rFonts w:ascii="Calibri" w:cs="Calibri" w:eastAsia="Calibri" w:hAnsi="Calibri"/>
                <w:b w:val="1"/>
                <w:bCs w:val="1"/>
                <w:color w:val="000000"/>
                <w:sz w:val="28"/>
                <w:szCs w:val="28"/>
                <w:rtl w:val="0"/>
              </w:rPr>
              <w:t xml:space="preserve">2009 - 2017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B">
            <w:pPr>
              <w:spacing w:line="276" w:lineRule="auto"/>
              <w:jc w:val="center"/>
              <w:rPr>
                <w:rFonts w:ascii="Arial" w:cs="Arial" w:eastAsia="Arial" w:hAnsi="Arial"/>
                <w:sz w:val="28"/>
                <w:szCs w:val="28"/>
              </w:rPr>
            </w:pPr>
            <w:r w:rsidDel="00000000" w:rsidR="00000000" w:rsidRPr="00000000">
              <w:rPr>
                <w:rFonts w:ascii="Calibri" w:cs="Calibri" w:eastAsia="Calibri" w:hAnsi="Calibri"/>
                <w:b w:val="1"/>
                <w:bCs w:val="1"/>
                <w:color w:val="000000"/>
                <w:sz w:val="28"/>
                <w:szCs w:val="28"/>
                <w:rtl w:val="0"/>
              </w:rPr>
              <w:t xml:space="preserve">2018 - 2026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2f0d9" w:val="clear"/>
            <w:tcMar>
              <w:top w:w="15.0" w:type="dxa"/>
              <w:left w:w="108.0" w:type="dxa"/>
              <w:bottom w:w="0.0" w:type="dxa"/>
              <w:right w:w="108.0" w:type="dxa"/>
            </w:tcMar>
            <w:vAlign w:val="center"/>
          </w:tcPr>
          <w:p w:rsidR="00000000" w:rsidDel="00000000" w:rsidP="00000000" w:rsidRDefault="00000000" w:rsidRPr="00000000" w14:paraId="000000AC">
            <w:pPr>
              <w:spacing w:line="276" w:lineRule="auto"/>
              <w:jc w:val="center"/>
              <w:rPr>
                <w:rFonts w:ascii="Arial" w:cs="Arial" w:eastAsia="Arial" w:hAnsi="Arial"/>
                <w:sz w:val="28"/>
                <w:szCs w:val="28"/>
              </w:rPr>
            </w:pPr>
            <w:r w:rsidDel="00000000" w:rsidR="00000000" w:rsidRPr="00000000">
              <w:rPr>
                <w:rFonts w:ascii="Calibri" w:cs="Calibri" w:eastAsia="Calibri" w:hAnsi="Calibri"/>
                <w:b w:val="1"/>
                <w:bCs w:val="1"/>
                <w:color w:val="000000"/>
                <w:sz w:val="28"/>
                <w:szCs w:val="28"/>
                <w:rtl w:val="0"/>
              </w:rPr>
              <w:t xml:space="preserve">Total</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center"/>
          </w:tcPr>
          <w:p w:rsidR="00000000" w:rsidDel="00000000" w:rsidP="00000000" w:rsidRDefault="00000000" w:rsidRPr="00000000" w14:paraId="000000AD">
            <w:pPr>
              <w:spacing w:after="0" w:line="240" w:lineRule="auto"/>
              <w:rPr>
                <w:rFonts w:ascii="Arial" w:cs="Arial" w:eastAsia="Arial" w:hAnsi="Arial"/>
                <w:sz w:val="28"/>
                <w:szCs w:val="28"/>
              </w:rPr>
            </w:pPr>
            <w:r w:rsidDel="00000000" w:rsidR="00000000" w:rsidRPr="00000000">
              <w:rPr>
                <w:rtl w:val="0"/>
              </w:rPr>
            </w:r>
          </w:p>
        </w:tc>
      </w:tr>
      <w:tr>
        <w:trPr>
          <w:cantSplit w:val="0"/>
          <w:trHeight w:val="721"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E">
            <w:pPr>
              <w:spacing w:line="276" w:lineRule="auto"/>
              <w:rPr>
                <w:rFonts w:ascii="Arial" w:cs="Arial" w:eastAsia="Arial" w:hAnsi="Arial"/>
                <w:sz w:val="28"/>
                <w:szCs w:val="28"/>
              </w:rPr>
            </w:pPr>
            <w:r w:rsidDel="00000000" w:rsidR="00000000" w:rsidRPr="00000000">
              <w:rPr>
                <w:rFonts w:ascii="Calibri" w:cs="Calibri" w:eastAsia="Calibri" w:hAnsi="Calibri"/>
                <w:b w:val="1"/>
                <w:bCs w:val="1"/>
                <w:color w:val="000000"/>
                <w:sz w:val="28"/>
                <w:szCs w:val="28"/>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Arial" w:cs="Arial" w:eastAsia="Arial" w:hAnsi="Arial"/>
                <w:sz w:val="28"/>
                <w:szCs w:val="28"/>
              </w:rPr>
            </w:pPr>
            <w:r w:rsidDel="00000000" w:rsidR="00000000" w:rsidRPr="00000000">
              <w:rPr>
                <w:b w:val="1"/>
                <w:bCs w:val="1"/>
                <w:color w:val="000000"/>
                <w:sz w:val="28"/>
                <w:szCs w:val="28"/>
                <w:rtl w:val="0"/>
              </w:rPr>
              <w:t xml:space="preserve">1,324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Arial" w:cs="Arial" w:eastAsia="Arial" w:hAnsi="Arial"/>
                <w:sz w:val="28"/>
                <w:szCs w:val="28"/>
              </w:rPr>
            </w:pPr>
            <w:r w:rsidDel="00000000" w:rsidR="00000000" w:rsidRPr="00000000">
              <w:rPr>
                <w:b w:val="1"/>
                <w:bCs w:val="1"/>
                <w:color w:val="000000"/>
                <w:sz w:val="28"/>
                <w:szCs w:val="28"/>
                <w:rtl w:val="0"/>
              </w:rPr>
              <w:t xml:space="preserve">2,640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2f0d9" w:val="clear"/>
            <w:tcMar>
              <w:top w:w="10.0" w:type="dxa"/>
              <w:left w:w="10.0" w:type="dxa"/>
              <w:bottom w:w="0.0" w:type="dxa"/>
              <w:right w:w="10.0" w:type="dxa"/>
            </w:tcMar>
            <w:vAlign w:val="center"/>
          </w:tcPr>
          <w:p w:rsidR="00000000" w:rsidDel="00000000" w:rsidP="00000000" w:rsidRDefault="00000000" w:rsidRPr="00000000" w14:paraId="000000B1">
            <w:pPr>
              <w:spacing w:after="0" w:line="240" w:lineRule="auto"/>
              <w:jc w:val="center"/>
              <w:rPr>
                <w:rFonts w:ascii="Arial" w:cs="Arial" w:eastAsia="Arial" w:hAnsi="Arial"/>
                <w:sz w:val="28"/>
                <w:szCs w:val="28"/>
              </w:rPr>
            </w:pPr>
            <w:r w:rsidDel="00000000" w:rsidR="00000000" w:rsidRPr="00000000">
              <w:rPr>
                <w:b w:val="1"/>
                <w:bCs w:val="1"/>
                <w:color w:val="000000"/>
                <w:sz w:val="28"/>
                <w:szCs w:val="28"/>
                <w:rtl w:val="0"/>
              </w:rPr>
              <w:t xml:space="preserve">3,964</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center"/>
          </w:tcPr>
          <w:p w:rsidR="00000000" w:rsidDel="00000000" w:rsidP="00000000" w:rsidRDefault="00000000" w:rsidRPr="00000000" w14:paraId="000000B2">
            <w:pPr>
              <w:spacing w:after="0" w:line="240" w:lineRule="auto"/>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Este incremento evidencia que el acero es uno de los sectores industriales con mayor nivel de intervención en el comercio internacional, reflejando las tensiones estructurales que caracterizan este mercado.</w:t>
      </w:r>
    </w:p>
    <w:p w:rsidR="00000000" w:rsidDel="00000000" w:rsidP="00000000" w:rsidRDefault="00000000" w:rsidRPr="00000000" w14:paraId="000000B5">
      <w:pPr>
        <w:rPr/>
      </w:pPr>
      <w:r w:rsidDel="00000000" w:rsidR="00000000" w:rsidRPr="00000000">
        <w:rPr>
          <w:rtl w:val="0"/>
        </w:rPr>
        <w:t xml:space="preserve">Una proporción importante de estas intervenciones está vinculada a medidas que afectan directamente a exportaciones originarias de China. Como se muestra en la Tabla, un total de 1,221 intervenciones de protección en el sector del acero afectan a China. De estas, 390 intervenciones incluyen específicamente productos de varillas de acero (HS 721420).</w:t>
      </w:r>
    </w:p>
    <w:tbl>
      <w:tblPr>
        <w:tblStyle w:val="Table5"/>
        <w:tblpPr w:leftFromText="180" w:rightFromText="180" w:topFromText="0" w:bottomFromText="0" w:vertAnchor="text" w:horzAnchor="text" w:tblpX="0" w:tblpY="481"/>
        <w:tblW w:w="9290.0" w:type="dxa"/>
        <w:jc w:val="left"/>
        <w:tblLayout w:type="fixed"/>
        <w:tblLook w:val="0400"/>
      </w:tblPr>
      <w:tblGrid>
        <w:gridCol w:w="3893"/>
        <w:gridCol w:w="1677"/>
        <w:gridCol w:w="1677"/>
        <w:gridCol w:w="1543"/>
        <w:gridCol w:w="500"/>
        <w:tblGridChange w:id="0">
          <w:tblGrid>
            <w:gridCol w:w="3893"/>
            <w:gridCol w:w="1677"/>
            <w:gridCol w:w="1677"/>
            <w:gridCol w:w="1543"/>
            <w:gridCol w:w="500"/>
          </w:tblGrid>
        </w:tblGridChange>
      </w:tblGrid>
      <w:tr>
        <w:trPr>
          <w:cantSplit w:val="0"/>
          <w:trHeight w:val="321" w:hRule="atLeast"/>
          <w:tblHeader w:val="0"/>
        </w:trPr>
        <w:tc>
          <w:tcPr>
            <w:gridSpan w:val="4"/>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6">
            <w:pPr>
              <w:spacing w:after="120" w:line="240" w:lineRule="auto"/>
              <w:jc w:val="center"/>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Cantidad Intervenciones de Protección a la Industria del Acero (HS 72)</w:t>
            </w:r>
            <w:r w:rsidDel="00000000" w:rsidR="00000000" w:rsidRPr="00000000">
              <w:rPr>
                <w:rtl w:val="0"/>
              </w:rPr>
            </w:r>
          </w:p>
          <w:p w:rsidR="00000000" w:rsidDel="00000000" w:rsidP="00000000" w:rsidRDefault="00000000" w:rsidRPr="00000000" w14:paraId="000000B7">
            <w:pPr>
              <w:spacing w:after="120" w:line="240" w:lineRule="auto"/>
              <w:jc w:val="center"/>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Excluyendo las intervenciones de "Contratación Pública”</w:t>
            </w:r>
            <w:r w:rsidDel="00000000" w:rsidR="00000000" w:rsidRPr="00000000">
              <w:rPr>
                <w:rtl w:val="0"/>
              </w:rPr>
            </w:r>
          </w:p>
          <w:p w:rsidR="00000000" w:rsidDel="00000000" w:rsidP="00000000" w:rsidRDefault="00000000" w:rsidRPr="00000000" w14:paraId="000000B8">
            <w:pPr>
              <w:spacing w:after="120" w:line="240" w:lineRule="auto"/>
              <w:jc w:val="center"/>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Análisis Comparativo por periodo</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5.0" w:type="dxa"/>
              <w:bottom w:w="0.0" w:type="dxa"/>
              <w:right w:w="15.0" w:type="dxa"/>
            </w:tcMar>
            <w:vAlign w:val="center"/>
          </w:tcPr>
          <w:p w:rsidR="00000000" w:rsidDel="00000000" w:rsidP="00000000" w:rsidRDefault="00000000" w:rsidRPr="00000000" w14:paraId="000000BC">
            <w:pPr>
              <w:spacing w:after="200" w:line="276" w:lineRule="auto"/>
              <w:jc w:val="center"/>
              <w:rPr>
                <w:rFonts w:ascii="Arial" w:cs="Arial" w:eastAsia="Arial" w:hAnsi="Arial"/>
                <w:sz w:val="22"/>
                <w:szCs w:val="22"/>
              </w:rPr>
            </w:pPr>
            <w:r w:rsidDel="00000000" w:rsidR="00000000" w:rsidRPr="00000000">
              <w:rPr>
                <w:rtl w:val="0"/>
              </w:rPr>
            </w:r>
          </w:p>
        </w:tc>
      </w:tr>
      <w:tr>
        <w:trPr>
          <w:cantSplit w:val="0"/>
          <w:trHeight w:val="585" w:hRule="atLeast"/>
          <w:tblHeader w:val="0"/>
        </w:trPr>
        <w:tc>
          <w:tcPr>
            <w:gridSpan w:val="4"/>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rFonts w:ascii="Arial" w:cs="Arial" w:eastAsia="Arial" w:hAnsi="Arial"/>
                <w:sz w:val="22"/>
                <w:szCs w:val="22"/>
              </w:rPr>
            </w:pPr>
            <w:r w:rsidDel="00000000" w:rsidR="00000000" w:rsidRPr="00000000">
              <w:rPr>
                <w:rtl w:val="0"/>
              </w:rPr>
            </w:r>
          </w:p>
        </w:tc>
      </w:tr>
      <w:tr>
        <w:trPr>
          <w:cantSplit w:val="0"/>
          <w:trHeight w:val="38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2">
            <w:pPr>
              <w:spacing w:after="200" w:line="276" w:lineRule="auto"/>
              <w:jc w:val="center"/>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Categoría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3">
            <w:pPr>
              <w:spacing w:after="200" w:line="276" w:lineRule="auto"/>
              <w:jc w:val="center"/>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(2008 - 2017)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4">
            <w:pPr>
              <w:spacing w:after="200" w:line="276" w:lineRule="auto"/>
              <w:jc w:val="center"/>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(2018 - 2026)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2f0d9" w:val="clear"/>
            <w:tcMar>
              <w:top w:w="15.0" w:type="dxa"/>
              <w:left w:w="108.0" w:type="dxa"/>
              <w:bottom w:w="0.0" w:type="dxa"/>
              <w:right w:w="108.0" w:type="dxa"/>
            </w:tcMar>
            <w:vAlign w:val="center"/>
          </w:tcPr>
          <w:p w:rsidR="00000000" w:rsidDel="00000000" w:rsidP="00000000" w:rsidRDefault="00000000" w:rsidRPr="00000000" w14:paraId="000000C5">
            <w:pPr>
              <w:spacing w:after="200" w:line="276" w:lineRule="auto"/>
              <w:jc w:val="center"/>
              <w:rPr>
                <w:rFonts w:ascii="Arial" w:cs="Arial" w:eastAsia="Arial" w:hAnsi="Arial"/>
                <w:sz w:val="22"/>
                <w:szCs w:val="22"/>
              </w:rPr>
            </w:pPr>
            <w:r w:rsidDel="00000000" w:rsidR="00000000" w:rsidRPr="00000000">
              <w:rPr>
                <w:rFonts w:ascii="Aptos" w:cs="Aptos" w:eastAsia="Aptos" w:hAnsi="Aptos"/>
                <w:b w:val="1"/>
                <w:bCs w:val="1"/>
                <w:color w:val="000000"/>
                <w:sz w:val="22"/>
                <w:szCs w:val="22"/>
                <w:rtl w:val="0"/>
              </w:rPr>
              <w:t xml:space="preserve">Total</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center"/>
          </w:tcPr>
          <w:p w:rsidR="00000000" w:rsidDel="00000000" w:rsidP="00000000" w:rsidRDefault="00000000" w:rsidRPr="00000000" w14:paraId="000000C6">
            <w:pPr>
              <w:spacing w:after="0" w:line="240" w:lineRule="auto"/>
              <w:jc w:val="center"/>
              <w:rPr>
                <w:rFonts w:ascii="Arial" w:cs="Arial" w:eastAsia="Arial" w:hAnsi="Arial"/>
                <w:sz w:val="22"/>
                <w:szCs w:val="22"/>
              </w:rPr>
            </w:pPr>
            <w:r w:rsidDel="00000000" w:rsidR="00000000" w:rsidRPr="00000000">
              <w:rPr>
                <w:rtl w:val="0"/>
              </w:rPr>
            </w:r>
          </w:p>
        </w:tc>
      </w:tr>
      <w:tr>
        <w:trPr>
          <w:cantSplit w:val="0"/>
          <w:trHeight w:val="597"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7">
            <w:pPr>
              <w:spacing w:after="200" w:line="276" w:lineRule="auto"/>
              <w:jc w:val="center"/>
              <w:rPr>
                <w:rFonts w:ascii="Arial" w:cs="Arial" w:eastAsia="Arial" w:hAnsi="Arial"/>
                <w:sz w:val="22"/>
                <w:szCs w:val="22"/>
              </w:rPr>
            </w:pPr>
            <w:r w:rsidDel="00000000" w:rsidR="00000000" w:rsidRPr="00000000">
              <w:rPr>
                <w:rFonts w:ascii="Calibri" w:cs="Calibri" w:eastAsia="Calibri" w:hAnsi="Calibri"/>
                <w:color w:val="000000"/>
                <w:sz w:val="22"/>
                <w:szCs w:val="22"/>
                <w:rtl w:val="0"/>
              </w:rPr>
              <w:t xml:space="preserve">Intervenciones de protección que afectan a China industria Acero (HS72)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8">
            <w:pPr>
              <w:spacing w:after="200" w:line="276" w:lineRule="auto"/>
              <w:jc w:val="center"/>
              <w:rPr>
                <w:rFonts w:ascii="Arial" w:cs="Arial" w:eastAsia="Arial" w:hAnsi="Arial"/>
                <w:sz w:val="22"/>
                <w:szCs w:val="22"/>
              </w:rPr>
            </w:pPr>
            <w:r w:rsidDel="00000000" w:rsidR="00000000" w:rsidRPr="00000000">
              <w:rPr>
                <w:color w:val="000000"/>
                <w:sz w:val="22"/>
                <w:szCs w:val="22"/>
                <w:rtl w:val="0"/>
              </w:rPr>
              <w:t xml:space="preserve">550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9">
            <w:pPr>
              <w:spacing w:after="200" w:line="276" w:lineRule="auto"/>
              <w:jc w:val="center"/>
              <w:rPr>
                <w:rFonts w:ascii="Arial" w:cs="Arial" w:eastAsia="Arial" w:hAnsi="Arial"/>
                <w:sz w:val="22"/>
                <w:szCs w:val="22"/>
              </w:rPr>
            </w:pPr>
            <w:r w:rsidDel="00000000" w:rsidR="00000000" w:rsidRPr="00000000">
              <w:rPr>
                <w:color w:val="000000"/>
                <w:sz w:val="22"/>
                <w:szCs w:val="22"/>
                <w:rtl w:val="0"/>
              </w:rPr>
              <w:t xml:space="preserve">671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2f0d9" w:val="clear"/>
            <w:tcMar>
              <w:top w:w="10.0" w:type="dxa"/>
              <w:left w:w="10.0" w:type="dxa"/>
              <w:bottom w:w="0.0" w:type="dxa"/>
              <w:right w:w="10.0" w:type="dxa"/>
            </w:tcMar>
            <w:vAlign w:val="center"/>
          </w:tcPr>
          <w:p w:rsidR="00000000" w:rsidDel="00000000" w:rsidP="00000000" w:rsidRDefault="00000000" w:rsidRPr="00000000" w14:paraId="000000CA">
            <w:pPr>
              <w:spacing w:after="0" w:line="240" w:lineRule="auto"/>
              <w:jc w:val="center"/>
              <w:rPr>
                <w:rFonts w:ascii="Arial" w:cs="Arial" w:eastAsia="Arial" w:hAnsi="Arial"/>
                <w:sz w:val="22"/>
                <w:szCs w:val="22"/>
              </w:rPr>
            </w:pPr>
            <w:r w:rsidDel="00000000" w:rsidR="00000000" w:rsidRPr="00000000">
              <w:rPr>
                <w:color w:val="000000"/>
                <w:sz w:val="22"/>
                <w:szCs w:val="22"/>
                <w:rtl w:val="0"/>
              </w:rPr>
              <w:t xml:space="preserve">1,221</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center"/>
          </w:tcPr>
          <w:p w:rsidR="00000000" w:rsidDel="00000000" w:rsidP="00000000" w:rsidRDefault="00000000" w:rsidRPr="00000000" w14:paraId="000000CB">
            <w:pPr>
              <w:spacing w:after="0" w:line="240" w:lineRule="auto"/>
              <w:jc w:val="center"/>
              <w:rPr>
                <w:rFonts w:ascii="Arial" w:cs="Arial" w:eastAsia="Arial" w:hAnsi="Arial"/>
                <w:sz w:val="22"/>
                <w:szCs w:val="22"/>
              </w:rPr>
            </w:pPr>
            <w:r w:rsidDel="00000000" w:rsidR="00000000" w:rsidRPr="00000000">
              <w:rPr>
                <w:rtl w:val="0"/>
              </w:rPr>
            </w:r>
          </w:p>
        </w:tc>
      </w:tr>
      <w:tr>
        <w:trPr>
          <w:cantSplit w:val="0"/>
          <w:trHeight w:val="712"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C">
            <w:pPr>
              <w:spacing w:after="200" w:line="276" w:lineRule="auto"/>
              <w:jc w:val="center"/>
              <w:rPr>
                <w:rFonts w:ascii="Arial" w:cs="Arial" w:eastAsia="Arial" w:hAnsi="Arial"/>
                <w:sz w:val="22"/>
                <w:szCs w:val="22"/>
              </w:rPr>
            </w:pPr>
            <w:r w:rsidDel="00000000" w:rsidR="00000000" w:rsidRPr="00000000">
              <w:rPr>
                <w:rFonts w:ascii="Calibri" w:cs="Calibri" w:eastAsia="Calibri" w:hAnsi="Calibri"/>
                <w:color w:val="000000"/>
                <w:sz w:val="22"/>
                <w:szCs w:val="22"/>
                <w:rtl w:val="0"/>
              </w:rPr>
              <w:t xml:space="preserve">Intervenciones de protección que afectan a China e incluyen </w:t>
            </w:r>
            <w:r w:rsidDel="00000000" w:rsidR="00000000" w:rsidRPr="00000000">
              <w:rPr>
                <w:rFonts w:ascii="Calibri" w:cs="Calibri" w:eastAsia="Calibri" w:hAnsi="Calibri"/>
                <w:b w:val="1"/>
                <w:bCs w:val="1"/>
                <w:color w:val="000000"/>
                <w:sz w:val="22"/>
                <w:szCs w:val="22"/>
                <w:rtl w:val="0"/>
              </w:rPr>
              <w:t xml:space="preserve">varillas </w:t>
            </w:r>
            <w:r w:rsidDel="00000000" w:rsidR="00000000" w:rsidRPr="00000000">
              <w:rPr>
                <w:rFonts w:ascii="Calibri" w:cs="Calibri" w:eastAsia="Calibri" w:hAnsi="Calibri"/>
                <w:color w:val="000000"/>
                <w:sz w:val="22"/>
                <w:szCs w:val="22"/>
                <w:rtl w:val="0"/>
              </w:rPr>
              <w:t xml:space="preserve">(HS 721420)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D">
            <w:pPr>
              <w:spacing w:after="200" w:line="276" w:lineRule="auto"/>
              <w:jc w:val="center"/>
              <w:rPr>
                <w:rFonts w:ascii="Arial" w:cs="Arial" w:eastAsia="Arial" w:hAnsi="Arial"/>
                <w:sz w:val="22"/>
                <w:szCs w:val="22"/>
              </w:rPr>
            </w:pPr>
            <w:r w:rsidDel="00000000" w:rsidR="00000000" w:rsidRPr="00000000">
              <w:rPr>
                <w:color w:val="000000"/>
                <w:sz w:val="22"/>
                <w:szCs w:val="22"/>
                <w:rtl w:val="0"/>
              </w:rPr>
              <w:t xml:space="preserve">207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E">
            <w:pPr>
              <w:spacing w:after="200" w:line="276" w:lineRule="auto"/>
              <w:jc w:val="center"/>
              <w:rPr>
                <w:rFonts w:ascii="Arial" w:cs="Arial" w:eastAsia="Arial" w:hAnsi="Arial"/>
                <w:sz w:val="22"/>
                <w:szCs w:val="22"/>
              </w:rPr>
            </w:pPr>
            <w:r w:rsidDel="00000000" w:rsidR="00000000" w:rsidRPr="00000000">
              <w:rPr>
                <w:color w:val="000000"/>
                <w:sz w:val="22"/>
                <w:szCs w:val="22"/>
                <w:rtl w:val="0"/>
              </w:rPr>
              <w:t xml:space="preserve">183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2f0d9" w:val="clear"/>
            <w:tcMar>
              <w:top w:w="10.0" w:type="dxa"/>
              <w:left w:w="10.0" w:type="dxa"/>
              <w:bottom w:w="0.0" w:type="dxa"/>
              <w:right w:w="10.0" w:type="dxa"/>
            </w:tcMar>
            <w:vAlign w:val="center"/>
          </w:tcPr>
          <w:p w:rsidR="00000000" w:rsidDel="00000000" w:rsidP="00000000" w:rsidRDefault="00000000" w:rsidRPr="00000000" w14:paraId="000000CF">
            <w:pPr>
              <w:spacing w:after="0" w:line="240" w:lineRule="auto"/>
              <w:jc w:val="center"/>
              <w:rPr>
                <w:rFonts w:ascii="Arial" w:cs="Arial" w:eastAsia="Arial" w:hAnsi="Arial"/>
                <w:sz w:val="22"/>
                <w:szCs w:val="22"/>
              </w:rPr>
            </w:pPr>
            <w:r w:rsidDel="00000000" w:rsidR="00000000" w:rsidRPr="00000000">
              <w:rPr>
                <w:color w:val="000000"/>
                <w:sz w:val="22"/>
                <w:szCs w:val="22"/>
                <w:rtl w:val="0"/>
              </w:rPr>
              <w:t xml:space="preserve">390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center"/>
          </w:tcPr>
          <w:p w:rsidR="00000000" w:rsidDel="00000000" w:rsidP="00000000" w:rsidRDefault="00000000" w:rsidRPr="00000000" w14:paraId="000000D0">
            <w:pPr>
              <w:spacing w:after="0" w:line="240" w:lineRule="auto"/>
              <w:jc w:val="center"/>
              <w:rPr>
                <w:rFonts w:ascii="Arial" w:cs="Arial" w:eastAsia="Arial" w:hAnsi="Arial"/>
                <w:sz w:val="22"/>
                <w:szCs w:val="22"/>
              </w:rPr>
            </w:pPr>
            <w:r w:rsidDel="00000000" w:rsidR="00000000" w:rsidRPr="00000000">
              <w:rPr>
                <w:rtl w:val="0"/>
              </w:rPr>
            </w:r>
          </w:p>
        </w:tc>
      </w:tr>
      <w:tr>
        <w:trPr>
          <w:cantSplit w:val="0"/>
          <w:trHeight w:val="95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1">
            <w:pPr>
              <w:spacing w:after="200" w:line="276" w:lineRule="auto"/>
              <w:jc w:val="center"/>
              <w:rPr>
                <w:rFonts w:ascii="Arial" w:cs="Arial" w:eastAsia="Arial" w:hAnsi="Arial"/>
                <w:sz w:val="22"/>
                <w:szCs w:val="22"/>
              </w:rPr>
            </w:pPr>
            <w:r w:rsidDel="00000000" w:rsidR="00000000" w:rsidRPr="00000000">
              <w:rPr>
                <w:rFonts w:ascii="Calibri" w:cs="Calibri" w:eastAsia="Calibri" w:hAnsi="Calibri"/>
                <w:color w:val="000000"/>
                <w:sz w:val="22"/>
                <w:szCs w:val="22"/>
                <w:rtl w:val="0"/>
              </w:rPr>
              <w:t xml:space="preserve">Intervenciones de protección que afectan a China que incluyen </w:t>
            </w:r>
            <w:r w:rsidDel="00000000" w:rsidR="00000000" w:rsidRPr="00000000">
              <w:rPr>
                <w:rFonts w:ascii="Calibri" w:cs="Calibri" w:eastAsia="Calibri" w:hAnsi="Calibri"/>
                <w:b w:val="1"/>
                <w:bCs w:val="1"/>
                <w:color w:val="000000"/>
                <w:sz w:val="22"/>
                <w:szCs w:val="22"/>
                <w:rtl w:val="0"/>
              </w:rPr>
              <w:t xml:space="preserve">varillas</w:t>
            </w:r>
            <w:r w:rsidDel="00000000" w:rsidR="00000000" w:rsidRPr="00000000">
              <w:rPr>
                <w:rFonts w:ascii="Calibri" w:cs="Calibri" w:eastAsia="Calibri" w:hAnsi="Calibri"/>
                <w:color w:val="000000"/>
                <w:sz w:val="22"/>
                <w:szCs w:val="22"/>
                <w:rtl w:val="0"/>
              </w:rPr>
              <w:t xml:space="preserve"> (HS 721420) </w:t>
            </w:r>
            <w:r w:rsidDel="00000000" w:rsidR="00000000" w:rsidRPr="00000000">
              <w:rPr>
                <w:rFonts w:ascii="Calibri" w:cs="Calibri" w:eastAsia="Calibri" w:hAnsi="Calibri"/>
                <w:b w:val="1"/>
                <w:bCs w:val="1"/>
                <w:color w:val="000000"/>
                <w:sz w:val="22"/>
                <w:szCs w:val="22"/>
                <w:rtl w:val="0"/>
              </w:rPr>
              <w:t xml:space="preserve">y siguen vigentes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2">
            <w:pPr>
              <w:spacing w:after="200" w:line="276" w:lineRule="auto"/>
              <w:jc w:val="center"/>
              <w:rPr>
                <w:rFonts w:ascii="Arial" w:cs="Arial" w:eastAsia="Arial" w:hAnsi="Arial"/>
                <w:sz w:val="22"/>
                <w:szCs w:val="22"/>
              </w:rPr>
            </w:pPr>
            <w:r w:rsidDel="00000000" w:rsidR="00000000" w:rsidRPr="00000000">
              <w:rPr>
                <w:color w:val="000000"/>
                <w:sz w:val="22"/>
                <w:szCs w:val="22"/>
                <w:rtl w:val="0"/>
              </w:rPr>
              <w:t xml:space="preserve">141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3">
            <w:pPr>
              <w:spacing w:after="200" w:line="276" w:lineRule="auto"/>
              <w:jc w:val="center"/>
              <w:rPr>
                <w:rFonts w:ascii="Arial" w:cs="Arial" w:eastAsia="Arial" w:hAnsi="Arial"/>
                <w:sz w:val="22"/>
                <w:szCs w:val="22"/>
              </w:rPr>
            </w:pPr>
            <w:r w:rsidDel="00000000" w:rsidR="00000000" w:rsidRPr="00000000">
              <w:rPr>
                <w:color w:val="000000"/>
                <w:sz w:val="22"/>
                <w:szCs w:val="22"/>
                <w:rtl w:val="0"/>
              </w:rPr>
              <w:t xml:space="preserve">107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2f0d9" w:val="clear"/>
            <w:tcMar>
              <w:top w:w="10.0" w:type="dxa"/>
              <w:left w:w="10.0" w:type="dxa"/>
              <w:bottom w:w="0.0" w:type="dxa"/>
              <w:right w:w="10.0" w:type="dxa"/>
            </w:tcMar>
            <w:vAlign w:val="center"/>
          </w:tcPr>
          <w:p w:rsidR="00000000" w:rsidDel="00000000" w:rsidP="00000000" w:rsidRDefault="00000000" w:rsidRPr="00000000" w14:paraId="000000D4">
            <w:pPr>
              <w:spacing w:after="0" w:line="240" w:lineRule="auto"/>
              <w:jc w:val="center"/>
              <w:rPr>
                <w:rFonts w:ascii="Arial" w:cs="Arial" w:eastAsia="Arial" w:hAnsi="Arial"/>
                <w:sz w:val="22"/>
                <w:szCs w:val="22"/>
              </w:rPr>
            </w:pPr>
            <w:r w:rsidDel="00000000" w:rsidR="00000000" w:rsidRPr="00000000">
              <w:rPr>
                <w:color w:val="000000"/>
                <w:sz w:val="22"/>
                <w:szCs w:val="22"/>
                <w:rtl w:val="0"/>
              </w:rPr>
              <w:t xml:space="preserve">248</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15.0" w:type="dxa"/>
              <w:left w:w="108.0" w:type="dxa"/>
              <w:bottom w:w="0.0" w:type="dxa"/>
              <w:right w:w="108.0" w:type="dxa"/>
            </w:tcMar>
            <w:vAlign w:val="center"/>
          </w:tcPr>
          <w:p w:rsidR="00000000" w:rsidDel="00000000" w:rsidP="00000000" w:rsidRDefault="00000000" w:rsidRPr="00000000" w14:paraId="000000D5">
            <w:pPr>
              <w:spacing w:after="0" w:line="24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Asimismo, 248 de estas intervenciones relacionadas con varillas de acero continúan vigentes, lo que demuestra que las preocupaciones internacionales respecto a las condiciones de competencia en este mercado persisten en el tiempo.</w:t>
      </w:r>
    </w:p>
    <w:p w:rsidR="00000000" w:rsidDel="00000000" w:rsidP="00000000" w:rsidRDefault="00000000" w:rsidRPr="00000000" w14:paraId="000000D9">
      <w:pPr>
        <w:rPr/>
      </w:pPr>
      <w:r w:rsidDel="00000000" w:rsidR="00000000" w:rsidRPr="00000000">
        <w:rPr>
          <w:rtl w:val="0"/>
        </w:rPr>
        <w:t xml:space="preserve">El patrón descrito se confirma al analizar la evolución histórica de las medidas antidumping aplicadas en el sector del hierro y el acero a nivel mundial. Como se observa en la Tabla, desde 2008 se han implementado 357 medidas antidumping que continúan vigentes en este sector, de las cuales 193, equivalentes al 54% del total, involucran a China.</w:t>
      </w:r>
    </w:p>
    <w:p w:rsidR="00000000" w:rsidDel="00000000" w:rsidP="00000000" w:rsidRDefault="00000000" w:rsidRPr="00000000" w14:paraId="000000DA">
      <w:pPr>
        <w:rPr>
          <w:b w:val="1"/>
          <w:bCs w:val="1"/>
          <w:sz w:val="22"/>
          <w:szCs w:val="22"/>
        </w:rPr>
      </w:pPr>
      <w:r w:rsidDel="00000000" w:rsidR="00000000" w:rsidRPr="00000000">
        <w:rPr>
          <w:b w:val="1"/>
          <w:bCs w:val="1"/>
          <w:sz w:val="22"/>
          <w:szCs w:val="22"/>
          <w:rtl w:val="0"/>
        </w:rPr>
        <w:t xml:space="preserve">Cantidad de medidas antidumping vigentes, según año de implementación para el sector de Hierro y Acero</w:t>
      </w:r>
    </w:p>
    <w:tbl>
      <w:tblPr>
        <w:tblStyle w:val="Table6"/>
        <w:tblW w:w="5380.0" w:type="dxa"/>
        <w:jc w:val="center"/>
        <w:tblLayout w:type="fixed"/>
        <w:tblLook w:val="0400"/>
      </w:tblPr>
      <w:tblGrid>
        <w:gridCol w:w="971"/>
        <w:gridCol w:w="1357"/>
        <w:gridCol w:w="1066"/>
        <w:gridCol w:w="1986"/>
        <w:tblGridChange w:id="0">
          <w:tblGrid>
            <w:gridCol w:w="971"/>
            <w:gridCol w:w="1357"/>
            <w:gridCol w:w="1066"/>
            <w:gridCol w:w="1986"/>
          </w:tblGrid>
        </w:tblGridChange>
      </w:tblGrid>
      <w:tr>
        <w:trPr>
          <w:cantSplit w:val="0"/>
          <w:trHeight w:val="945" w:hRule="atLeast"/>
          <w:tblHeader w:val="0"/>
        </w:trPr>
        <w:tc>
          <w:tcPr>
            <w:gridSpan w:val="4"/>
            <w:tcBorders>
              <w:top w:color="000000" w:space="0" w:sz="0" w:val="nil"/>
              <w:left w:color="000000" w:space="0" w:sz="0" w:val="nil"/>
              <w:bottom w:color="000000" w:space="0" w:sz="0" w:val="nil"/>
              <w:right w:color="000000" w:space="0" w:sz="0" w:val="nil"/>
            </w:tcBorders>
            <w:shd w:fill="3e7d7e" w:val="clear"/>
            <w:vAlign w:val="center"/>
          </w:tcPr>
          <w:p w:rsidR="00000000" w:rsidDel="00000000" w:rsidP="00000000" w:rsidRDefault="00000000" w:rsidRPr="00000000" w14:paraId="000000DB">
            <w:pPr>
              <w:spacing w:after="0" w:line="240" w:lineRule="auto"/>
              <w:jc w:val="center"/>
              <w:rPr>
                <w:b w:val="1"/>
                <w:bCs w:val="1"/>
                <w:color w:val="ffffff"/>
                <w:sz w:val="22"/>
                <w:szCs w:val="22"/>
                <w:highlight w:val="yellow"/>
              </w:rPr>
            </w:pPr>
            <w:r w:rsidDel="00000000" w:rsidR="00000000" w:rsidRPr="00000000">
              <w:rPr>
                <w:b w:val="1"/>
                <w:bCs w:val="1"/>
                <w:color w:val="ffffff"/>
                <w:sz w:val="22"/>
                <w:szCs w:val="22"/>
                <w:rtl w:val="0"/>
              </w:rPr>
              <w:t xml:space="preserve">Cantidad de medidas antidumping activas por año de implementación para el sector de Hierro y Acero</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DF">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Año</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E0">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Mundo</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E1">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China</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E2">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Porcentaje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3">
            <w:pPr>
              <w:spacing w:after="0" w:line="240" w:lineRule="auto"/>
              <w:jc w:val="center"/>
              <w:rPr>
                <w:color w:val="000000"/>
                <w:sz w:val="22"/>
                <w:szCs w:val="22"/>
              </w:rPr>
            </w:pPr>
            <w:r w:rsidDel="00000000" w:rsidR="00000000" w:rsidRPr="00000000">
              <w:rPr>
                <w:color w:val="000000"/>
                <w:sz w:val="22"/>
                <w:szCs w:val="22"/>
                <w:rtl w:val="0"/>
              </w:rPr>
              <w:t xml:space="preserve">2008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4">
            <w:pPr>
              <w:spacing w:after="0" w:line="240" w:lineRule="auto"/>
              <w:jc w:val="center"/>
              <w:rPr>
                <w:color w:val="000000"/>
                <w:sz w:val="22"/>
                <w:szCs w:val="22"/>
              </w:rPr>
            </w:pPr>
            <w:r w:rsidDel="00000000" w:rsidR="00000000" w:rsidRPr="00000000">
              <w:rPr>
                <w:color w:val="000000"/>
                <w:sz w:val="22"/>
                <w:szCs w:val="22"/>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5">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6">
            <w:pPr>
              <w:spacing w:after="0" w:line="240" w:lineRule="auto"/>
              <w:jc w:val="center"/>
              <w:rPr>
                <w:color w:val="000000"/>
                <w:sz w:val="22"/>
                <w:szCs w:val="22"/>
              </w:rPr>
            </w:pPr>
            <w:r w:rsidDel="00000000" w:rsidR="00000000" w:rsidRPr="00000000">
              <w:rPr>
                <w:color w:val="000000"/>
                <w:sz w:val="22"/>
                <w:szCs w:val="22"/>
                <w:rtl w:val="0"/>
              </w:rPr>
              <w:t xml:space="preserve">75%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E7">
            <w:pPr>
              <w:spacing w:after="0" w:line="240" w:lineRule="auto"/>
              <w:jc w:val="center"/>
              <w:rPr>
                <w:color w:val="000000"/>
                <w:sz w:val="22"/>
                <w:szCs w:val="22"/>
              </w:rPr>
            </w:pPr>
            <w:r w:rsidDel="00000000" w:rsidR="00000000" w:rsidRPr="00000000">
              <w:rPr>
                <w:color w:val="000000"/>
                <w:sz w:val="22"/>
                <w:szCs w:val="22"/>
                <w:rtl w:val="0"/>
              </w:rPr>
              <w:t xml:space="preserve">2009</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E8">
            <w:pPr>
              <w:spacing w:after="0" w:line="240" w:lineRule="auto"/>
              <w:jc w:val="center"/>
              <w:rPr>
                <w:color w:val="000000"/>
                <w:sz w:val="22"/>
                <w:szCs w:val="22"/>
              </w:rPr>
            </w:pPr>
            <w:r w:rsidDel="00000000" w:rsidR="00000000" w:rsidRPr="00000000">
              <w:rPr>
                <w:color w:val="000000"/>
                <w:sz w:val="22"/>
                <w:szCs w:val="22"/>
                <w:rtl w:val="0"/>
              </w:rPr>
              <w:t xml:space="preserve">13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E9">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EA">
            <w:pPr>
              <w:spacing w:after="0" w:line="240" w:lineRule="auto"/>
              <w:jc w:val="center"/>
              <w:rPr>
                <w:color w:val="000000"/>
                <w:sz w:val="22"/>
                <w:szCs w:val="22"/>
              </w:rPr>
            </w:pPr>
            <w:r w:rsidDel="00000000" w:rsidR="00000000" w:rsidRPr="00000000">
              <w:rPr>
                <w:color w:val="000000"/>
                <w:sz w:val="22"/>
                <w:szCs w:val="22"/>
                <w:rtl w:val="0"/>
              </w:rPr>
              <w:t xml:space="preserve">69%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B">
            <w:pPr>
              <w:spacing w:after="0" w:line="240" w:lineRule="auto"/>
              <w:jc w:val="center"/>
              <w:rPr>
                <w:color w:val="000000"/>
                <w:sz w:val="22"/>
                <w:szCs w:val="22"/>
              </w:rPr>
            </w:pPr>
            <w:r w:rsidDel="00000000" w:rsidR="00000000" w:rsidRPr="00000000">
              <w:rPr>
                <w:color w:val="000000"/>
                <w:sz w:val="22"/>
                <w:szCs w:val="22"/>
                <w:rtl w:val="0"/>
              </w:rPr>
              <w:t xml:space="preserve">2010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C">
            <w:pPr>
              <w:spacing w:after="0" w:line="240" w:lineRule="auto"/>
              <w:jc w:val="center"/>
              <w:rPr>
                <w:color w:val="000000"/>
                <w:sz w:val="22"/>
                <w:szCs w:val="22"/>
              </w:rPr>
            </w:pPr>
            <w:r w:rsidDel="00000000" w:rsidR="00000000" w:rsidRPr="00000000">
              <w:rPr>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D">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E">
            <w:pPr>
              <w:spacing w:after="0" w:line="240" w:lineRule="auto"/>
              <w:jc w:val="center"/>
              <w:rPr>
                <w:color w:val="000000"/>
                <w:sz w:val="22"/>
                <w:szCs w:val="22"/>
              </w:rPr>
            </w:pPr>
            <w:r w:rsidDel="00000000" w:rsidR="00000000" w:rsidRPr="00000000">
              <w:rPr>
                <w:color w:val="000000"/>
                <w:sz w:val="22"/>
                <w:szCs w:val="22"/>
                <w:rtl w:val="0"/>
              </w:rPr>
              <w:t xml:space="preserve">55%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EF">
            <w:pPr>
              <w:spacing w:after="0" w:line="240" w:lineRule="auto"/>
              <w:jc w:val="center"/>
              <w:rPr>
                <w:color w:val="000000"/>
                <w:sz w:val="22"/>
                <w:szCs w:val="22"/>
              </w:rPr>
            </w:pPr>
            <w:r w:rsidDel="00000000" w:rsidR="00000000" w:rsidRPr="00000000">
              <w:rPr>
                <w:color w:val="000000"/>
                <w:sz w:val="22"/>
                <w:szCs w:val="22"/>
                <w:rtl w:val="0"/>
              </w:rPr>
              <w:t xml:space="preserve">2011</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0">
            <w:pPr>
              <w:spacing w:after="0" w:line="240" w:lineRule="auto"/>
              <w:jc w:val="center"/>
              <w:rPr>
                <w:color w:val="000000"/>
                <w:sz w:val="22"/>
                <w:szCs w:val="22"/>
              </w:rPr>
            </w:pPr>
            <w:r w:rsidDel="00000000" w:rsidR="00000000" w:rsidRPr="00000000">
              <w:rPr>
                <w:color w:val="000000"/>
                <w:sz w:val="22"/>
                <w:szCs w:val="22"/>
                <w:rtl w:val="0"/>
              </w:rPr>
              <w:t xml:space="preserve">21</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1">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2">
            <w:pPr>
              <w:spacing w:after="0" w:line="240" w:lineRule="auto"/>
              <w:jc w:val="center"/>
              <w:rPr>
                <w:color w:val="000000"/>
                <w:sz w:val="22"/>
                <w:szCs w:val="22"/>
              </w:rPr>
            </w:pPr>
            <w:r w:rsidDel="00000000" w:rsidR="00000000" w:rsidRPr="00000000">
              <w:rPr>
                <w:color w:val="000000"/>
                <w:sz w:val="22"/>
                <w:szCs w:val="22"/>
                <w:rtl w:val="0"/>
              </w:rPr>
              <w:t xml:space="preserve">33%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3">
            <w:pPr>
              <w:spacing w:after="0" w:line="240" w:lineRule="auto"/>
              <w:jc w:val="center"/>
              <w:rPr>
                <w:color w:val="000000"/>
                <w:sz w:val="22"/>
                <w:szCs w:val="22"/>
              </w:rPr>
            </w:pPr>
            <w:r w:rsidDel="00000000" w:rsidR="00000000" w:rsidRPr="00000000">
              <w:rPr>
                <w:color w:val="000000"/>
                <w:sz w:val="22"/>
                <w:szCs w:val="22"/>
                <w:rtl w:val="0"/>
              </w:rPr>
              <w:t xml:space="preserve">2012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4">
            <w:pPr>
              <w:spacing w:after="0" w:line="240" w:lineRule="auto"/>
              <w:jc w:val="center"/>
              <w:rPr>
                <w:color w:val="000000"/>
                <w:sz w:val="22"/>
                <w:szCs w:val="22"/>
              </w:rPr>
            </w:pPr>
            <w:r w:rsidDel="00000000" w:rsidR="00000000" w:rsidRPr="00000000">
              <w:rPr>
                <w:color w:val="000000"/>
                <w:sz w:val="22"/>
                <w:szCs w:val="22"/>
                <w:rtl w:val="0"/>
              </w:rPr>
              <w:t xml:space="preserve">31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5">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6">
            <w:pPr>
              <w:spacing w:after="0" w:line="240" w:lineRule="auto"/>
              <w:jc w:val="center"/>
              <w:rPr>
                <w:color w:val="000000"/>
                <w:sz w:val="22"/>
                <w:szCs w:val="22"/>
              </w:rPr>
            </w:pPr>
            <w:r w:rsidDel="00000000" w:rsidR="00000000" w:rsidRPr="00000000">
              <w:rPr>
                <w:color w:val="000000"/>
                <w:sz w:val="22"/>
                <w:szCs w:val="22"/>
                <w:rtl w:val="0"/>
              </w:rPr>
              <w:t xml:space="preserve">35%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7">
            <w:pPr>
              <w:spacing w:after="0" w:line="240" w:lineRule="auto"/>
              <w:jc w:val="center"/>
              <w:rPr>
                <w:color w:val="000000"/>
                <w:sz w:val="22"/>
                <w:szCs w:val="22"/>
              </w:rPr>
            </w:pPr>
            <w:r w:rsidDel="00000000" w:rsidR="00000000" w:rsidRPr="00000000">
              <w:rPr>
                <w:color w:val="000000"/>
                <w:sz w:val="22"/>
                <w:szCs w:val="22"/>
                <w:rtl w:val="0"/>
              </w:rPr>
              <w:t xml:space="preserve">2013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8">
            <w:pPr>
              <w:spacing w:after="0" w:line="240" w:lineRule="auto"/>
              <w:jc w:val="center"/>
              <w:rPr>
                <w:color w:val="000000"/>
                <w:sz w:val="22"/>
                <w:szCs w:val="22"/>
              </w:rPr>
            </w:pPr>
            <w:r w:rsidDel="00000000" w:rsidR="00000000" w:rsidRPr="00000000">
              <w:rPr>
                <w:color w:val="000000"/>
                <w:sz w:val="22"/>
                <w:szCs w:val="22"/>
                <w:rtl w:val="0"/>
              </w:rPr>
              <w:t xml:space="preserve">30</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9">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A">
            <w:pPr>
              <w:spacing w:after="0" w:line="240" w:lineRule="auto"/>
              <w:jc w:val="center"/>
              <w:rPr>
                <w:color w:val="000000"/>
                <w:sz w:val="22"/>
                <w:szCs w:val="22"/>
              </w:rPr>
            </w:pPr>
            <w:r w:rsidDel="00000000" w:rsidR="00000000" w:rsidRPr="00000000">
              <w:rPr>
                <w:color w:val="000000"/>
                <w:sz w:val="22"/>
                <w:szCs w:val="22"/>
                <w:rtl w:val="0"/>
              </w:rPr>
              <w:t xml:space="preserve">77%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B">
            <w:pPr>
              <w:spacing w:after="0" w:line="240" w:lineRule="auto"/>
              <w:jc w:val="center"/>
              <w:rPr>
                <w:color w:val="000000"/>
                <w:sz w:val="22"/>
                <w:szCs w:val="22"/>
              </w:rPr>
            </w:pPr>
            <w:r w:rsidDel="00000000" w:rsidR="00000000" w:rsidRPr="00000000">
              <w:rPr>
                <w:color w:val="000000"/>
                <w:sz w:val="22"/>
                <w:szCs w:val="22"/>
                <w:rtl w:val="0"/>
              </w:rPr>
              <w:t xml:space="preserve">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C">
            <w:pPr>
              <w:spacing w:after="0" w:line="240" w:lineRule="auto"/>
              <w:jc w:val="center"/>
              <w:rPr>
                <w:color w:val="000000"/>
                <w:sz w:val="22"/>
                <w:szCs w:val="22"/>
              </w:rPr>
            </w:pPr>
            <w:r w:rsidDel="00000000" w:rsidR="00000000" w:rsidRPr="00000000">
              <w:rPr>
                <w:color w:val="000000"/>
                <w:sz w:val="22"/>
                <w:szCs w:val="22"/>
                <w:rtl w:val="0"/>
              </w:rPr>
              <w:t xml:space="preserve">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D">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E">
            <w:pPr>
              <w:spacing w:after="0" w:line="240" w:lineRule="auto"/>
              <w:jc w:val="center"/>
              <w:rPr>
                <w:color w:val="000000"/>
                <w:sz w:val="22"/>
                <w:szCs w:val="22"/>
              </w:rPr>
            </w:pPr>
            <w:r w:rsidDel="00000000" w:rsidR="00000000" w:rsidRPr="00000000">
              <w:rPr>
                <w:color w:val="000000"/>
                <w:sz w:val="22"/>
                <w:szCs w:val="22"/>
                <w:rtl w:val="0"/>
              </w:rPr>
              <w:t xml:space="preserve">50%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0FF">
            <w:pPr>
              <w:spacing w:after="0" w:line="240" w:lineRule="auto"/>
              <w:jc w:val="center"/>
              <w:rPr>
                <w:color w:val="000000"/>
                <w:sz w:val="22"/>
                <w:szCs w:val="22"/>
              </w:rPr>
            </w:pPr>
            <w:r w:rsidDel="00000000" w:rsidR="00000000" w:rsidRPr="00000000">
              <w:rPr>
                <w:color w:val="000000"/>
                <w:sz w:val="22"/>
                <w:szCs w:val="22"/>
                <w:rtl w:val="0"/>
              </w:rPr>
              <w:t xml:space="preserve">2015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0">
            <w:pPr>
              <w:spacing w:after="0" w:line="240" w:lineRule="auto"/>
              <w:jc w:val="center"/>
              <w:rPr>
                <w:color w:val="000000"/>
                <w:sz w:val="22"/>
                <w:szCs w:val="22"/>
              </w:rPr>
            </w:pPr>
            <w:r w:rsidDel="00000000" w:rsidR="00000000" w:rsidRPr="00000000">
              <w:rPr>
                <w:color w:val="000000"/>
                <w:sz w:val="22"/>
                <w:szCs w:val="22"/>
                <w:rtl w:val="0"/>
              </w:rPr>
              <w:t xml:space="preserve">25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1">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2">
            <w:pPr>
              <w:spacing w:after="0" w:line="240" w:lineRule="auto"/>
              <w:jc w:val="center"/>
              <w:rPr>
                <w:color w:val="000000"/>
                <w:sz w:val="22"/>
                <w:szCs w:val="22"/>
              </w:rPr>
            </w:pPr>
            <w:r w:rsidDel="00000000" w:rsidR="00000000" w:rsidRPr="00000000">
              <w:rPr>
                <w:color w:val="000000"/>
                <w:sz w:val="22"/>
                <w:szCs w:val="22"/>
                <w:rtl w:val="0"/>
              </w:rPr>
              <w:t xml:space="preserve">60%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3">
            <w:pPr>
              <w:spacing w:after="0" w:line="240" w:lineRule="auto"/>
              <w:jc w:val="center"/>
              <w:rPr>
                <w:color w:val="000000"/>
                <w:sz w:val="22"/>
                <w:szCs w:val="22"/>
              </w:rPr>
            </w:pPr>
            <w:r w:rsidDel="00000000" w:rsidR="00000000" w:rsidRPr="00000000">
              <w:rPr>
                <w:color w:val="000000"/>
                <w:sz w:val="22"/>
                <w:szCs w:val="22"/>
                <w:rtl w:val="0"/>
              </w:rPr>
              <w:t xml:space="preserve">2016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4">
            <w:pPr>
              <w:spacing w:after="0" w:line="240" w:lineRule="auto"/>
              <w:jc w:val="center"/>
              <w:rPr>
                <w:color w:val="000000"/>
                <w:sz w:val="22"/>
                <w:szCs w:val="22"/>
              </w:rPr>
            </w:pPr>
            <w:r w:rsidDel="00000000" w:rsidR="00000000" w:rsidRPr="00000000">
              <w:rPr>
                <w:color w:val="000000"/>
                <w:sz w:val="22"/>
                <w:szCs w:val="22"/>
                <w:rtl w:val="0"/>
              </w:rPr>
              <w:t xml:space="preserve">37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5">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6">
            <w:pPr>
              <w:spacing w:after="0" w:line="240" w:lineRule="auto"/>
              <w:jc w:val="center"/>
              <w:rPr>
                <w:color w:val="000000"/>
                <w:sz w:val="22"/>
                <w:szCs w:val="22"/>
              </w:rPr>
            </w:pPr>
            <w:r w:rsidDel="00000000" w:rsidR="00000000" w:rsidRPr="00000000">
              <w:rPr>
                <w:color w:val="000000"/>
                <w:sz w:val="22"/>
                <w:szCs w:val="22"/>
                <w:rtl w:val="0"/>
              </w:rPr>
              <w:t xml:space="preserve">59%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7">
            <w:pPr>
              <w:spacing w:after="0" w:line="240" w:lineRule="auto"/>
              <w:jc w:val="center"/>
              <w:rPr>
                <w:color w:val="000000"/>
                <w:sz w:val="22"/>
                <w:szCs w:val="22"/>
              </w:rPr>
            </w:pPr>
            <w:r w:rsidDel="00000000" w:rsidR="00000000" w:rsidRPr="00000000">
              <w:rPr>
                <w:color w:val="000000"/>
                <w:sz w:val="22"/>
                <w:szCs w:val="22"/>
                <w:rtl w:val="0"/>
              </w:rPr>
              <w:t xml:space="preserve">2017</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8">
            <w:pPr>
              <w:spacing w:after="0" w:line="240" w:lineRule="auto"/>
              <w:jc w:val="center"/>
              <w:rPr>
                <w:color w:val="000000"/>
                <w:sz w:val="22"/>
                <w:szCs w:val="22"/>
              </w:rPr>
            </w:pPr>
            <w:r w:rsidDel="00000000" w:rsidR="00000000" w:rsidRPr="00000000">
              <w:rPr>
                <w:color w:val="000000"/>
                <w:sz w:val="22"/>
                <w:szCs w:val="22"/>
                <w:rtl w:val="0"/>
              </w:rPr>
              <w:t xml:space="preserve">28</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9">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A">
            <w:pPr>
              <w:spacing w:after="0" w:line="240" w:lineRule="auto"/>
              <w:jc w:val="center"/>
              <w:rPr>
                <w:color w:val="000000"/>
                <w:sz w:val="22"/>
                <w:szCs w:val="22"/>
              </w:rPr>
            </w:pPr>
            <w:r w:rsidDel="00000000" w:rsidR="00000000" w:rsidRPr="00000000">
              <w:rPr>
                <w:color w:val="000000"/>
                <w:sz w:val="22"/>
                <w:szCs w:val="22"/>
                <w:rtl w:val="0"/>
              </w:rPr>
              <w:t xml:space="preserve">43%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B">
            <w:pPr>
              <w:spacing w:after="0" w:line="240" w:lineRule="auto"/>
              <w:jc w:val="center"/>
              <w:rPr>
                <w:color w:val="000000"/>
                <w:sz w:val="22"/>
                <w:szCs w:val="22"/>
              </w:rPr>
            </w:pPr>
            <w:r w:rsidDel="00000000" w:rsidR="00000000" w:rsidRPr="00000000">
              <w:rPr>
                <w:color w:val="000000"/>
                <w:sz w:val="22"/>
                <w:szCs w:val="22"/>
                <w:rtl w:val="0"/>
              </w:rPr>
              <w:t xml:space="preserve">2018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C">
            <w:pPr>
              <w:spacing w:after="0" w:line="240" w:lineRule="auto"/>
              <w:jc w:val="center"/>
              <w:rPr>
                <w:color w:val="000000"/>
                <w:sz w:val="22"/>
                <w:szCs w:val="22"/>
              </w:rPr>
            </w:pPr>
            <w:r w:rsidDel="00000000" w:rsidR="00000000" w:rsidRPr="00000000">
              <w:rPr>
                <w:color w:val="000000"/>
                <w:sz w:val="22"/>
                <w:szCs w:val="22"/>
                <w:rtl w:val="0"/>
              </w:rPr>
              <w:t xml:space="preserve">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D">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E">
            <w:pPr>
              <w:spacing w:after="0" w:line="240" w:lineRule="auto"/>
              <w:jc w:val="center"/>
              <w:rPr>
                <w:color w:val="000000"/>
                <w:sz w:val="22"/>
                <w:szCs w:val="22"/>
              </w:rPr>
            </w:pPr>
            <w:r w:rsidDel="00000000" w:rsidR="00000000" w:rsidRPr="00000000">
              <w:rPr>
                <w:color w:val="000000"/>
                <w:sz w:val="22"/>
                <w:szCs w:val="22"/>
                <w:rtl w:val="0"/>
              </w:rPr>
              <w:t xml:space="preserve">71%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0F">
            <w:pPr>
              <w:spacing w:after="0" w:line="240" w:lineRule="auto"/>
              <w:jc w:val="center"/>
              <w:rPr>
                <w:color w:val="000000"/>
                <w:sz w:val="22"/>
                <w:szCs w:val="22"/>
              </w:rPr>
            </w:pPr>
            <w:r w:rsidDel="00000000" w:rsidR="00000000" w:rsidRPr="00000000">
              <w:rPr>
                <w:color w:val="000000"/>
                <w:sz w:val="22"/>
                <w:szCs w:val="22"/>
                <w:rtl w:val="0"/>
              </w:rPr>
              <w:t xml:space="preserve">2019</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0">
            <w:pPr>
              <w:spacing w:after="0" w:line="240" w:lineRule="auto"/>
              <w:jc w:val="center"/>
              <w:rPr>
                <w:color w:val="000000"/>
                <w:sz w:val="22"/>
                <w:szCs w:val="22"/>
              </w:rPr>
            </w:pPr>
            <w:r w:rsidDel="00000000" w:rsidR="00000000" w:rsidRPr="00000000">
              <w:rPr>
                <w:color w:val="000000"/>
                <w:sz w:val="22"/>
                <w:szCs w:val="22"/>
                <w:rtl w:val="0"/>
              </w:rPr>
              <w:t xml:space="preserve">13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1">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2">
            <w:pPr>
              <w:spacing w:after="0" w:line="240" w:lineRule="auto"/>
              <w:jc w:val="center"/>
              <w:rPr>
                <w:color w:val="000000"/>
                <w:sz w:val="22"/>
                <w:szCs w:val="22"/>
              </w:rPr>
            </w:pPr>
            <w:r w:rsidDel="00000000" w:rsidR="00000000" w:rsidRPr="00000000">
              <w:rPr>
                <w:color w:val="000000"/>
                <w:sz w:val="22"/>
                <w:szCs w:val="22"/>
                <w:rtl w:val="0"/>
              </w:rPr>
              <w:t xml:space="preserve">53%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3">
            <w:pPr>
              <w:spacing w:after="0" w:line="240" w:lineRule="auto"/>
              <w:jc w:val="center"/>
              <w:rPr>
                <w:color w:val="000000"/>
                <w:sz w:val="22"/>
                <w:szCs w:val="22"/>
              </w:rPr>
            </w:pPr>
            <w:r w:rsidDel="00000000" w:rsidR="00000000" w:rsidRPr="00000000">
              <w:rPr>
                <w:color w:val="000000"/>
                <w:sz w:val="22"/>
                <w:szCs w:val="22"/>
                <w:rtl w:val="0"/>
              </w:rPr>
              <w:t xml:space="preserve">2020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4">
            <w:pPr>
              <w:spacing w:after="0" w:line="240" w:lineRule="auto"/>
              <w:jc w:val="center"/>
              <w:rPr>
                <w:color w:val="000000"/>
                <w:sz w:val="22"/>
                <w:szCs w:val="22"/>
              </w:rPr>
            </w:pPr>
            <w:r w:rsidDel="00000000" w:rsidR="00000000" w:rsidRPr="00000000">
              <w:rPr>
                <w:color w:val="000000"/>
                <w:sz w:val="22"/>
                <w:szCs w:val="22"/>
                <w:rtl w:val="0"/>
              </w:rPr>
              <w:t xml:space="preserve">15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5">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6">
            <w:pPr>
              <w:spacing w:after="0" w:line="240" w:lineRule="auto"/>
              <w:jc w:val="center"/>
              <w:rPr>
                <w:color w:val="000000"/>
                <w:sz w:val="22"/>
                <w:szCs w:val="22"/>
              </w:rPr>
            </w:pPr>
            <w:r w:rsidDel="00000000" w:rsidR="00000000" w:rsidRPr="00000000">
              <w:rPr>
                <w:color w:val="000000"/>
                <w:sz w:val="22"/>
                <w:szCs w:val="22"/>
                <w:rtl w:val="0"/>
              </w:rPr>
              <w:t xml:space="preserve">47%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7">
            <w:pPr>
              <w:spacing w:after="0" w:line="240" w:lineRule="auto"/>
              <w:jc w:val="center"/>
              <w:rPr>
                <w:color w:val="000000"/>
                <w:sz w:val="22"/>
                <w:szCs w:val="22"/>
              </w:rPr>
            </w:pPr>
            <w:r w:rsidDel="00000000" w:rsidR="00000000" w:rsidRPr="00000000">
              <w:rPr>
                <w:color w:val="000000"/>
                <w:sz w:val="22"/>
                <w:szCs w:val="22"/>
                <w:rtl w:val="0"/>
              </w:rPr>
              <w:t xml:space="preserve">2021</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8">
            <w:pPr>
              <w:spacing w:after="0" w:line="240" w:lineRule="auto"/>
              <w:jc w:val="center"/>
              <w:rPr>
                <w:color w:val="000000"/>
                <w:sz w:val="22"/>
                <w:szCs w:val="22"/>
              </w:rPr>
            </w:pPr>
            <w:r w:rsidDel="00000000" w:rsidR="00000000" w:rsidRPr="00000000">
              <w:rPr>
                <w:color w:val="000000"/>
                <w:sz w:val="22"/>
                <w:szCs w:val="22"/>
                <w:rtl w:val="0"/>
              </w:rPr>
              <w:t xml:space="preserve">28</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9">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A">
            <w:pPr>
              <w:spacing w:after="0" w:line="240" w:lineRule="auto"/>
              <w:jc w:val="center"/>
              <w:rPr>
                <w:color w:val="000000"/>
                <w:sz w:val="22"/>
                <w:szCs w:val="22"/>
              </w:rPr>
            </w:pPr>
            <w:r w:rsidDel="00000000" w:rsidR="00000000" w:rsidRPr="00000000">
              <w:rPr>
                <w:color w:val="000000"/>
                <w:sz w:val="22"/>
                <w:szCs w:val="22"/>
                <w:rtl w:val="0"/>
              </w:rPr>
              <w:t xml:space="preserve">46%</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B">
            <w:pPr>
              <w:spacing w:after="0" w:line="240" w:lineRule="auto"/>
              <w:jc w:val="center"/>
              <w:rPr>
                <w:color w:val="000000"/>
                <w:sz w:val="22"/>
                <w:szCs w:val="22"/>
              </w:rPr>
            </w:pPr>
            <w:r w:rsidDel="00000000" w:rsidR="00000000" w:rsidRPr="00000000">
              <w:rPr>
                <w:color w:val="000000"/>
                <w:sz w:val="22"/>
                <w:szCs w:val="22"/>
                <w:rtl w:val="0"/>
              </w:rPr>
              <w:t xml:space="preserve">2022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C">
            <w:pPr>
              <w:spacing w:after="0" w:line="240" w:lineRule="auto"/>
              <w:jc w:val="center"/>
              <w:rPr>
                <w:color w:val="000000"/>
                <w:sz w:val="22"/>
                <w:szCs w:val="22"/>
              </w:rPr>
            </w:pPr>
            <w:r w:rsidDel="00000000" w:rsidR="00000000" w:rsidRPr="00000000">
              <w:rPr>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D">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E">
            <w:pPr>
              <w:spacing w:after="0" w:line="240" w:lineRule="auto"/>
              <w:jc w:val="center"/>
              <w:rPr>
                <w:color w:val="000000"/>
                <w:sz w:val="22"/>
                <w:szCs w:val="22"/>
              </w:rPr>
            </w:pPr>
            <w:r w:rsidDel="00000000" w:rsidR="00000000" w:rsidRPr="00000000">
              <w:rPr>
                <w:color w:val="000000"/>
                <w:sz w:val="22"/>
                <w:szCs w:val="22"/>
                <w:rtl w:val="0"/>
              </w:rPr>
              <w:t xml:space="preserve">45%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1F">
            <w:pPr>
              <w:spacing w:after="0" w:line="240" w:lineRule="auto"/>
              <w:jc w:val="center"/>
              <w:rPr>
                <w:color w:val="000000"/>
                <w:sz w:val="22"/>
                <w:szCs w:val="22"/>
              </w:rPr>
            </w:pPr>
            <w:r w:rsidDel="00000000" w:rsidR="00000000" w:rsidRPr="00000000">
              <w:rPr>
                <w:color w:val="000000"/>
                <w:sz w:val="22"/>
                <w:szCs w:val="22"/>
                <w:rtl w:val="0"/>
              </w:rPr>
              <w:t xml:space="preserve">2023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20">
            <w:pPr>
              <w:spacing w:after="0" w:line="240" w:lineRule="auto"/>
              <w:jc w:val="center"/>
              <w:rPr>
                <w:color w:val="000000"/>
                <w:sz w:val="22"/>
                <w:szCs w:val="22"/>
              </w:rPr>
            </w:pPr>
            <w:r w:rsidDel="00000000" w:rsidR="00000000" w:rsidRPr="00000000">
              <w:rPr>
                <w:color w:val="000000"/>
                <w:sz w:val="22"/>
                <w:szCs w:val="22"/>
                <w:rtl w:val="0"/>
              </w:rPr>
              <w:t xml:space="preserve">15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21">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22">
            <w:pPr>
              <w:spacing w:after="0" w:line="240" w:lineRule="auto"/>
              <w:jc w:val="center"/>
              <w:rPr>
                <w:color w:val="000000"/>
                <w:sz w:val="22"/>
                <w:szCs w:val="22"/>
              </w:rPr>
            </w:pPr>
            <w:r w:rsidDel="00000000" w:rsidR="00000000" w:rsidRPr="00000000">
              <w:rPr>
                <w:color w:val="000000"/>
                <w:sz w:val="22"/>
                <w:szCs w:val="22"/>
                <w:rtl w:val="0"/>
              </w:rPr>
              <w:t xml:space="preserve">53%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3">
            <w:pPr>
              <w:spacing w:after="0" w:line="240" w:lineRule="auto"/>
              <w:jc w:val="center"/>
              <w:rPr>
                <w:color w:val="000000"/>
                <w:sz w:val="22"/>
                <w:szCs w:val="22"/>
              </w:rPr>
            </w:pPr>
            <w:r w:rsidDel="00000000" w:rsidR="00000000" w:rsidRPr="00000000">
              <w:rPr>
                <w:color w:val="000000"/>
                <w:sz w:val="22"/>
                <w:szCs w:val="22"/>
                <w:rtl w:val="0"/>
              </w:rPr>
              <w:t xml:space="preserve">2024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4">
            <w:pPr>
              <w:spacing w:after="0" w:line="240" w:lineRule="auto"/>
              <w:jc w:val="center"/>
              <w:rPr>
                <w:color w:val="000000"/>
                <w:sz w:val="22"/>
                <w:szCs w:val="22"/>
              </w:rPr>
            </w:pPr>
            <w:r w:rsidDel="00000000" w:rsidR="00000000" w:rsidRPr="00000000">
              <w:rPr>
                <w:color w:val="000000"/>
                <w:sz w:val="22"/>
                <w:szCs w:val="22"/>
                <w:rtl w:val="0"/>
              </w:rPr>
              <w:t xml:space="preserve">10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5">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6">
            <w:pPr>
              <w:spacing w:after="0" w:line="240" w:lineRule="auto"/>
              <w:jc w:val="center"/>
              <w:rPr>
                <w:color w:val="000000"/>
                <w:sz w:val="22"/>
                <w:szCs w:val="22"/>
              </w:rPr>
            </w:pPr>
            <w:r w:rsidDel="00000000" w:rsidR="00000000" w:rsidRPr="00000000">
              <w:rPr>
                <w:color w:val="000000"/>
                <w:sz w:val="22"/>
                <w:szCs w:val="22"/>
                <w:rtl w:val="0"/>
              </w:rPr>
              <w:t xml:space="preserve">40%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27">
            <w:pPr>
              <w:spacing w:after="0" w:line="240" w:lineRule="auto"/>
              <w:jc w:val="center"/>
              <w:rPr>
                <w:color w:val="000000"/>
                <w:sz w:val="22"/>
                <w:szCs w:val="22"/>
              </w:rPr>
            </w:pPr>
            <w:r w:rsidDel="00000000" w:rsidR="00000000" w:rsidRPr="00000000">
              <w:rPr>
                <w:color w:val="000000"/>
                <w:sz w:val="22"/>
                <w:szCs w:val="22"/>
                <w:rtl w:val="0"/>
              </w:rPr>
              <w:t xml:space="preserve">2025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28">
            <w:pPr>
              <w:spacing w:after="0" w:line="240" w:lineRule="auto"/>
              <w:jc w:val="center"/>
              <w:rPr>
                <w:color w:val="000000"/>
                <w:sz w:val="22"/>
                <w:szCs w:val="22"/>
              </w:rPr>
            </w:pPr>
            <w:r w:rsidDel="00000000" w:rsidR="00000000" w:rsidRPr="00000000">
              <w:rPr>
                <w:color w:val="000000"/>
                <w:sz w:val="22"/>
                <w:szCs w:val="22"/>
                <w:rtl w:val="0"/>
              </w:rPr>
              <w:t xml:space="preserve">25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29">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2A">
            <w:pPr>
              <w:spacing w:after="0" w:line="240" w:lineRule="auto"/>
              <w:jc w:val="center"/>
              <w:rPr>
                <w:color w:val="000000"/>
                <w:sz w:val="22"/>
                <w:szCs w:val="22"/>
              </w:rPr>
            </w:pPr>
            <w:r w:rsidDel="00000000" w:rsidR="00000000" w:rsidRPr="00000000">
              <w:rPr>
                <w:color w:val="000000"/>
                <w:sz w:val="22"/>
                <w:szCs w:val="22"/>
                <w:rtl w:val="0"/>
              </w:rPr>
              <w:t xml:space="preserve">68%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B">
            <w:pPr>
              <w:spacing w:after="0" w:line="240" w:lineRule="auto"/>
              <w:jc w:val="center"/>
              <w:rPr>
                <w:color w:val="000000"/>
                <w:sz w:val="22"/>
                <w:szCs w:val="22"/>
              </w:rPr>
            </w:pPr>
            <w:r w:rsidDel="00000000" w:rsidR="00000000" w:rsidRPr="00000000">
              <w:rPr>
                <w:color w:val="000000"/>
                <w:sz w:val="22"/>
                <w:szCs w:val="22"/>
                <w:rtl w:val="0"/>
              </w:rPr>
              <w:t xml:space="preserve">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C">
            <w:pPr>
              <w:spacing w:after="0" w:line="240" w:lineRule="auto"/>
              <w:jc w:val="center"/>
              <w:rPr>
                <w:color w:val="000000"/>
                <w:sz w:val="22"/>
                <w:szCs w:val="22"/>
              </w:rPr>
            </w:pPr>
            <w:r w:rsidDel="00000000" w:rsidR="00000000" w:rsidRPr="00000000">
              <w:rPr>
                <w:color w:val="000000"/>
                <w:sz w:val="22"/>
                <w:szCs w:val="22"/>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D">
            <w:pPr>
              <w:spacing w:after="0" w:line="240" w:lineRule="auto"/>
              <w:jc w:val="center"/>
              <w:rPr>
                <w:color w:val="000000"/>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E">
            <w:pPr>
              <w:spacing w:after="0" w:line="240" w:lineRule="auto"/>
              <w:jc w:val="center"/>
              <w:rPr>
                <w:color w:val="000000"/>
                <w:sz w:val="22"/>
                <w:szCs w:val="22"/>
              </w:rPr>
            </w:pPr>
            <w:r w:rsidDel="00000000" w:rsidR="00000000" w:rsidRPr="00000000">
              <w:rPr>
                <w:color w:val="000000"/>
                <w:sz w:val="22"/>
                <w:szCs w:val="22"/>
                <w:rtl w:val="0"/>
              </w:rPr>
              <w:t xml:space="preserve">100%</w:t>
            </w:r>
          </w:p>
        </w:tc>
      </w:tr>
      <w:tr>
        <w:trPr>
          <w:cantSplit w:val="0"/>
          <w:trHeight w:val="315" w:hRule="atLeast"/>
          <w:tblHeader w:val="0"/>
        </w:trPr>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2F">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Total</w:t>
            </w:r>
          </w:p>
        </w:tc>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30">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355</w:t>
            </w:r>
          </w:p>
        </w:tc>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31">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191</w:t>
            </w:r>
          </w:p>
        </w:tc>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32">
            <w:pPr>
              <w:spacing w:after="0" w:line="240" w:lineRule="auto"/>
              <w:jc w:val="center"/>
              <w:rPr>
                <w:b w:val="1"/>
                <w:bCs w:val="1"/>
                <w:color w:val="000000"/>
                <w:sz w:val="22"/>
                <w:szCs w:val="22"/>
              </w:rPr>
            </w:pPr>
            <w:r w:rsidDel="00000000" w:rsidR="00000000" w:rsidRPr="00000000">
              <w:rPr>
                <w:b w:val="1"/>
                <w:bCs w:val="1"/>
                <w:color w:val="000000"/>
                <w:sz w:val="22"/>
                <w:szCs w:val="22"/>
                <w:rtl w:val="0"/>
              </w:rPr>
              <w:t xml:space="preserve">54%</w:t>
            </w:r>
          </w:p>
        </w:tc>
      </w:tr>
    </w:tbl>
    <w:p w:rsidR="00000000" w:rsidDel="00000000" w:rsidP="00000000" w:rsidRDefault="00000000" w:rsidRPr="00000000" w14:paraId="00000133">
      <w:pPr>
        <w:rPr>
          <w:i w:val="1"/>
          <w:iCs w:val="1"/>
          <w:sz w:val="22"/>
          <w:szCs w:val="22"/>
        </w:rPr>
      </w:pPr>
      <w:r w:rsidDel="00000000" w:rsidR="00000000" w:rsidRPr="00000000">
        <w:rPr>
          <w:i w:val="1"/>
          <w:iCs w:val="1"/>
          <w:sz w:val="22"/>
          <w:szCs w:val="22"/>
          <w:rtl w:val="0"/>
        </w:rPr>
        <w:t xml:space="preserve">Fuente: Global Trade Alert, datos a Marzo 2026  </w:t>
      </w:r>
    </w:p>
    <w:p w:rsidR="00000000" w:rsidDel="00000000" w:rsidP="00000000" w:rsidRDefault="00000000" w:rsidRPr="00000000" w14:paraId="00000134">
      <w:pPr>
        <w:rPr/>
      </w:pPr>
      <w:r w:rsidDel="00000000" w:rsidR="00000000" w:rsidRPr="00000000">
        <w:rPr>
          <w:rtl w:val="0"/>
        </w:rPr>
        <w:t xml:space="preserve">Es importante destacar que estas cifras corresponden únicamente a medidas que permanecen activas, por lo que no incluyen aquellas investigaciones o medidas que fueron posteriormente eliminadas o expiraron. En consecuencia, el número total de investigaciones antidumping iniciadas a nivel global es aún mayor.</w:t>
      </w:r>
    </w:p>
    <w:p w:rsidR="00000000" w:rsidDel="00000000" w:rsidP="00000000" w:rsidRDefault="00000000" w:rsidRPr="00000000" w14:paraId="00000135">
      <w:pPr>
        <w:rPr/>
      </w:pPr>
      <w:r w:rsidDel="00000000" w:rsidR="00000000" w:rsidRPr="00000000">
        <w:rPr>
          <w:rtl w:val="0"/>
        </w:rPr>
        <w:t xml:space="preserve">Además, la presencia de China en estas medidas ha sido persistente a lo largo del tiempo. En la mayoría de los años analizados, las investigaciones dirigidas contra China representan al menos el 50% de todas las medidas implementadas, y en algunos años esta proporción alcanza niveles considerablemente mayores.</w:t>
      </w:r>
    </w:p>
    <w:p w:rsidR="00000000" w:rsidDel="00000000" w:rsidP="00000000" w:rsidRDefault="00000000" w:rsidRPr="00000000" w14:paraId="00000136">
      <w:pPr>
        <w:rPr/>
      </w:pPr>
      <w:r w:rsidDel="00000000" w:rsidR="00000000" w:rsidRPr="00000000">
        <w:rPr>
          <w:rtl w:val="0"/>
        </w:rPr>
        <w:t xml:space="preserve">En conjunto, esta evidencia demuestra que las preocupaciones sobre posibles prácticas de dumping en el sector siderúrgico chino no constituyen episodios aislados, sino un fenómeno recurrente reconocido por múltiples jurisdicciones a nivel internacional. La persistencia y magnitud de estas medidas reflejan las distorsiones estructurales que continúan caracterizando el comercio mundial del acero.</w:t>
      </w:r>
    </w:p>
    <w:p w:rsidR="00000000" w:rsidDel="00000000" w:rsidP="00000000" w:rsidRDefault="00000000" w:rsidRPr="00000000" w14:paraId="00000137">
      <w:pPr>
        <w:rPr>
          <w:b w:val="1"/>
          <w:bCs w:val="1"/>
        </w:rPr>
      </w:pPr>
      <w:r w:rsidDel="00000000" w:rsidR="00000000" w:rsidRPr="00000000">
        <w:rPr>
          <w:rtl w:val="0"/>
        </w:rPr>
      </w:r>
    </w:p>
    <w:p w:rsidR="00000000" w:rsidDel="00000000" w:rsidP="00000000" w:rsidRDefault="00000000" w:rsidRPr="00000000" w14:paraId="00000138">
      <w:pPr>
        <w:pStyle w:val="Heading2"/>
        <w:rPr/>
      </w:pPr>
      <w:bookmarkStart w:colFirst="0" w:colLast="0" w:name="_heading=h.ad5yyjz2magc" w:id="8"/>
      <w:bookmarkEnd w:id="8"/>
      <w:r w:rsidDel="00000000" w:rsidR="00000000" w:rsidRPr="00000000">
        <w:br w:type="page"/>
      </w:r>
      <w:r w:rsidDel="00000000" w:rsidR="00000000" w:rsidRPr="00000000">
        <w:rPr>
          <w:rtl w:val="0"/>
        </w:rPr>
        <w:t xml:space="preserve">Implicaciones para mercados importadores</w:t>
      </w:r>
    </w:p>
    <w:p w:rsidR="00000000" w:rsidDel="00000000" w:rsidP="00000000" w:rsidRDefault="00000000" w:rsidRPr="00000000" w14:paraId="00000139">
      <w:pPr>
        <w:rPr/>
      </w:pPr>
      <w:r w:rsidDel="00000000" w:rsidR="00000000" w:rsidRPr="00000000">
        <w:rPr>
          <w:rtl w:val="0"/>
        </w:rPr>
        <w:t xml:space="preserve">En conjunto, estos factores generan un entorno internacional caracterizado por una presión sostenida de exportaciones provenientes de economías con niveles elevados de exceso de capacidad y apoyo estatal.</w:t>
      </w:r>
    </w:p>
    <w:p w:rsidR="00000000" w:rsidDel="00000000" w:rsidP="00000000" w:rsidRDefault="00000000" w:rsidRPr="00000000" w14:paraId="0000013A">
      <w:pPr>
        <w:rPr/>
      </w:pPr>
      <w:r w:rsidDel="00000000" w:rsidR="00000000" w:rsidRPr="00000000">
        <w:rPr>
          <w:rtl w:val="0"/>
        </w:rPr>
        <w:t xml:space="preserve">En particular, pueden identificarse unos riesgos principales:</w:t>
      </w:r>
    </w:p>
    <w:p w:rsidR="00000000" w:rsidDel="00000000" w:rsidP="00000000" w:rsidRDefault="00000000" w:rsidRPr="00000000" w14:paraId="0000013B">
      <w:pPr>
        <w:numPr>
          <w:ilvl w:val="0"/>
          <w:numId w:val="3"/>
        </w:numPr>
        <w:ind w:left="720" w:hanging="360"/>
        <w:rPr/>
      </w:pPr>
      <w:r w:rsidDel="00000000" w:rsidR="00000000" w:rsidRPr="00000000">
        <w:rPr>
          <w:rtl w:val="0"/>
        </w:rPr>
        <w:t xml:space="preserve">Presión a la baja sobre los precios internacionales derivada del exceso de capacidad global.</w:t>
      </w:r>
    </w:p>
    <w:p w:rsidR="00000000" w:rsidDel="00000000" w:rsidP="00000000" w:rsidRDefault="00000000" w:rsidRPr="00000000" w14:paraId="0000013C">
      <w:pPr>
        <w:numPr>
          <w:ilvl w:val="0"/>
          <w:numId w:val="3"/>
        </w:numPr>
        <w:ind w:left="720" w:hanging="360"/>
        <w:rPr/>
      </w:pPr>
      <w:r w:rsidDel="00000000" w:rsidR="00000000" w:rsidRPr="00000000">
        <w:rPr>
          <w:rtl w:val="0"/>
        </w:rPr>
        <w:t xml:space="preserve">Incremento sostenido de exportaciones chinas impulsadas por la desaceleración de la demanda doméstica.</w:t>
      </w:r>
    </w:p>
    <w:p w:rsidR="00000000" w:rsidDel="00000000" w:rsidP="00000000" w:rsidRDefault="00000000" w:rsidRPr="00000000" w14:paraId="0000013D">
      <w:pPr>
        <w:numPr>
          <w:ilvl w:val="0"/>
          <w:numId w:val="3"/>
        </w:numPr>
        <w:ind w:left="720" w:hanging="360"/>
        <w:rPr/>
      </w:pPr>
      <w:r w:rsidDel="00000000" w:rsidR="00000000" w:rsidRPr="00000000">
        <w:rPr>
          <w:rtl w:val="0"/>
        </w:rPr>
        <w:t xml:space="preserve">Persistencia de subsidios estatales que permiten mantener producción incluso en condiciones de baja rentabilidad.</w:t>
      </w:r>
    </w:p>
    <w:p w:rsidR="00000000" w:rsidDel="00000000" w:rsidP="00000000" w:rsidRDefault="00000000" w:rsidRPr="00000000" w14:paraId="0000013E">
      <w:pPr>
        <w:numPr>
          <w:ilvl w:val="0"/>
          <w:numId w:val="3"/>
        </w:numPr>
        <w:ind w:left="720" w:hanging="360"/>
        <w:rPr/>
      </w:pPr>
      <w:r w:rsidDel="00000000" w:rsidR="00000000" w:rsidRPr="00000000">
        <w:rPr>
          <w:rtl w:val="0"/>
        </w:rPr>
        <w:t xml:space="preserve">Desvío de comercio hacia mercados sin medidas de defensa comercial.</w:t>
      </w:r>
    </w:p>
    <w:p w:rsidR="00000000" w:rsidDel="00000000" w:rsidP="00000000" w:rsidRDefault="00000000" w:rsidRPr="00000000" w14:paraId="0000013F">
      <w:pPr>
        <w:rPr/>
      </w:pPr>
      <w:r w:rsidDel="00000000" w:rsidR="00000000" w:rsidRPr="00000000">
        <w:rPr>
          <w:rtl w:val="0"/>
        </w:rPr>
        <w:t xml:space="preserve">En suma, el contexto internacional del mercado del acero evidencia una serie de desequilibrios estructurales asociados con el crecimiento de la industria siderúrgica china.</w:t>
      </w:r>
    </w:p>
    <w:p w:rsidR="00000000" w:rsidDel="00000000" w:rsidP="00000000" w:rsidRDefault="00000000" w:rsidRPr="00000000" w14:paraId="00000140">
      <w:pPr>
        <w:rPr/>
      </w:pPr>
      <w:r w:rsidDel="00000000" w:rsidR="00000000" w:rsidRPr="00000000">
        <w:rPr>
          <w:rtl w:val="0"/>
        </w:rPr>
        <w:t xml:space="preserve">La combinación de capacidad productiva extraordinariamente elevada, subsidios estatales, desaceleración de la demanda interna y expansión exportadora ha convertido a China en el principal determinante de las condiciones del mercado mundial del acero.</w:t>
      </w:r>
    </w:p>
    <w:p w:rsidR="00000000" w:rsidDel="00000000" w:rsidP="00000000" w:rsidRDefault="00000000" w:rsidRPr="00000000" w14:paraId="00000141">
      <w:pPr>
        <w:rPr/>
      </w:pPr>
      <w:r w:rsidDel="00000000" w:rsidR="00000000" w:rsidRPr="00000000">
        <w:rPr>
          <w:rtl w:val="0"/>
        </w:rPr>
        <w:t xml:space="preserve">Este entorno crea incentivos para la exportación de grandes volúmenes de acero a precios reducidos, lo que puede generar efectos adversos sobre las industrias siderúrgicas de países importadores.</w:t>
      </w:r>
    </w:p>
    <w:p w:rsidR="00000000" w:rsidDel="00000000" w:rsidP="00000000" w:rsidRDefault="00000000" w:rsidRPr="00000000" w14:paraId="00000142">
      <w:pPr>
        <w:rPr/>
      </w:pPr>
      <w:r w:rsidDel="00000000" w:rsidR="00000000" w:rsidRPr="00000000">
        <w:rPr>
          <w:rtl w:val="0"/>
        </w:rPr>
        <w:t xml:space="preserve">En este contexto, las medidas de defensa comercial, incluyendo las investigaciones antidumping, constituyen instrumentos legítimos y ampliamente utilizados a nivel internacional para restablecer condiciones de competencia equitativas en el comercio de productos siderúrgicos</w:t>
      </w:r>
    </w:p>
    <w:p w:rsidR="00000000" w:rsidDel="00000000" w:rsidP="00000000" w:rsidRDefault="00000000" w:rsidRPr="00000000" w14:paraId="00000143">
      <w:pPr>
        <w:rPr/>
      </w:pPr>
      <w:r w:rsidDel="00000000" w:rsidR="00000000" w:rsidRPr="00000000">
        <w:br w:type="page"/>
      </w:r>
      <w:r w:rsidDel="00000000" w:rsidR="00000000" w:rsidRPr="00000000">
        <w:rPr>
          <w:rtl w:val="0"/>
        </w:rPr>
      </w:r>
    </w:p>
    <w:p w:rsidR="00000000" w:rsidDel="00000000" w:rsidP="00000000" w:rsidRDefault="00000000" w:rsidRPr="00000000" w14:paraId="00000144">
      <w:pPr>
        <w:pStyle w:val="Heading1"/>
        <w:rPr>
          <w:rFonts w:ascii="Calibri" w:cs="Calibri" w:eastAsia="Calibri" w:hAnsi="Calibri"/>
        </w:rPr>
      </w:pPr>
      <w:bookmarkStart w:colFirst="0" w:colLast="0" w:name="_heading=h.1cnjai3upffi" w:id="9"/>
      <w:bookmarkEnd w:id="9"/>
      <w:r w:rsidDel="00000000" w:rsidR="00000000" w:rsidRPr="00000000">
        <w:rPr>
          <w:rFonts w:ascii="Calibri" w:cs="Calibri" w:eastAsia="Calibri" w:hAnsi="Calibri"/>
          <w:rtl w:val="0"/>
        </w:rPr>
        <w:t xml:space="preserve">Justificación Economía de No Mercado y Alternativa de Valor Normal</w:t>
      </w:r>
    </w:p>
    <w:p w:rsidR="00000000" w:rsidDel="00000000" w:rsidP="00000000" w:rsidRDefault="00000000" w:rsidRPr="00000000" w14:paraId="00000145">
      <w:pPr>
        <w:rPr/>
      </w:pPr>
      <w:r w:rsidDel="00000000" w:rsidR="00000000" w:rsidRPr="00000000">
        <w:rPr>
          <w:rtl w:val="0"/>
        </w:rPr>
        <w:t xml:space="preserve">En investigaciones antidumping, es necesario establecer el “valor normal” (NV) que es, en principio, el precio comparable del producto similar en el mercado interno del exportador</w:t>
      </w:r>
      <w:r w:rsidDel="00000000" w:rsidR="00000000" w:rsidRPr="00000000">
        <w:rPr>
          <w:vertAlign w:val="superscript"/>
        </w:rPr>
        <w:footnoteReference w:customMarkFollows="0" w:id="0"/>
      </w:r>
      <w:r w:rsidDel="00000000" w:rsidR="00000000" w:rsidRPr="00000000">
        <w:rPr>
          <w:rtl w:val="0"/>
        </w:rPr>
        <w:t xml:space="preserve">. En el caso de China, su precio doméstico este precio no es utilizable, no ser considerada una economía de mercado, en la que los precios internos están distorsionados. Por esta razón, el marco OMC permite recurrir a precios de exportación de un tercer país de referencia.</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Es un trato que China recibe desde varios países en casos de defensa comercial. En Estados Unidos, China ha sido designada como economía de no mercado (NME, por sus siglas en inglés) desde 1981, bajo la Sección 771(18) del </w:t>
      </w:r>
      <w:r w:rsidDel="00000000" w:rsidR="00000000" w:rsidRPr="00000000">
        <w:rPr>
          <w:i w:val="1"/>
          <w:iCs w:val="1"/>
          <w:rtl w:val="0"/>
        </w:rPr>
        <w:t xml:space="preserve">Tariff Act</w:t>
      </w:r>
      <w:r w:rsidDel="00000000" w:rsidR="00000000" w:rsidRPr="00000000">
        <w:rPr>
          <w:rtl w:val="0"/>
        </w:rPr>
        <w:t xml:space="preserve"> de 1930, y esa designación se mantiene vigente hasta hoy. Bajo esta clasificación, el Departamento de Comercio (DOC) no utiliza los precios ni costos domésticos chinos para el cálculo del margen de dumping. En su lugar, asume que los mecanismos de mercado no existen para los productos bajo investigación, e identifica un país sustituto con un nivel de desarrollo económico comparable, medido según el ingreso nacional bruto per cápita en paridad de poder adquisitivo del Banco Mundial, para construir el valor normal.</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147">
      <w:pPr>
        <w:rPr/>
      </w:pPr>
      <w:r w:rsidDel="00000000" w:rsidR="00000000" w:rsidRPr="00000000">
        <w:rPr>
          <w:rtl w:val="0"/>
        </w:rPr>
        <w:t xml:space="preserve">En adición, la Unión Europea ha tomado una posición similar. Tras la expiración en diciembre de 2016 del Artículo 15(a)(ii) del Protocolo de Adhesión de China a la OMC, que algunos interpretaban como una obligación de otorgarle automáticamente trato de economía de mercado, la UE optó por no conceder dicho trato y reformó en cambio su legislación antidumping mediante el Reglamento (UE) 2017/2321. Este reglamento introdujo el concepto de "distorsiones significativas": cuando se constata que los precios y costos en el país exportador están afectados por una intervención estatal sustancial, las instituciones europeas pueden construir el valor normal a partir de precios o costos de referencia internacionales no distorsionados, en lugar de los datos domésticos del exportado</w:t>
      </w:r>
    </w:p>
    <w:p w:rsidR="00000000" w:rsidDel="00000000" w:rsidP="00000000" w:rsidRDefault="00000000" w:rsidRPr="00000000" w14:paraId="00000148">
      <w:pPr>
        <w:rPr/>
      </w:pPr>
      <w:r w:rsidDel="00000000" w:rsidR="00000000" w:rsidRPr="00000000">
        <w:rPr>
          <w:rtl w:val="0"/>
        </w:rPr>
        <w:t xml:space="preserve">La Comisión Europea actualizó en 2024 su informe sobre las distorsiones inducidas por el Estado en la economía china, identificando tres categorías principales</w:t>
      </w:r>
      <w:r w:rsidDel="00000000" w:rsidR="00000000" w:rsidRPr="00000000">
        <w:rPr>
          <w:vertAlign w:val="superscript"/>
        </w:rPr>
        <w:footnoteReference w:customMarkFollows="0" w:id="3"/>
      </w:r>
      <w:r w:rsidDel="00000000" w:rsidR="00000000" w:rsidRPr="00000000">
        <w:rPr>
          <w:rtl w:val="0"/>
        </w:rPr>
        <w:t xml:space="preserve">: </w:t>
      </w:r>
    </w:p>
    <w:p w:rsidR="00000000" w:rsidDel="00000000" w:rsidP="00000000" w:rsidRDefault="00000000" w:rsidRPr="00000000" w14:paraId="00000149">
      <w:pPr>
        <w:numPr>
          <w:ilvl w:val="0"/>
          <w:numId w:val="1"/>
        </w:numPr>
        <w:ind w:left="720" w:hanging="360"/>
        <w:rPr/>
      </w:pPr>
      <w:r w:rsidDel="00000000" w:rsidR="00000000" w:rsidRPr="00000000">
        <w:rPr>
          <w:rtl w:val="0"/>
        </w:rPr>
        <w:t xml:space="preserve">Distorsiones transversales, como el papel del Estado en la asignación de recursos, el sistema de planificación centralizada y el peso de las empresas estatales en la economía.</w:t>
      </w:r>
    </w:p>
    <w:p w:rsidR="00000000" w:rsidDel="00000000" w:rsidP="00000000" w:rsidRDefault="00000000" w:rsidRPr="00000000" w14:paraId="0000014A">
      <w:pPr>
        <w:numPr>
          <w:ilvl w:val="0"/>
          <w:numId w:val="1"/>
        </w:numPr>
        <w:ind w:left="720" w:hanging="360"/>
        <w:rPr/>
      </w:pPr>
      <w:r w:rsidDel="00000000" w:rsidR="00000000" w:rsidRPr="00000000">
        <w:rPr>
          <w:rtl w:val="0"/>
        </w:rPr>
        <w:t xml:space="preserve">Distorsiones en los factores de producción, incluyendo la asignación discriminatoria de tierra, mano de obra, materias primas y energía.</w:t>
      </w:r>
    </w:p>
    <w:p w:rsidR="00000000" w:rsidDel="00000000" w:rsidP="00000000" w:rsidRDefault="00000000" w:rsidRPr="00000000" w14:paraId="0000014B">
      <w:pPr>
        <w:numPr>
          <w:ilvl w:val="0"/>
          <w:numId w:val="1"/>
        </w:numPr>
        <w:ind w:left="720" w:hanging="360"/>
        <w:rPr/>
      </w:pPr>
      <w:r w:rsidDel="00000000" w:rsidR="00000000" w:rsidRPr="00000000">
        <w:rPr>
          <w:rtl w:val="0"/>
        </w:rPr>
        <w:t xml:space="preserve">Distorsiones sectoriales, como el apoyo estatal directo e indirecto, incluyendo acceso preferencial a financiamiento, en industrias específicas, entre ellas el acero.</w:t>
      </w:r>
    </w:p>
    <w:p w:rsidR="00000000" w:rsidDel="00000000" w:rsidP="00000000" w:rsidRDefault="00000000" w:rsidRPr="00000000" w14:paraId="0000014C">
      <w:pPr>
        <w:rPr/>
      </w:pPr>
      <w:r w:rsidDel="00000000" w:rsidR="00000000" w:rsidRPr="00000000">
        <w:rPr>
          <w:rtl w:val="0"/>
        </w:rPr>
        <w:t xml:space="preserve">En conjunto, tanto EE.UU. como la UE han construido marcos normativos que, partiendo de premisas distintas, llegan a una conclusión operativa equivalente: los precios domésticos chinos no constituyen una referencia válida para determinar el valor normal en investigaciones antidumping, justificando el recurso a metodologías alternativas de construcción del valor.</w:t>
      </w:r>
    </w:p>
    <w:p w:rsidR="00000000" w:rsidDel="00000000" w:rsidP="00000000" w:rsidRDefault="00000000" w:rsidRPr="00000000" w14:paraId="0000014D">
      <w:pPr>
        <w:rPr/>
      </w:pPr>
      <w:r w:rsidDel="00000000" w:rsidR="00000000" w:rsidRPr="00000000">
        <w:rPr>
          <w:rtl w:val="0"/>
        </w:rPr>
        <w:t xml:space="preserve">Por estas razones, es necesario buscar un tercer país que sirva como referencia del valor normal del producto bajo investigación. En el sunset review del caso de China de 2021, se utilizó Brazil como país de referencia. La validez Brazil como precio de referencia sigue siendo válida, basado en tres criterios importantes para el país de referencia:</w:t>
      </w:r>
    </w:p>
    <w:p w:rsidR="00000000" w:rsidDel="00000000" w:rsidP="00000000" w:rsidRDefault="00000000" w:rsidRPr="00000000" w14:paraId="0000014E">
      <w:pPr>
        <w:rPr>
          <w:b w:val="1"/>
          <w:bCs w:val="1"/>
        </w:rPr>
      </w:pPr>
      <w:r w:rsidDel="00000000" w:rsidR="00000000" w:rsidRPr="00000000">
        <w:rPr>
          <w:b w:val="1"/>
          <w:bCs w:val="1"/>
          <w:rtl w:val="0"/>
        </w:rPr>
        <w:t xml:space="preserve">Nivel de desarrollo comparable</w:t>
      </w:r>
    </w:p>
    <w:p w:rsidR="00000000" w:rsidDel="00000000" w:rsidP="00000000" w:rsidRDefault="00000000" w:rsidRPr="00000000" w14:paraId="0000014F">
      <w:pPr>
        <w:jc w:val="both"/>
        <w:rPr/>
      </w:pPr>
      <w:r w:rsidDel="00000000" w:rsidR="00000000" w:rsidRPr="00000000">
        <w:rPr>
          <w:rtl w:val="0"/>
        </w:rPr>
        <w:t xml:space="preserve">El Departamento de Comercio de Estados Unidos (DOC) al momento de escoger un país tercero de referencia, toma como base el nivel económico utilizando el Ingreso nacional Bruto (GNI, pero sus siglas en inglés) per cápita ajustado por paridad de poder adquisitivo (PPP), en estos ambos países se ubican en rangos similares dentro del grupo de economías emergentes, lo que los coloca en el mismo nivel de referencia. Una evidencia de esto es que el Banco Mundial clasifica tanto a China como a Brasil como economías de ingreso medio-alto</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150">
      <w:pPr>
        <w:jc w:val="both"/>
        <w:rPr/>
      </w:pPr>
      <w:r w:rsidDel="00000000" w:rsidR="00000000" w:rsidRPr="00000000">
        <w:rPr>
          <w:rtl w:val="0"/>
        </w:rPr>
        <w:t xml:space="preserve">De los diez mayores productores de acero del mundo, ningún otro candidato se aproxima a ese perfil: Corea del Sur, Alemania y Japón son economías de alto ingreso muy por encima del nivel de desarrollo chino, por igual Russia, aunque no al nivel de los países anteriores, posee un nivel de ingresos per cápita significativamente más alto que China. Por otro lado, India e Irán presentan niveles de ingreso per cápita significativamente inferiores. Tomando los 10 productores de acero más grandes del mundo según World Steel Association, Brasil es el que tiene un nivel de ingresos más parecido a China</w:t>
      </w:r>
    </w:p>
    <w:p w:rsidR="00000000" w:rsidDel="00000000" w:rsidP="00000000" w:rsidRDefault="00000000" w:rsidRPr="00000000" w14:paraId="00000151">
      <w:pPr>
        <w:jc w:val="both"/>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Ingreso Nacional Bruto per Cápita, ajustado por paridad de compra de los Mayores Productores de Acero</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619707" cy="3283889"/>
            <wp:docPr id="2047128227"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Fuente: Banco Mundial</w:t>
      </w:r>
    </w:p>
    <w:p w:rsidR="00000000" w:rsidDel="00000000" w:rsidP="00000000" w:rsidRDefault="00000000" w:rsidRPr="00000000" w14:paraId="00000158">
      <w:pPr>
        <w:rPr/>
      </w:pPr>
      <w:r w:rsidDel="00000000" w:rsidR="00000000" w:rsidRPr="00000000">
        <w:rPr>
          <w:b w:val="1"/>
          <w:bCs w:val="1"/>
          <w:rtl w:val="0"/>
        </w:rPr>
        <w:t xml:space="preserve">Producción significativa del producto similar bajo condiciones de mercado</w:t>
      </w: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Brasil es el noveno mayor productor mundial de acero crudo, con 33.8 millones de toneladas producidas en 2024, y el mayor productor de América Latina. El mercado de acero en Brasil alanzo ingresos de USD 24,674 millones alcanzará ingresos proyectados de USD 30,436 millones para 2030, con un crecimiento anual compuesto de 3.3%</w:t>
      </w:r>
      <w:r w:rsidDel="00000000" w:rsidR="00000000" w:rsidRPr="00000000">
        <w:rPr>
          <w:vertAlign w:val="superscript"/>
        </w:rPr>
        <w:footnoteReference w:customMarkFollows="0" w:id="5"/>
      </w:r>
      <w:r w:rsidDel="00000000" w:rsidR="00000000" w:rsidRPr="00000000">
        <w:rPr>
          <w:rtl w:val="0"/>
        </w:rPr>
        <w:t xml:space="preserve">, reflejando un mercado activo, líquido y con precios observables.</w:t>
      </w:r>
    </w:p>
    <w:p w:rsidR="00000000" w:rsidDel="00000000" w:rsidP="00000000" w:rsidRDefault="00000000" w:rsidRPr="00000000" w14:paraId="0000015A">
      <w:pPr>
        <w:rPr>
          <w:b w:val="1"/>
          <w:bCs w:val="1"/>
          <w:sz w:val="22"/>
          <w:szCs w:val="22"/>
        </w:rPr>
      </w:pPr>
      <w:r w:rsidDel="00000000" w:rsidR="00000000" w:rsidRPr="00000000">
        <w:rPr>
          <w:b w:val="1"/>
          <w:bCs w:val="1"/>
          <w:sz w:val="22"/>
          <w:szCs w:val="22"/>
          <w:rtl w:val="0"/>
        </w:rPr>
        <w:t xml:space="preserve">Indicadores de la Industria de Acero en Brasil</w:t>
      </w:r>
    </w:p>
    <w:p w:rsidR="00000000" w:rsidDel="00000000" w:rsidP="00000000" w:rsidRDefault="00000000" w:rsidRPr="00000000" w14:paraId="0000015B">
      <w:pPr>
        <w:rPr>
          <w:b w:val="1"/>
          <w:bCs w:val="1"/>
        </w:rPr>
      </w:pPr>
      <w:r w:rsidDel="00000000" w:rsidR="00000000" w:rsidRPr="00000000">
        <w:rPr>
          <w:b w:val="1"/>
          <w:bCs w:val="1"/>
        </w:rPr>
        <w:drawing>
          <wp:inline distB="0" distT="0" distL="0" distR="0">
            <wp:extent cx="5943600" cy="929005"/>
            <wp:effectExtent b="0" l="0" r="0" t="0"/>
            <wp:docPr id="204712823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929005"/>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rPr>
          <w:i w:val="1"/>
          <w:iCs w:val="1"/>
          <w:sz w:val="20"/>
          <w:szCs w:val="20"/>
        </w:rPr>
      </w:pPr>
      <w:r w:rsidDel="00000000" w:rsidR="00000000" w:rsidRPr="00000000">
        <w:rPr>
          <w:i w:val="1"/>
          <w:iCs w:val="1"/>
          <w:sz w:val="20"/>
          <w:szCs w:val="20"/>
          <w:rtl w:val="0"/>
        </w:rPr>
        <w:t xml:space="preserve">Fuente: Grand View Research</w:t>
      </w:r>
    </w:p>
    <w:p w:rsidR="00000000" w:rsidDel="00000000" w:rsidP="00000000" w:rsidRDefault="00000000" w:rsidRPr="00000000" w14:paraId="0000015D">
      <w:pPr>
        <w:rPr>
          <w:b w:val="1"/>
          <w:bCs w:val="1"/>
          <w:sz w:val="22"/>
          <w:szCs w:val="22"/>
        </w:rPr>
      </w:pPr>
      <w:r w:rsidDel="00000000" w:rsidR="00000000" w:rsidRPr="00000000">
        <w:rPr>
          <w:b w:val="1"/>
          <w:bCs w:val="1"/>
          <w:sz w:val="22"/>
          <w:szCs w:val="22"/>
          <w:rtl w:val="0"/>
        </w:rPr>
        <w:t xml:space="preserve">Principales países productores de acero, 2023 y 2024, en millones de toneladas</w:t>
      </w:r>
    </w:p>
    <w:p w:rsidR="00000000" w:rsidDel="00000000" w:rsidP="00000000" w:rsidRDefault="00000000" w:rsidRPr="00000000" w14:paraId="0000015E">
      <w:pPr>
        <w:rPr>
          <w:b w:val="1"/>
          <w:bCs w:val="1"/>
        </w:rPr>
      </w:pPr>
      <w:r w:rsidDel="00000000" w:rsidR="00000000" w:rsidRPr="00000000">
        <w:rPr/>
        <w:drawing>
          <wp:inline distB="0" distT="0" distL="0" distR="0">
            <wp:extent cx="5295569" cy="2583685"/>
            <wp:effectExtent b="0" l="0" r="0" t="0"/>
            <wp:docPr id="2047128231" name="image1.png"/>
            <a:graphic>
              <a:graphicData uri="http://schemas.openxmlformats.org/drawingml/2006/picture">
                <pic:pic>
                  <pic:nvPicPr>
                    <pic:cNvPr id="0" name="image1.png"/>
                    <pic:cNvPicPr preferRelativeResize="0"/>
                  </pic:nvPicPr>
                  <pic:blipFill>
                    <a:blip r:embed="rId12"/>
                    <a:srcRect b="0" l="0" r="0" t="41129"/>
                    <a:stretch>
                      <a:fillRect/>
                    </a:stretch>
                  </pic:blipFill>
                  <pic:spPr>
                    <a:xfrm>
                      <a:off x="0" y="0"/>
                      <a:ext cx="5295569" cy="2583685"/>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rPr>
          <w:i w:val="1"/>
          <w:iCs w:val="1"/>
        </w:rPr>
      </w:pPr>
      <w:r w:rsidDel="00000000" w:rsidR="00000000" w:rsidRPr="00000000">
        <w:rPr>
          <w:i w:val="1"/>
          <w:iCs w:val="1"/>
          <w:rtl w:val="0"/>
        </w:rPr>
        <w:t xml:space="preserve">Fuente: World Steel Association</w:t>
      </w:r>
      <w:r w:rsidDel="00000000" w:rsidR="00000000" w:rsidRPr="00000000">
        <w:rPr>
          <w:i w:val="1"/>
          <w:iCs w:val="1"/>
          <w:vertAlign w:val="superscript"/>
        </w:rPr>
        <w:footnoteReference w:customMarkFollows="0" w:id="6"/>
      </w:r>
      <w:r w:rsidDel="00000000" w:rsidR="00000000" w:rsidRPr="00000000">
        <w:rPr>
          <w:rtl w:val="0"/>
        </w:rPr>
      </w:r>
    </w:p>
    <w:p w:rsidR="00000000" w:rsidDel="00000000" w:rsidP="00000000" w:rsidRDefault="00000000" w:rsidRPr="00000000" w14:paraId="00000160">
      <w:pPr>
        <w:rPr/>
      </w:pPr>
      <w:r w:rsidDel="00000000" w:rsidR="00000000" w:rsidRPr="00000000">
        <w:rPr>
          <w:b w:val="1"/>
          <w:bCs w:val="1"/>
          <w:rtl w:val="0"/>
        </w:rPr>
        <w:t xml:space="preserve">Disponibilidad y confiabilidad de datos</w:t>
      </w: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Los precios de varillas de acero en Brasil son reportados de forma sistemática y con alta frecuencia por plataformas especializadas como Fastmarkets. </w:t>
      </w:r>
    </w:p>
    <w:p w:rsidR="00000000" w:rsidDel="00000000" w:rsidP="00000000" w:rsidRDefault="00000000" w:rsidRPr="00000000" w14:paraId="00000162">
      <w:pPr>
        <w:rPr>
          <w:color w:val="2f5496"/>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63">
      <w:pPr>
        <w:pStyle w:val="Heading1"/>
        <w:rPr>
          <w:rFonts w:ascii="Calibri" w:cs="Calibri" w:eastAsia="Calibri" w:hAnsi="Calibri"/>
        </w:rPr>
      </w:pPr>
      <w:bookmarkStart w:colFirst="0" w:colLast="0" w:name="_heading=h.5gtxvnkmcus1" w:id="10"/>
      <w:bookmarkEnd w:id="10"/>
      <w:r w:rsidDel="00000000" w:rsidR="00000000" w:rsidRPr="00000000">
        <w:rPr>
          <w:rFonts w:ascii="Calibri" w:cs="Calibri" w:eastAsia="Calibri" w:hAnsi="Calibri"/>
          <w:rtl w:val="0"/>
        </w:rPr>
        <w:t xml:space="preserve">Probabilidad de Recurrencia de Dumping</w:t>
      </w:r>
    </w:p>
    <w:p w:rsidR="00000000" w:rsidDel="00000000" w:rsidP="00000000" w:rsidRDefault="00000000" w:rsidRPr="00000000" w14:paraId="00000164">
      <w:pPr>
        <w:rPr>
          <w:color w:val="2f5496"/>
          <w:sz w:val="32"/>
          <w:szCs w:val="32"/>
        </w:rPr>
      </w:pPr>
      <w:r w:rsidDel="00000000" w:rsidR="00000000" w:rsidRPr="00000000">
        <w:rPr>
          <w:color w:val="2f5496"/>
          <w:sz w:val="32"/>
          <w:szCs w:val="32"/>
          <w:rtl w:val="0"/>
        </w:rPr>
        <w:t xml:space="preserve">Persistencia de medidas antidumping contra exportaciones de acero originarias de China</w:t>
      </w:r>
    </w:p>
    <w:p w:rsidR="00000000" w:rsidDel="00000000" w:rsidP="00000000" w:rsidRDefault="00000000" w:rsidRPr="00000000" w14:paraId="00000165">
      <w:pPr>
        <w:rPr/>
      </w:pPr>
      <w:r w:rsidDel="00000000" w:rsidR="00000000" w:rsidRPr="00000000">
        <w:rPr>
          <w:rtl w:val="0"/>
        </w:rPr>
        <w:t xml:space="preserve">La experiencia internacional demuestra que las medidas antidumping impuestas contra exportaciones de acero originarias de China tienden a mantenerse vigentes durante largos periodos de tiempo. Esto refleja la evaluación recurrente de las autoridades investigadoras de distintos países respecto a la persistencia de prácticas de dumping o al riesgo de su recurrencia.</w:t>
      </w:r>
    </w:p>
    <w:p w:rsidR="00000000" w:rsidDel="00000000" w:rsidP="00000000" w:rsidRDefault="00000000" w:rsidRPr="00000000" w14:paraId="00000166">
      <w:pPr>
        <w:rPr/>
      </w:pPr>
      <w:r w:rsidDel="00000000" w:rsidR="00000000" w:rsidRPr="00000000">
        <w:rPr>
          <w:rtl w:val="0"/>
        </w:rPr>
        <w:t xml:space="preserve">Como se muestra en la </w:t>
      </w:r>
      <w:r w:rsidDel="00000000" w:rsidR="00000000" w:rsidRPr="00000000">
        <w:rPr>
          <w:rtl w:val="0"/>
        </w:rPr>
        <w:t xml:space="preserve">Tabla, desde 2008 se han implementado un total de 237 medidas antidumping contra productos siderúrgicos originarios de China, de las cuales 193 continúan vigentes, mientras que 44 no fueron renovadas tras su expiración. En términos agregados, esto implica que el 81.4% de las medidas adoptadas contra China permanecen activas.</w:t>
      </w:r>
    </w:p>
    <w:p w:rsidR="00000000" w:rsidDel="00000000" w:rsidP="00000000" w:rsidRDefault="00000000" w:rsidRPr="00000000" w14:paraId="00000167">
      <w:pPr>
        <w:rPr>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Cantidad de medidas antidumping contra China por año de implementación para el sector de Hierro y Acero</w:t>
      </w:r>
      <w:r w:rsidDel="00000000" w:rsidR="00000000" w:rsidRPr="00000000">
        <w:rPr>
          <w:rtl w:val="0"/>
        </w:rPr>
      </w:r>
    </w:p>
    <w:tbl>
      <w:tblPr>
        <w:tblStyle w:val="Table7"/>
        <w:tblW w:w="6160.0" w:type="dxa"/>
        <w:jc w:val="center"/>
        <w:tblLayout w:type="fixed"/>
        <w:tblLook w:val="0400"/>
      </w:tblPr>
      <w:tblGrid>
        <w:gridCol w:w="720"/>
        <w:gridCol w:w="1945"/>
        <w:gridCol w:w="996"/>
        <w:gridCol w:w="2499"/>
        <w:tblGridChange w:id="0">
          <w:tblGrid>
            <w:gridCol w:w="720"/>
            <w:gridCol w:w="1945"/>
            <w:gridCol w:w="996"/>
            <w:gridCol w:w="2499"/>
          </w:tblGrid>
        </w:tblGridChange>
      </w:tblGrid>
      <w:tr>
        <w:trPr>
          <w:cantSplit w:val="0"/>
          <w:trHeight w:val="1305" w:hRule="atLeast"/>
          <w:tblHeader w:val="0"/>
        </w:trPr>
        <w:tc>
          <w:tcPr>
            <w:gridSpan w:val="4"/>
            <w:tcBorders>
              <w:top w:color="000000" w:space="0" w:sz="0" w:val="nil"/>
              <w:left w:color="000000" w:space="0" w:sz="0" w:val="nil"/>
              <w:bottom w:color="000000" w:space="0" w:sz="0" w:val="nil"/>
              <w:right w:color="000000" w:space="0" w:sz="0" w:val="nil"/>
            </w:tcBorders>
            <w:shd w:fill="3e7d7e" w:val="clear"/>
            <w:vAlign w:val="center"/>
          </w:tcPr>
          <w:p w:rsidR="00000000" w:rsidDel="00000000" w:rsidP="00000000" w:rsidRDefault="00000000" w:rsidRPr="00000000" w14:paraId="00000168">
            <w:pPr>
              <w:spacing w:after="0" w:line="240" w:lineRule="auto"/>
              <w:jc w:val="center"/>
              <w:rPr>
                <w:rFonts w:ascii="Calibri" w:cs="Calibri" w:eastAsia="Calibri" w:hAnsi="Calibri"/>
                <w:b w:val="1"/>
                <w:bCs w:val="1"/>
                <w:color w:val="ffffff"/>
                <w:sz w:val="22"/>
                <w:szCs w:val="22"/>
                <w:highlight w:val="yellow"/>
              </w:rPr>
            </w:pPr>
            <w:r w:rsidDel="00000000" w:rsidR="00000000" w:rsidRPr="00000000">
              <w:rPr>
                <w:rFonts w:ascii="Calibri" w:cs="Calibri" w:eastAsia="Calibri" w:hAnsi="Calibri"/>
                <w:b w:val="1"/>
                <w:bCs w:val="1"/>
                <w:color w:val="ffffff"/>
                <w:sz w:val="22"/>
                <w:szCs w:val="22"/>
                <w:rtl w:val="0"/>
              </w:rPr>
              <w:t xml:space="preserve">Cantidad de medidas antidumping contra China por año de implementación para el sector de Hierro y Acero</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16C">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Año</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16D">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No Renovadas</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16E">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Activas</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16F">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Porcentaje Activas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0">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2008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1">
            <w:pPr>
              <w:spacing w:after="0" w:line="240" w:lineRule="auto"/>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2">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3">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4">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2009</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5">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6">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7">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81.8%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8">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9">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A">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B">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C">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2011</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D">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E">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7F">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87.5%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0">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1">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2">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3">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78.6%</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4">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5">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6">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7">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79.3%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8">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9">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A">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B">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73.3%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C">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D">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E">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8F">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83.3%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0">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1">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2">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3">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75.9%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4">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2017</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5">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6">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7">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70.6%</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8">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9">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A">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B">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62.5%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C">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2019</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D">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E">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9F">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88.9%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0">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1">
            <w:pPr>
              <w:spacing w:after="0" w:line="240" w:lineRule="auto"/>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2">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3">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4">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2021</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5">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6">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7">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8">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9">
            <w:pPr>
              <w:spacing w:after="0" w:line="240" w:lineRule="auto"/>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A">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B">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C">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2023</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D">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E">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AF">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0">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1">
            <w:pPr>
              <w:spacing w:after="0" w:line="240" w:lineRule="auto"/>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2">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3">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B4">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2025</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B5">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B6">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17</w:t>
            </w:r>
          </w:p>
        </w:tc>
        <w:tc>
          <w:tcPr>
            <w:tcBorders>
              <w:top w:color="000000" w:space="0" w:sz="0" w:val="nil"/>
              <w:left w:color="000000" w:space="0" w:sz="0" w:val="nil"/>
              <w:bottom w:color="000000" w:space="0" w:sz="0" w:val="nil"/>
              <w:right w:color="000000" w:space="0" w:sz="0" w:val="nil"/>
            </w:tcBorders>
            <w:shd w:fill="acd3c4" w:val="clear"/>
            <w:vAlign w:val="bottom"/>
          </w:tcPr>
          <w:p w:rsidR="00000000" w:rsidDel="00000000" w:rsidP="00000000" w:rsidRDefault="00000000" w:rsidRPr="00000000" w14:paraId="000001B7">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8">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9">
            <w:pPr>
              <w:spacing w:after="0" w:line="240" w:lineRule="auto"/>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A">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B">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w:t>
            </w:r>
          </w:p>
        </w:tc>
      </w:tr>
      <w:tr>
        <w:trPr>
          <w:cantSplit w:val="0"/>
          <w:trHeight w:val="315" w:hRule="atLeast"/>
          <w:tblHeader w:val="0"/>
        </w:trPr>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BC">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Total</w:t>
            </w:r>
          </w:p>
        </w:tc>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BD">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44</w:t>
            </w:r>
          </w:p>
        </w:tc>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BE">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191</w:t>
            </w:r>
          </w:p>
        </w:tc>
        <w:tc>
          <w:tcPr>
            <w:tcBorders>
              <w:top w:color="000000" w:space="0" w:sz="0" w:val="nil"/>
              <w:left w:color="000000" w:space="0" w:sz="0" w:val="nil"/>
              <w:bottom w:color="000000" w:space="0" w:sz="6" w:val="single"/>
              <w:right w:color="000000" w:space="0" w:sz="0" w:val="nil"/>
            </w:tcBorders>
            <w:shd w:fill="acd3c4" w:val="clear"/>
            <w:vAlign w:val="bottom"/>
          </w:tcPr>
          <w:p w:rsidR="00000000" w:rsidDel="00000000" w:rsidP="00000000" w:rsidRDefault="00000000" w:rsidRPr="00000000" w14:paraId="000001BF">
            <w:pPr>
              <w:spacing w:after="0" w:line="24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81.4%</w:t>
            </w:r>
          </w:p>
        </w:tc>
      </w:tr>
    </w:tbl>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Este patrón es consistente a lo largo del tiempo. En la mayoría de los años analizados, una proporción significativa de las medidas adoptadas contra China continúa vigente, y en varios períodos recientes la totalidad de las medidas implementadas permanece activa. Esta persistencia refleja que múltiples autoridades comerciales alrededor del mundo han concluido, en revisiones sucesivas, que la eliminación de las medidas probablemente conduciría a la continuación o recurrencia del dumping.</w:t>
      </w:r>
    </w:p>
    <w:p w:rsidR="00000000" w:rsidDel="00000000" w:rsidP="00000000" w:rsidRDefault="00000000" w:rsidRPr="00000000" w14:paraId="000001C2">
      <w:pPr>
        <w:rPr/>
      </w:pPr>
      <w:r w:rsidDel="00000000" w:rsidR="00000000" w:rsidRPr="00000000">
        <w:rPr>
          <w:rtl w:val="0"/>
        </w:rPr>
        <w:t xml:space="preserve">En consecuencia, la evidencia internacional sugiere que las distorsiones estructurales en la industria siderúrgica china y los incentivos a la exportación continúan generando preocupaciones sobre la competencia desleal en los mercados internacionales. Este patrón constituye un indicio relevante al evaluar la probabilidad de recurrencia del dumping en ausencia de medidas de defensa comercial.</w:t>
      </w:r>
    </w:p>
    <w:p w:rsidR="00000000" w:rsidDel="00000000" w:rsidP="00000000" w:rsidRDefault="00000000" w:rsidRPr="00000000" w14:paraId="000001C3">
      <w:pPr>
        <w:pStyle w:val="Heading2"/>
        <w:rPr>
          <w:rFonts w:ascii="Calibri" w:cs="Calibri" w:eastAsia="Calibri" w:hAnsi="Calibri"/>
        </w:rPr>
      </w:pPr>
      <w:bookmarkStart w:colFirst="0" w:colLast="0" w:name="_heading=h.gf6114mnvaom" w:id="11"/>
      <w:bookmarkEnd w:id="11"/>
      <w:r w:rsidDel="00000000" w:rsidR="00000000" w:rsidRPr="00000000">
        <w:rPr>
          <w:rFonts w:ascii="Calibri" w:cs="Calibri" w:eastAsia="Calibri" w:hAnsi="Calibri"/>
          <w:rtl w:val="0"/>
        </w:rPr>
        <w:t xml:space="preserve">Metodología para la estimación del margen de dumping</w:t>
      </w:r>
    </w:p>
    <w:p w:rsidR="00000000" w:rsidDel="00000000" w:rsidP="00000000" w:rsidRDefault="00000000" w:rsidRPr="00000000" w14:paraId="000001C4">
      <w:pPr>
        <w:rPr/>
      </w:pPr>
      <w:r w:rsidDel="00000000" w:rsidR="00000000" w:rsidRPr="00000000">
        <w:rPr>
          <w:rtl w:val="0"/>
        </w:rPr>
        <w:t xml:space="preserve">En investigaciones antidumping, el margen de dumping se determina mediante la comparación entre el valor normal y el precio de exportación del producto investigado.</w:t>
      </w:r>
    </w:p>
    <w:p w:rsidR="00000000" w:rsidDel="00000000" w:rsidP="00000000" w:rsidRDefault="00000000" w:rsidRPr="00000000" w14:paraId="000001C5">
      <w:pPr>
        <w:rPr/>
      </w:pPr>
      <w:r w:rsidDel="00000000" w:rsidR="00000000" w:rsidRPr="00000000">
        <w:rPr>
          <w:rtl w:val="0"/>
        </w:rPr>
        <w:t xml:space="preserve">Como se explicó en la sección anterior, la República Popular China no es considerada una economía de mercado para fines de investigaciones antidumping, debido a la existencia de distorsiones significativas derivadas de la intervención estatal en la asignación de recursos y en la formación de precios.</w:t>
      </w:r>
    </w:p>
    <w:p w:rsidR="00000000" w:rsidDel="00000000" w:rsidP="00000000" w:rsidRDefault="00000000" w:rsidRPr="00000000" w14:paraId="000001C6">
      <w:pPr>
        <w:rPr/>
      </w:pPr>
      <w:r w:rsidDel="00000000" w:rsidR="00000000" w:rsidRPr="00000000">
        <w:rPr>
          <w:rtl w:val="0"/>
        </w:rPr>
        <w:t xml:space="preserve">En consecuencia, los precios domésticos chinos no constituyen una referencia fiable para determinar el valor normal del producto investigado. Por esta razón, conforme a la práctica internacional y a lo establecido en la investigación original del caso, el valor normal fue construido utilizando Brasil como país sustituto o de referencia.</w:t>
      </w:r>
    </w:p>
    <w:p w:rsidR="00000000" w:rsidDel="00000000" w:rsidP="00000000" w:rsidRDefault="00000000" w:rsidRPr="00000000" w14:paraId="000001C7">
      <w:pPr>
        <w:rPr/>
      </w:pPr>
      <w:r w:rsidDel="00000000" w:rsidR="00000000" w:rsidRPr="00000000">
        <w:rPr>
          <w:rtl w:val="0"/>
        </w:rPr>
        <w:t xml:space="preserve">Brasil constituye un referente apropiado debido a:</w:t>
      </w:r>
    </w:p>
    <w:p w:rsidR="00000000" w:rsidDel="00000000" w:rsidP="00000000" w:rsidRDefault="00000000" w:rsidRPr="00000000" w14:paraId="000001C8">
      <w:pPr>
        <w:numPr>
          <w:ilvl w:val="0"/>
          <w:numId w:val="4"/>
        </w:numPr>
        <w:ind w:left="720" w:hanging="360"/>
        <w:rPr/>
      </w:pPr>
      <w:r w:rsidDel="00000000" w:rsidR="00000000" w:rsidRPr="00000000">
        <w:rPr>
          <w:rtl w:val="0"/>
        </w:rPr>
        <w:t xml:space="preserve">su nivel de desarrollo económico comparable al de China;</w:t>
      </w:r>
    </w:p>
    <w:p w:rsidR="00000000" w:rsidDel="00000000" w:rsidP="00000000" w:rsidRDefault="00000000" w:rsidRPr="00000000" w14:paraId="000001C9">
      <w:pPr>
        <w:numPr>
          <w:ilvl w:val="0"/>
          <w:numId w:val="4"/>
        </w:numPr>
        <w:ind w:left="720" w:hanging="360"/>
        <w:rPr/>
      </w:pPr>
      <w:r w:rsidDel="00000000" w:rsidR="00000000" w:rsidRPr="00000000">
        <w:rPr>
          <w:rtl w:val="0"/>
        </w:rPr>
        <w:t xml:space="preserve">la existencia de una industria siderúrgica significativa que produce el producto similar bajo condiciones de mercado; y</w:t>
      </w:r>
    </w:p>
    <w:p w:rsidR="00000000" w:rsidDel="00000000" w:rsidP="00000000" w:rsidRDefault="00000000" w:rsidRPr="00000000" w14:paraId="000001CA">
      <w:pPr>
        <w:numPr>
          <w:ilvl w:val="0"/>
          <w:numId w:val="4"/>
        </w:numPr>
        <w:ind w:left="720" w:hanging="360"/>
        <w:rPr/>
      </w:pPr>
      <w:r w:rsidDel="00000000" w:rsidR="00000000" w:rsidRPr="00000000">
        <w:rPr>
          <w:rtl w:val="0"/>
        </w:rPr>
        <w:t xml:space="preserve">la disponibilidad de información pública y confiable sobre precios domésticos del producto.</w:t>
      </w:r>
    </w:p>
    <w:p w:rsidR="00000000" w:rsidDel="00000000" w:rsidP="00000000" w:rsidRDefault="00000000" w:rsidRPr="00000000" w14:paraId="000001CB">
      <w:pPr>
        <w:rPr/>
      </w:pPr>
      <w:r w:rsidDel="00000000" w:rsidR="00000000" w:rsidRPr="00000000">
        <w:rPr>
          <w:rtl w:val="0"/>
        </w:rPr>
        <w:t xml:space="preserve">Bajo esta metodología, el valor normal se aproxima mediante el precio doméstico de varillas de acero en Brasil, mientras que el precio de exportación se aproxima mediante el precio de exportación de varillas de acero de China (FOB puerto principal).</w:t>
      </w:r>
    </w:p>
    <w:p w:rsidR="00000000" w:rsidDel="00000000" w:rsidP="00000000" w:rsidRDefault="00000000" w:rsidRPr="00000000" w14:paraId="000001CC">
      <w:pPr>
        <w:pStyle w:val="Heading2"/>
        <w:rPr>
          <w:rFonts w:ascii="Calibri" w:cs="Calibri" w:eastAsia="Calibri" w:hAnsi="Calibri"/>
        </w:rPr>
      </w:pPr>
      <w:bookmarkStart w:colFirst="0" w:colLast="0" w:name="_heading=h.am9b0qxo4ffz" w:id="12"/>
      <w:bookmarkEnd w:id="12"/>
      <w:r w:rsidDel="00000000" w:rsidR="00000000" w:rsidRPr="00000000">
        <w:rPr>
          <w:rFonts w:ascii="Calibri" w:cs="Calibri" w:eastAsia="Calibri" w:hAnsi="Calibri"/>
          <w:rtl w:val="0"/>
        </w:rPr>
        <w:t xml:space="preserve">Evolución reciente de los precios y márgenes de dumping</w:t>
      </w:r>
    </w:p>
    <w:p w:rsidR="00000000" w:rsidDel="00000000" w:rsidP="00000000" w:rsidRDefault="00000000" w:rsidRPr="00000000" w14:paraId="000001CD">
      <w:pPr>
        <w:rPr/>
      </w:pPr>
      <w:r w:rsidDel="00000000" w:rsidR="00000000" w:rsidRPr="00000000">
        <w:rPr>
          <w:rtl w:val="0"/>
        </w:rPr>
        <w:t xml:space="preserve">A partir de información de mercado disponible para el período 2021-2025, se compararon los precios de exportación de China con los precios domésticos observados en Brasil.</w:t>
      </w:r>
    </w:p>
    <w:p w:rsidR="00000000" w:rsidDel="00000000" w:rsidP="00000000" w:rsidRDefault="00000000" w:rsidRPr="00000000" w14:paraId="000001CE">
      <w:pPr>
        <w:rPr>
          <w:b w:val="1"/>
          <w:bCs w:val="1"/>
          <w:sz w:val="22"/>
          <w:szCs w:val="22"/>
        </w:rPr>
      </w:pPr>
      <w:r w:rsidDel="00000000" w:rsidR="00000000" w:rsidRPr="00000000">
        <w:rPr>
          <w:b w:val="1"/>
          <w:bCs w:val="1"/>
          <w:sz w:val="22"/>
          <w:szCs w:val="22"/>
          <w:rtl w:val="0"/>
        </w:rPr>
        <w:t xml:space="preserve">Cálculo de margen de dumping para China (Buscar ajustes para poner el doméstico en el puerto)</w:t>
      </w:r>
    </w:p>
    <w:tbl>
      <w:tblPr>
        <w:tblStyle w:val="Table8"/>
        <w:tblW w:w="75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2075"/>
        <w:gridCol w:w="2160"/>
        <w:gridCol w:w="2160"/>
        <w:tblGridChange w:id="0">
          <w:tblGrid>
            <w:gridCol w:w="1165"/>
            <w:gridCol w:w="2075"/>
            <w:gridCol w:w="2160"/>
            <w:gridCol w:w="2160"/>
          </w:tblGrid>
        </w:tblGridChange>
      </w:tblGrid>
      <w:tr>
        <w:trPr>
          <w:cantSplit w:val="0"/>
          <w:trHeight w:val="335" w:hRule="atLeast"/>
          <w:tblHeader w:val="0"/>
        </w:trPr>
        <w:tc>
          <w:tcPr>
            <w:shd w:fill="3e7d7e" w:val="clear"/>
            <w:vAlign w:val="center"/>
          </w:tcPr>
          <w:p w:rsidR="00000000" w:rsidDel="00000000" w:rsidP="00000000" w:rsidRDefault="00000000" w:rsidRPr="00000000" w14:paraId="000001CF">
            <w:pPr>
              <w:spacing w:after="0" w:line="240" w:lineRule="auto"/>
              <w:jc w:val="center"/>
              <w:rPr>
                <w:b w:val="1"/>
                <w:bCs w:val="1"/>
                <w:color w:val="ffffff"/>
                <w:sz w:val="22"/>
                <w:szCs w:val="22"/>
              </w:rPr>
            </w:pPr>
            <w:r w:rsidDel="00000000" w:rsidR="00000000" w:rsidRPr="00000000">
              <w:rPr>
                <w:b w:val="1"/>
                <w:bCs w:val="1"/>
                <w:color w:val="ffffff"/>
                <w:sz w:val="22"/>
                <w:szCs w:val="22"/>
                <w:rtl w:val="0"/>
              </w:rPr>
              <w:t xml:space="preserve">Año</w:t>
            </w:r>
          </w:p>
        </w:tc>
        <w:tc>
          <w:tcPr>
            <w:shd w:fill="3e7d7e" w:val="clear"/>
            <w:vAlign w:val="center"/>
          </w:tcPr>
          <w:p w:rsidR="00000000" w:rsidDel="00000000" w:rsidP="00000000" w:rsidRDefault="00000000" w:rsidRPr="00000000" w14:paraId="000001D0">
            <w:pPr>
              <w:spacing w:after="0" w:line="240" w:lineRule="auto"/>
              <w:jc w:val="center"/>
              <w:rPr>
                <w:b w:val="1"/>
                <w:bCs w:val="1"/>
                <w:color w:val="ffffff"/>
                <w:sz w:val="22"/>
                <w:szCs w:val="22"/>
              </w:rPr>
            </w:pPr>
            <w:r w:rsidDel="00000000" w:rsidR="00000000" w:rsidRPr="00000000">
              <w:rPr>
                <w:b w:val="1"/>
                <w:bCs w:val="1"/>
                <w:color w:val="ffffff"/>
                <w:sz w:val="22"/>
                <w:szCs w:val="22"/>
                <w:rtl w:val="0"/>
              </w:rPr>
              <w:t xml:space="preserve">Precio exportación China</w:t>
            </w:r>
          </w:p>
        </w:tc>
        <w:tc>
          <w:tcPr>
            <w:shd w:fill="3e7d7e" w:val="clear"/>
            <w:vAlign w:val="center"/>
          </w:tcPr>
          <w:p w:rsidR="00000000" w:rsidDel="00000000" w:rsidP="00000000" w:rsidRDefault="00000000" w:rsidRPr="00000000" w14:paraId="000001D1">
            <w:pPr>
              <w:spacing w:after="0" w:line="240" w:lineRule="auto"/>
              <w:jc w:val="center"/>
              <w:rPr>
                <w:b w:val="1"/>
                <w:bCs w:val="1"/>
                <w:color w:val="ffffff"/>
                <w:sz w:val="22"/>
                <w:szCs w:val="22"/>
              </w:rPr>
            </w:pPr>
            <w:r w:rsidDel="00000000" w:rsidR="00000000" w:rsidRPr="00000000">
              <w:rPr>
                <w:b w:val="1"/>
                <w:bCs w:val="1"/>
                <w:color w:val="ffffff"/>
                <w:sz w:val="22"/>
                <w:szCs w:val="22"/>
                <w:rtl w:val="0"/>
              </w:rPr>
              <w:t xml:space="preserve">Precio Doméstico Brasil</w:t>
            </w:r>
          </w:p>
        </w:tc>
        <w:tc>
          <w:tcPr>
            <w:shd w:fill="3e7d7e" w:val="clear"/>
            <w:vAlign w:val="center"/>
          </w:tcPr>
          <w:p w:rsidR="00000000" w:rsidDel="00000000" w:rsidP="00000000" w:rsidRDefault="00000000" w:rsidRPr="00000000" w14:paraId="000001D2">
            <w:pPr>
              <w:spacing w:after="0" w:line="240" w:lineRule="auto"/>
              <w:jc w:val="center"/>
              <w:rPr>
                <w:b w:val="1"/>
                <w:bCs w:val="1"/>
                <w:color w:val="ffffff"/>
                <w:sz w:val="22"/>
                <w:szCs w:val="22"/>
              </w:rPr>
            </w:pPr>
            <w:r w:rsidDel="00000000" w:rsidR="00000000" w:rsidRPr="00000000">
              <w:rPr>
                <w:b w:val="1"/>
                <w:bCs w:val="1"/>
                <w:color w:val="ffffff"/>
                <w:sz w:val="22"/>
                <w:szCs w:val="22"/>
                <w:rtl w:val="0"/>
              </w:rPr>
              <w:t xml:space="preserve">Margen Dumping</w:t>
            </w:r>
          </w:p>
        </w:tc>
      </w:tr>
      <w:tr>
        <w:trPr>
          <w:cantSplit w:val="0"/>
          <w:trHeight w:val="335" w:hRule="atLeast"/>
          <w:tblHeader w:val="0"/>
        </w:trPr>
        <w:tc>
          <w:tcPr>
            <w:vAlign w:val="bottom"/>
          </w:tcPr>
          <w:p w:rsidR="00000000" w:rsidDel="00000000" w:rsidP="00000000" w:rsidRDefault="00000000" w:rsidRPr="00000000" w14:paraId="000001D3">
            <w:pPr>
              <w:spacing w:after="0" w:line="240" w:lineRule="auto"/>
              <w:jc w:val="center"/>
              <w:rPr>
                <w:color w:val="000000"/>
                <w:sz w:val="22"/>
                <w:szCs w:val="22"/>
              </w:rPr>
            </w:pPr>
            <w:r w:rsidDel="00000000" w:rsidR="00000000" w:rsidRPr="00000000">
              <w:rPr>
                <w:color w:val="000000"/>
                <w:sz w:val="22"/>
                <w:szCs w:val="22"/>
                <w:rtl w:val="0"/>
              </w:rPr>
              <w:t xml:space="preserve">2021</w:t>
            </w:r>
          </w:p>
        </w:tc>
        <w:tc>
          <w:tcPr>
            <w:vAlign w:val="bottom"/>
          </w:tcPr>
          <w:p w:rsidR="00000000" w:rsidDel="00000000" w:rsidP="00000000" w:rsidRDefault="00000000" w:rsidRPr="00000000" w14:paraId="000001D4">
            <w:pPr>
              <w:spacing w:after="0" w:line="240" w:lineRule="auto"/>
              <w:jc w:val="center"/>
              <w:rPr>
                <w:color w:val="000000"/>
                <w:sz w:val="22"/>
                <w:szCs w:val="22"/>
              </w:rPr>
            </w:pPr>
            <w:r w:rsidDel="00000000" w:rsidR="00000000" w:rsidRPr="00000000">
              <w:rPr>
                <w:color w:val="000000"/>
                <w:sz w:val="22"/>
                <w:szCs w:val="22"/>
                <w:rtl w:val="0"/>
              </w:rPr>
              <w:t xml:space="preserve">813.5</w:t>
            </w:r>
          </w:p>
        </w:tc>
        <w:tc>
          <w:tcPr>
            <w:vAlign w:val="bottom"/>
          </w:tcPr>
          <w:p w:rsidR="00000000" w:rsidDel="00000000" w:rsidP="00000000" w:rsidRDefault="00000000" w:rsidRPr="00000000" w14:paraId="000001D5">
            <w:pPr>
              <w:spacing w:after="0" w:line="240" w:lineRule="auto"/>
              <w:jc w:val="center"/>
              <w:rPr>
                <w:color w:val="000000"/>
                <w:sz w:val="22"/>
                <w:szCs w:val="22"/>
              </w:rPr>
            </w:pPr>
            <w:r w:rsidDel="00000000" w:rsidR="00000000" w:rsidRPr="00000000">
              <w:rPr>
                <w:color w:val="000000"/>
                <w:sz w:val="22"/>
                <w:szCs w:val="22"/>
                <w:rtl w:val="0"/>
              </w:rPr>
              <w:t xml:space="preserve">949.8</w:t>
            </w:r>
          </w:p>
        </w:tc>
        <w:tc>
          <w:tcPr>
            <w:vAlign w:val="bottom"/>
          </w:tcPr>
          <w:p w:rsidR="00000000" w:rsidDel="00000000" w:rsidP="00000000" w:rsidRDefault="00000000" w:rsidRPr="00000000" w14:paraId="000001D6">
            <w:pPr>
              <w:spacing w:after="0" w:line="240" w:lineRule="auto"/>
              <w:jc w:val="center"/>
              <w:rPr>
                <w:color w:val="000000"/>
                <w:sz w:val="22"/>
                <w:szCs w:val="22"/>
              </w:rPr>
            </w:pPr>
            <w:r w:rsidDel="00000000" w:rsidR="00000000" w:rsidRPr="00000000">
              <w:rPr>
                <w:color w:val="000000"/>
                <w:sz w:val="22"/>
                <w:szCs w:val="22"/>
                <w:rtl w:val="0"/>
              </w:rPr>
              <w:t xml:space="preserve">18%</w:t>
            </w:r>
          </w:p>
        </w:tc>
      </w:tr>
      <w:tr>
        <w:trPr>
          <w:cantSplit w:val="0"/>
          <w:trHeight w:val="335" w:hRule="atLeast"/>
          <w:tblHeader w:val="0"/>
        </w:trPr>
        <w:tc>
          <w:tcPr>
            <w:vAlign w:val="bottom"/>
          </w:tcPr>
          <w:p w:rsidR="00000000" w:rsidDel="00000000" w:rsidP="00000000" w:rsidRDefault="00000000" w:rsidRPr="00000000" w14:paraId="000001D7">
            <w:pPr>
              <w:spacing w:after="0" w:line="240" w:lineRule="auto"/>
              <w:jc w:val="center"/>
              <w:rPr>
                <w:color w:val="000000"/>
                <w:sz w:val="22"/>
                <w:szCs w:val="22"/>
              </w:rPr>
            </w:pPr>
            <w:r w:rsidDel="00000000" w:rsidR="00000000" w:rsidRPr="00000000">
              <w:rPr>
                <w:color w:val="000000"/>
                <w:sz w:val="22"/>
                <w:szCs w:val="22"/>
                <w:rtl w:val="0"/>
              </w:rPr>
              <w:t xml:space="preserve">2022</w:t>
            </w:r>
          </w:p>
        </w:tc>
        <w:tc>
          <w:tcPr>
            <w:vAlign w:val="bottom"/>
          </w:tcPr>
          <w:p w:rsidR="00000000" w:rsidDel="00000000" w:rsidP="00000000" w:rsidRDefault="00000000" w:rsidRPr="00000000" w14:paraId="000001D8">
            <w:pPr>
              <w:spacing w:after="0" w:line="240" w:lineRule="auto"/>
              <w:jc w:val="center"/>
              <w:rPr>
                <w:color w:val="000000"/>
                <w:sz w:val="22"/>
                <w:szCs w:val="22"/>
              </w:rPr>
            </w:pPr>
            <w:r w:rsidDel="00000000" w:rsidR="00000000" w:rsidRPr="00000000">
              <w:rPr>
                <w:color w:val="000000"/>
                <w:sz w:val="22"/>
                <w:szCs w:val="22"/>
                <w:rtl w:val="0"/>
              </w:rPr>
              <w:t xml:space="preserve">711.5</w:t>
            </w:r>
          </w:p>
        </w:tc>
        <w:tc>
          <w:tcPr>
            <w:vAlign w:val="bottom"/>
          </w:tcPr>
          <w:p w:rsidR="00000000" w:rsidDel="00000000" w:rsidP="00000000" w:rsidRDefault="00000000" w:rsidRPr="00000000" w14:paraId="000001D9">
            <w:pPr>
              <w:spacing w:after="0" w:line="240" w:lineRule="auto"/>
              <w:jc w:val="center"/>
              <w:rPr>
                <w:color w:val="000000"/>
                <w:sz w:val="22"/>
                <w:szCs w:val="22"/>
              </w:rPr>
            </w:pPr>
            <w:r w:rsidDel="00000000" w:rsidR="00000000" w:rsidRPr="00000000">
              <w:rPr>
                <w:color w:val="000000"/>
                <w:sz w:val="22"/>
                <w:szCs w:val="22"/>
                <w:rtl w:val="0"/>
              </w:rPr>
              <w:t xml:space="preserve">927.3</w:t>
            </w:r>
          </w:p>
        </w:tc>
        <w:tc>
          <w:tcPr>
            <w:vAlign w:val="bottom"/>
          </w:tcPr>
          <w:p w:rsidR="00000000" w:rsidDel="00000000" w:rsidP="00000000" w:rsidRDefault="00000000" w:rsidRPr="00000000" w14:paraId="000001DA">
            <w:pPr>
              <w:spacing w:after="0" w:line="240" w:lineRule="auto"/>
              <w:jc w:val="center"/>
              <w:rPr>
                <w:color w:val="000000"/>
                <w:sz w:val="22"/>
                <w:szCs w:val="22"/>
              </w:rPr>
            </w:pPr>
            <w:r w:rsidDel="00000000" w:rsidR="00000000" w:rsidRPr="00000000">
              <w:rPr>
                <w:color w:val="000000"/>
                <w:sz w:val="22"/>
                <w:szCs w:val="22"/>
                <w:rtl w:val="0"/>
              </w:rPr>
              <w:t xml:space="preserve">32%</w:t>
            </w:r>
          </w:p>
        </w:tc>
      </w:tr>
      <w:tr>
        <w:trPr>
          <w:cantSplit w:val="0"/>
          <w:trHeight w:val="335" w:hRule="atLeast"/>
          <w:tblHeader w:val="0"/>
        </w:trPr>
        <w:tc>
          <w:tcPr>
            <w:vAlign w:val="bottom"/>
          </w:tcPr>
          <w:p w:rsidR="00000000" w:rsidDel="00000000" w:rsidP="00000000" w:rsidRDefault="00000000" w:rsidRPr="00000000" w14:paraId="000001DB">
            <w:pPr>
              <w:spacing w:after="0" w:line="240" w:lineRule="auto"/>
              <w:jc w:val="center"/>
              <w:rPr>
                <w:color w:val="000000"/>
                <w:sz w:val="22"/>
                <w:szCs w:val="22"/>
              </w:rPr>
            </w:pPr>
            <w:r w:rsidDel="00000000" w:rsidR="00000000" w:rsidRPr="00000000">
              <w:rPr>
                <w:color w:val="000000"/>
                <w:sz w:val="22"/>
                <w:szCs w:val="22"/>
                <w:rtl w:val="0"/>
              </w:rPr>
              <w:t xml:space="preserve">2023</w:t>
            </w:r>
          </w:p>
        </w:tc>
        <w:tc>
          <w:tcPr>
            <w:vAlign w:val="bottom"/>
          </w:tcPr>
          <w:p w:rsidR="00000000" w:rsidDel="00000000" w:rsidP="00000000" w:rsidRDefault="00000000" w:rsidRPr="00000000" w14:paraId="000001DC">
            <w:pPr>
              <w:spacing w:after="0" w:line="240" w:lineRule="auto"/>
              <w:jc w:val="center"/>
              <w:rPr>
                <w:color w:val="000000"/>
                <w:sz w:val="22"/>
                <w:szCs w:val="22"/>
              </w:rPr>
            </w:pPr>
            <w:r w:rsidDel="00000000" w:rsidR="00000000" w:rsidRPr="00000000">
              <w:rPr>
                <w:color w:val="000000"/>
                <w:sz w:val="22"/>
                <w:szCs w:val="22"/>
                <w:rtl w:val="0"/>
              </w:rPr>
              <w:t xml:space="preserve">596.8</w:t>
            </w:r>
          </w:p>
        </w:tc>
        <w:tc>
          <w:tcPr>
            <w:vAlign w:val="bottom"/>
          </w:tcPr>
          <w:p w:rsidR="00000000" w:rsidDel="00000000" w:rsidP="00000000" w:rsidRDefault="00000000" w:rsidRPr="00000000" w14:paraId="000001DD">
            <w:pPr>
              <w:spacing w:after="0" w:line="240" w:lineRule="auto"/>
              <w:jc w:val="center"/>
              <w:rPr>
                <w:color w:val="000000"/>
                <w:sz w:val="22"/>
                <w:szCs w:val="22"/>
              </w:rPr>
            </w:pPr>
            <w:r w:rsidDel="00000000" w:rsidR="00000000" w:rsidRPr="00000000">
              <w:rPr>
                <w:color w:val="000000"/>
                <w:sz w:val="22"/>
                <w:szCs w:val="22"/>
                <w:rtl w:val="0"/>
              </w:rPr>
              <w:t xml:space="preserve">825.1</w:t>
            </w:r>
          </w:p>
        </w:tc>
        <w:tc>
          <w:tcPr>
            <w:vAlign w:val="bottom"/>
          </w:tcPr>
          <w:p w:rsidR="00000000" w:rsidDel="00000000" w:rsidP="00000000" w:rsidRDefault="00000000" w:rsidRPr="00000000" w14:paraId="000001DE">
            <w:pPr>
              <w:spacing w:after="0" w:line="240" w:lineRule="auto"/>
              <w:jc w:val="center"/>
              <w:rPr>
                <w:color w:val="000000"/>
                <w:sz w:val="22"/>
                <w:szCs w:val="22"/>
              </w:rPr>
            </w:pPr>
            <w:r w:rsidDel="00000000" w:rsidR="00000000" w:rsidRPr="00000000">
              <w:rPr>
                <w:color w:val="000000"/>
                <w:sz w:val="22"/>
                <w:szCs w:val="22"/>
                <w:rtl w:val="0"/>
              </w:rPr>
              <w:t xml:space="preserve">39%</w:t>
            </w:r>
          </w:p>
        </w:tc>
      </w:tr>
      <w:tr>
        <w:trPr>
          <w:cantSplit w:val="0"/>
          <w:trHeight w:val="335" w:hRule="atLeast"/>
          <w:tblHeader w:val="0"/>
        </w:trPr>
        <w:tc>
          <w:tcPr>
            <w:vAlign w:val="bottom"/>
          </w:tcPr>
          <w:p w:rsidR="00000000" w:rsidDel="00000000" w:rsidP="00000000" w:rsidRDefault="00000000" w:rsidRPr="00000000" w14:paraId="000001DF">
            <w:pPr>
              <w:spacing w:after="0" w:line="240" w:lineRule="auto"/>
              <w:jc w:val="center"/>
              <w:rPr>
                <w:color w:val="000000"/>
                <w:sz w:val="22"/>
                <w:szCs w:val="22"/>
              </w:rPr>
            </w:pPr>
            <w:r w:rsidDel="00000000" w:rsidR="00000000" w:rsidRPr="00000000">
              <w:rPr>
                <w:color w:val="000000"/>
                <w:sz w:val="22"/>
                <w:szCs w:val="22"/>
                <w:rtl w:val="0"/>
              </w:rPr>
              <w:t xml:space="preserve">2024</w:t>
            </w:r>
          </w:p>
        </w:tc>
        <w:tc>
          <w:tcPr>
            <w:vAlign w:val="bottom"/>
          </w:tcPr>
          <w:p w:rsidR="00000000" w:rsidDel="00000000" w:rsidP="00000000" w:rsidRDefault="00000000" w:rsidRPr="00000000" w14:paraId="000001E0">
            <w:pPr>
              <w:spacing w:after="0" w:line="240" w:lineRule="auto"/>
              <w:jc w:val="center"/>
              <w:rPr>
                <w:color w:val="000000"/>
                <w:sz w:val="22"/>
                <w:szCs w:val="22"/>
              </w:rPr>
            </w:pPr>
            <w:r w:rsidDel="00000000" w:rsidR="00000000" w:rsidRPr="00000000">
              <w:rPr>
                <w:color w:val="000000"/>
                <w:sz w:val="22"/>
                <w:szCs w:val="22"/>
                <w:rtl w:val="0"/>
              </w:rPr>
              <w:t xml:space="preserve">528.4</w:t>
            </w:r>
          </w:p>
        </w:tc>
        <w:tc>
          <w:tcPr>
            <w:vAlign w:val="bottom"/>
          </w:tcPr>
          <w:p w:rsidR="00000000" w:rsidDel="00000000" w:rsidP="00000000" w:rsidRDefault="00000000" w:rsidRPr="00000000" w14:paraId="000001E1">
            <w:pPr>
              <w:spacing w:after="0" w:line="240" w:lineRule="auto"/>
              <w:jc w:val="center"/>
              <w:rPr>
                <w:color w:val="000000"/>
                <w:sz w:val="22"/>
                <w:szCs w:val="22"/>
              </w:rPr>
            </w:pPr>
            <w:r w:rsidDel="00000000" w:rsidR="00000000" w:rsidRPr="00000000">
              <w:rPr>
                <w:color w:val="000000"/>
                <w:sz w:val="22"/>
                <w:szCs w:val="22"/>
                <w:rtl w:val="0"/>
              </w:rPr>
              <w:t xml:space="preserve">757.1</w:t>
            </w:r>
          </w:p>
        </w:tc>
        <w:tc>
          <w:tcPr>
            <w:vAlign w:val="bottom"/>
          </w:tcPr>
          <w:p w:rsidR="00000000" w:rsidDel="00000000" w:rsidP="00000000" w:rsidRDefault="00000000" w:rsidRPr="00000000" w14:paraId="000001E2">
            <w:pPr>
              <w:spacing w:after="0" w:line="240" w:lineRule="auto"/>
              <w:jc w:val="center"/>
              <w:rPr>
                <w:color w:val="000000"/>
                <w:sz w:val="22"/>
                <w:szCs w:val="22"/>
              </w:rPr>
            </w:pPr>
            <w:r w:rsidDel="00000000" w:rsidR="00000000" w:rsidRPr="00000000">
              <w:rPr>
                <w:color w:val="000000"/>
                <w:sz w:val="22"/>
                <w:szCs w:val="22"/>
                <w:rtl w:val="0"/>
              </w:rPr>
              <w:t xml:space="preserve">44%</w:t>
            </w:r>
          </w:p>
        </w:tc>
      </w:tr>
      <w:tr>
        <w:trPr>
          <w:cantSplit w:val="0"/>
          <w:trHeight w:val="335" w:hRule="atLeast"/>
          <w:tblHeader w:val="0"/>
        </w:trPr>
        <w:tc>
          <w:tcPr>
            <w:vAlign w:val="bottom"/>
          </w:tcPr>
          <w:p w:rsidR="00000000" w:rsidDel="00000000" w:rsidP="00000000" w:rsidRDefault="00000000" w:rsidRPr="00000000" w14:paraId="000001E3">
            <w:pPr>
              <w:spacing w:after="0" w:line="240" w:lineRule="auto"/>
              <w:jc w:val="center"/>
              <w:rPr>
                <w:color w:val="000000"/>
                <w:sz w:val="22"/>
                <w:szCs w:val="22"/>
              </w:rPr>
            </w:pPr>
            <w:r w:rsidDel="00000000" w:rsidR="00000000" w:rsidRPr="00000000">
              <w:rPr>
                <w:color w:val="000000"/>
                <w:sz w:val="22"/>
                <w:szCs w:val="22"/>
                <w:rtl w:val="0"/>
              </w:rPr>
              <w:t xml:space="preserve">2025</w:t>
            </w:r>
          </w:p>
        </w:tc>
        <w:tc>
          <w:tcPr>
            <w:vAlign w:val="bottom"/>
          </w:tcPr>
          <w:p w:rsidR="00000000" w:rsidDel="00000000" w:rsidP="00000000" w:rsidRDefault="00000000" w:rsidRPr="00000000" w14:paraId="000001E4">
            <w:pPr>
              <w:spacing w:after="0" w:line="240" w:lineRule="auto"/>
              <w:jc w:val="center"/>
              <w:rPr>
                <w:color w:val="000000"/>
                <w:sz w:val="22"/>
                <w:szCs w:val="22"/>
              </w:rPr>
            </w:pPr>
            <w:r w:rsidDel="00000000" w:rsidR="00000000" w:rsidRPr="00000000">
              <w:rPr>
                <w:color w:val="000000"/>
                <w:sz w:val="22"/>
                <w:szCs w:val="22"/>
                <w:rtl w:val="0"/>
              </w:rPr>
              <w:t xml:space="preserve">474.4</w:t>
            </w:r>
          </w:p>
        </w:tc>
        <w:tc>
          <w:tcPr>
            <w:vAlign w:val="bottom"/>
          </w:tcPr>
          <w:p w:rsidR="00000000" w:rsidDel="00000000" w:rsidP="00000000" w:rsidRDefault="00000000" w:rsidRPr="00000000" w14:paraId="000001E5">
            <w:pPr>
              <w:spacing w:after="0" w:line="240" w:lineRule="auto"/>
              <w:jc w:val="center"/>
              <w:rPr>
                <w:color w:val="000000"/>
                <w:sz w:val="22"/>
                <w:szCs w:val="22"/>
              </w:rPr>
            </w:pPr>
            <w:r w:rsidDel="00000000" w:rsidR="00000000" w:rsidRPr="00000000">
              <w:rPr>
                <w:color w:val="000000"/>
                <w:sz w:val="22"/>
                <w:szCs w:val="22"/>
                <w:rtl w:val="0"/>
              </w:rPr>
              <w:t xml:space="preserve">639.0</w:t>
            </w:r>
          </w:p>
        </w:tc>
        <w:tc>
          <w:tcPr>
            <w:vAlign w:val="bottom"/>
          </w:tcPr>
          <w:p w:rsidR="00000000" w:rsidDel="00000000" w:rsidP="00000000" w:rsidRDefault="00000000" w:rsidRPr="00000000" w14:paraId="000001E6">
            <w:pPr>
              <w:spacing w:after="0" w:line="240" w:lineRule="auto"/>
              <w:jc w:val="center"/>
              <w:rPr>
                <w:color w:val="000000"/>
                <w:sz w:val="22"/>
                <w:szCs w:val="22"/>
              </w:rPr>
            </w:pPr>
            <w:r w:rsidDel="00000000" w:rsidR="00000000" w:rsidRPr="00000000">
              <w:rPr>
                <w:color w:val="000000"/>
                <w:sz w:val="22"/>
                <w:szCs w:val="22"/>
                <w:rtl w:val="0"/>
              </w:rPr>
              <w:t xml:space="preserve">35%</w:t>
            </w:r>
          </w:p>
        </w:tc>
      </w:tr>
      <w:tr>
        <w:trPr>
          <w:cantSplit w:val="0"/>
          <w:trHeight w:val="335" w:hRule="atLeast"/>
          <w:tblHeader w:val="0"/>
        </w:trPr>
        <w:tc>
          <w:tcPr>
            <w:vAlign w:val="bottom"/>
          </w:tcPr>
          <w:p w:rsidR="00000000" w:rsidDel="00000000" w:rsidP="00000000" w:rsidRDefault="00000000" w:rsidRPr="00000000" w14:paraId="000001E7">
            <w:pPr>
              <w:spacing w:after="0" w:line="240" w:lineRule="auto"/>
              <w:jc w:val="center"/>
              <w:rPr>
                <w:color w:val="000000"/>
                <w:sz w:val="22"/>
                <w:szCs w:val="22"/>
              </w:rPr>
            </w:pPr>
            <w:r w:rsidDel="00000000" w:rsidR="00000000" w:rsidRPr="00000000">
              <w:rPr>
                <w:color w:val="000000"/>
                <w:sz w:val="22"/>
                <w:szCs w:val="22"/>
                <w:rtl w:val="0"/>
              </w:rPr>
              <w:t xml:space="preserve">Promedio</w:t>
            </w:r>
          </w:p>
        </w:tc>
        <w:tc>
          <w:tcPr>
            <w:vAlign w:val="bottom"/>
          </w:tcPr>
          <w:p w:rsidR="00000000" w:rsidDel="00000000" w:rsidP="00000000" w:rsidRDefault="00000000" w:rsidRPr="00000000" w14:paraId="000001E8">
            <w:pPr>
              <w:spacing w:after="0" w:line="240" w:lineRule="auto"/>
              <w:jc w:val="center"/>
              <w:rPr>
                <w:color w:val="000000"/>
                <w:sz w:val="22"/>
                <w:szCs w:val="22"/>
              </w:rPr>
            </w:pPr>
            <w:r w:rsidDel="00000000" w:rsidR="00000000" w:rsidRPr="00000000">
              <w:rPr>
                <w:color w:val="000000"/>
                <w:sz w:val="22"/>
                <w:szCs w:val="22"/>
                <w:rtl w:val="0"/>
              </w:rPr>
              <w:t xml:space="preserve">xx</w:t>
            </w:r>
          </w:p>
        </w:tc>
        <w:tc>
          <w:tcPr>
            <w:vAlign w:val="bottom"/>
          </w:tcPr>
          <w:p w:rsidR="00000000" w:rsidDel="00000000" w:rsidP="00000000" w:rsidRDefault="00000000" w:rsidRPr="00000000" w14:paraId="000001E9">
            <w:pPr>
              <w:spacing w:after="0" w:line="240" w:lineRule="auto"/>
              <w:jc w:val="center"/>
              <w:rPr>
                <w:color w:val="000000"/>
                <w:sz w:val="22"/>
                <w:szCs w:val="22"/>
              </w:rPr>
            </w:pPr>
            <w:r w:rsidDel="00000000" w:rsidR="00000000" w:rsidRPr="00000000">
              <w:rPr>
                <w:color w:val="000000"/>
                <w:sz w:val="22"/>
                <w:szCs w:val="22"/>
                <w:rtl w:val="0"/>
              </w:rPr>
              <w:t xml:space="preserve">xx</w:t>
            </w:r>
          </w:p>
        </w:tc>
        <w:tc>
          <w:tcPr>
            <w:vAlign w:val="bottom"/>
          </w:tcPr>
          <w:p w:rsidR="00000000" w:rsidDel="00000000" w:rsidP="00000000" w:rsidRDefault="00000000" w:rsidRPr="00000000" w14:paraId="000001EA">
            <w:pPr>
              <w:spacing w:after="0" w:line="240" w:lineRule="auto"/>
              <w:jc w:val="center"/>
              <w:rPr>
                <w:color w:val="000000"/>
                <w:sz w:val="22"/>
                <w:szCs w:val="22"/>
              </w:rPr>
            </w:pPr>
            <w:r w:rsidDel="00000000" w:rsidR="00000000" w:rsidRPr="00000000">
              <w:rPr>
                <w:color w:val="000000"/>
                <w:sz w:val="22"/>
                <w:szCs w:val="22"/>
                <w:rtl w:val="0"/>
              </w:rPr>
              <w:t xml:space="preserve">xx</w:t>
            </w:r>
          </w:p>
        </w:tc>
      </w:tr>
    </w:tbl>
    <w:p w:rsidR="00000000" w:rsidDel="00000000" w:rsidP="00000000" w:rsidRDefault="00000000" w:rsidRPr="00000000" w14:paraId="000001EB">
      <w:pPr>
        <w:spacing w:after="60" w:before="40" w:lineRule="auto"/>
        <w:ind w:firstLine="720"/>
        <w:rPr/>
      </w:pPr>
      <w:r w:rsidDel="00000000" w:rsidR="00000000" w:rsidRPr="00000000">
        <w:rPr>
          <w:i w:val="1"/>
          <w:iCs w:val="1"/>
          <w:color w:val="595959"/>
          <w:sz w:val="16"/>
          <w:szCs w:val="16"/>
          <w:rtl w:val="0"/>
        </w:rPr>
        <w:t xml:space="preserve">Fuente: Fastmarkets</w:t>
      </w:r>
      <w:r w:rsidDel="00000000" w:rsidR="00000000" w:rsidRPr="00000000">
        <w:rPr>
          <w:rtl w:val="0"/>
        </w:rPr>
      </w:r>
    </w:p>
    <w:p w:rsidR="00000000" w:rsidDel="00000000" w:rsidP="00000000" w:rsidRDefault="00000000" w:rsidRPr="00000000" w14:paraId="000001EC">
      <w:pPr>
        <w:spacing w:after="60" w:before="40" w:lineRule="auto"/>
        <w:ind w:firstLine="720"/>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Los resultados evidencian la existencia de márgenes de dumping significativos durante todo el período analizado. El margen promedio simple para el período 2021-2025 asciende aproximadamente a 34%, lo que confirma que los precios de exportación de China se mantienen sustancialmente por debajo de los precios observados en un mercado comparable.</w:t>
      </w:r>
    </w:p>
    <w:p w:rsidR="00000000" w:rsidDel="00000000" w:rsidP="00000000" w:rsidRDefault="00000000" w:rsidRPr="00000000" w14:paraId="000001EE">
      <w:pPr>
        <w:rPr/>
      </w:pPr>
      <w:r w:rsidDel="00000000" w:rsidR="00000000" w:rsidRPr="00000000">
        <w:rPr>
          <w:rtl w:val="0"/>
        </w:rPr>
        <w:t xml:space="preserve">Asimismo, se observa una tendencia creciente en el margen de dumping entre 2021 y 2024, alcanzando un máximo de 44% en 2024. Aunque en 2025 se observa una ligera reducción, el margen permanece en niveles elevados (35%), muy por encima de lo que podría considerarse una diferencia normal derivada de condiciones de mercado.</w:t>
      </w:r>
    </w:p>
    <w:p w:rsidR="00000000" w:rsidDel="00000000" w:rsidP="00000000" w:rsidRDefault="00000000" w:rsidRPr="00000000" w14:paraId="000001E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F0">
      <w:pPr>
        <w:pStyle w:val="Heading2"/>
        <w:rPr>
          <w:rFonts w:ascii="Calibri" w:cs="Calibri" w:eastAsia="Calibri" w:hAnsi="Calibri"/>
        </w:rPr>
      </w:pPr>
      <w:bookmarkStart w:colFirst="0" w:colLast="0" w:name="_heading=h.pdmnon8a9vvu" w:id="13"/>
      <w:bookmarkEnd w:id="13"/>
      <w:r w:rsidDel="00000000" w:rsidR="00000000" w:rsidRPr="00000000">
        <w:rPr>
          <w:rFonts w:ascii="Calibri" w:cs="Calibri" w:eastAsia="Calibri" w:hAnsi="Calibri"/>
          <w:rtl w:val="0"/>
        </w:rPr>
        <w:t xml:space="preserve">Evolución reciente de las exportaciones chinas de varillas de acero</w:t>
      </w:r>
    </w:p>
    <w:p w:rsidR="00000000" w:rsidDel="00000000" w:rsidP="00000000" w:rsidRDefault="00000000" w:rsidRPr="00000000" w14:paraId="000001F1">
      <w:pPr>
        <w:rPr/>
      </w:pPr>
      <w:r w:rsidDel="00000000" w:rsidR="00000000" w:rsidRPr="00000000">
        <w:rPr>
          <w:rtl w:val="0"/>
        </w:rPr>
        <w:t xml:space="preserve">El análisis del comportamiento exportador de China en el mercado mundial de varillas de acero permite evaluar la capacidad del país para colocar grandes volúmenes de producción en los mercados internacionales. En el caso de la partida HS 721420 (varillas de acero), las exportaciones chinas han mostrado una tendencia creciente en los últimos años, en línea con el aumento observado en las exportaciones totales de acero del país.</w:t>
      </w:r>
    </w:p>
    <w:p w:rsidR="00000000" w:rsidDel="00000000" w:rsidP="00000000" w:rsidRDefault="00000000" w:rsidRPr="00000000" w14:paraId="000001F2">
      <w:pPr>
        <w:rPr/>
      </w:pPr>
      <w:r w:rsidDel="00000000" w:rsidR="00000000" w:rsidRPr="00000000">
        <w:rPr>
          <w:rtl w:val="0"/>
        </w:rPr>
        <w:t xml:space="preserve">La evolución reciente evidencia una aceleración significativa a partir de 2022. Como se observa en el Gráfico, las exportaciones chinas de varillas de acero hacia el mercado mundial han registrado un crecimiento sostenido, alcanzando aproximadamente 2.5 millones de toneladas en 2024, el nivel más alto del período analizado. Este comportamiento confirma la fuerte capacidad exportadora de la industria siderúrgica china y su creciente orientación hacia los mercados externos para absorber su producción.</w:t>
      </w:r>
    </w:p>
    <w:p w:rsidR="00000000" w:rsidDel="00000000" w:rsidP="00000000" w:rsidRDefault="00000000" w:rsidRPr="00000000" w14:paraId="000001F3">
      <w:pPr>
        <w:rPr>
          <w:b w:val="1"/>
          <w:bCs w:val="1"/>
          <w:sz w:val="22"/>
          <w:szCs w:val="22"/>
        </w:rPr>
      </w:pPr>
      <w:r w:rsidDel="00000000" w:rsidR="00000000" w:rsidRPr="00000000">
        <w:rPr>
          <w:b w:val="1"/>
          <w:bCs w:val="1"/>
          <w:sz w:val="22"/>
          <w:szCs w:val="22"/>
          <w:rtl w:val="0"/>
        </w:rPr>
        <w:t xml:space="preserve">Exportaciones de Varillas HS 7214.20 desde China al mundo</w:t>
      </w:r>
    </w:p>
    <w:p w:rsidR="00000000" w:rsidDel="00000000" w:rsidP="00000000" w:rsidRDefault="00000000" w:rsidRPr="00000000" w14:paraId="000001F4">
      <w:pPr>
        <w:rPr/>
      </w:pPr>
      <w:r w:rsidDel="00000000" w:rsidR="00000000" w:rsidRPr="00000000">
        <w:rPr>
          <w:color w:val="3e7d7e"/>
        </w:rPr>
        <w:drawing>
          <wp:inline distB="0" distT="0" distL="0" distR="0">
            <wp:extent cx="5889625" cy="3431969"/>
            <wp:docPr id="2047128229"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Esto incremento no ha sido únicamente del mercado, es un aumento brusco con relación a los demás exportadores en el mercado, en el 2018, según los datos de Trademap ocupaba el ranking 21, en exportaciones de varillas mientras que en menos de 10 años ya ocupa el puesto número 2 de exportador, solo detrás de Turquía. </w:t>
      </w:r>
    </w:p>
    <w:tbl>
      <w:tblPr>
        <w:tblStyle w:val="Table9"/>
        <w:tblW w:w="9280.000000000002" w:type="dxa"/>
        <w:jc w:val="left"/>
        <w:tblLayout w:type="fixed"/>
        <w:tblLook w:val="0400"/>
      </w:tblPr>
      <w:tblGrid>
        <w:gridCol w:w="2133"/>
        <w:gridCol w:w="1021"/>
        <w:gridCol w:w="1021"/>
        <w:gridCol w:w="1021"/>
        <w:gridCol w:w="1021"/>
        <w:gridCol w:w="1021"/>
        <w:gridCol w:w="1021"/>
        <w:gridCol w:w="1021"/>
        <w:tblGridChange w:id="0">
          <w:tblGrid>
            <w:gridCol w:w="2133"/>
            <w:gridCol w:w="1021"/>
            <w:gridCol w:w="1021"/>
            <w:gridCol w:w="1021"/>
            <w:gridCol w:w="1021"/>
            <w:gridCol w:w="1021"/>
            <w:gridCol w:w="1021"/>
            <w:gridCol w:w="1021"/>
          </w:tblGrid>
        </w:tblGridChange>
      </w:tblGrid>
      <w:tr>
        <w:trPr>
          <w:cantSplit w:val="0"/>
          <w:trHeight w:val="447" w:hRule="atLeast"/>
          <w:tblHeader w:val="0"/>
        </w:trPr>
        <w:tc>
          <w:tcPr>
            <w:tcBorders>
              <w:top w:color="002b54" w:space="0" w:sz="4" w:val="single"/>
              <w:left w:color="002b54" w:space="0" w:sz="4" w:val="single"/>
              <w:bottom w:color="000000" w:space="0" w:sz="4" w:val="single"/>
              <w:right w:color="000000" w:space="0" w:sz="4" w:val="single"/>
            </w:tcBorders>
            <w:shd w:fill="3e7d7e" w:val="clear"/>
            <w:vAlign w:val="center"/>
          </w:tcPr>
          <w:p w:rsidR="00000000" w:rsidDel="00000000" w:rsidP="00000000" w:rsidRDefault="00000000" w:rsidRPr="00000000" w14:paraId="000001F6">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Exportadores</w:t>
            </w:r>
          </w:p>
        </w:tc>
        <w:tc>
          <w:tcPr>
            <w:tcBorders>
              <w:top w:color="002b54" w:space="0" w:sz="4" w:val="single"/>
              <w:left w:color="000000" w:space="0" w:sz="4" w:val="single"/>
              <w:bottom w:color="000000" w:space="0" w:sz="4" w:val="single"/>
              <w:right w:color="000000" w:space="0" w:sz="4" w:val="single"/>
            </w:tcBorders>
            <w:shd w:fill="3e7d7e" w:val="clear"/>
            <w:vAlign w:val="center"/>
          </w:tcPr>
          <w:p w:rsidR="00000000" w:rsidDel="00000000" w:rsidP="00000000" w:rsidRDefault="00000000" w:rsidRPr="00000000" w14:paraId="000001F7">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2018</w:t>
            </w:r>
          </w:p>
        </w:tc>
        <w:tc>
          <w:tcPr>
            <w:tcBorders>
              <w:top w:color="002b54" w:space="0" w:sz="4" w:val="single"/>
              <w:left w:color="000000" w:space="0" w:sz="0" w:val="nil"/>
              <w:bottom w:color="000000" w:space="0" w:sz="4" w:val="single"/>
              <w:right w:color="000000" w:space="0" w:sz="4" w:val="single"/>
            </w:tcBorders>
            <w:shd w:fill="3e7d7e" w:val="clear"/>
            <w:vAlign w:val="center"/>
          </w:tcPr>
          <w:p w:rsidR="00000000" w:rsidDel="00000000" w:rsidP="00000000" w:rsidRDefault="00000000" w:rsidRPr="00000000" w14:paraId="000001F8">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2019</w:t>
            </w:r>
          </w:p>
        </w:tc>
        <w:tc>
          <w:tcPr>
            <w:tcBorders>
              <w:top w:color="002b54" w:space="0" w:sz="4" w:val="single"/>
              <w:left w:color="000000" w:space="0" w:sz="0" w:val="nil"/>
              <w:bottom w:color="000000" w:space="0" w:sz="4" w:val="single"/>
              <w:right w:color="000000" w:space="0" w:sz="4" w:val="single"/>
            </w:tcBorders>
            <w:shd w:fill="3e7d7e" w:val="clear"/>
            <w:vAlign w:val="center"/>
          </w:tcPr>
          <w:p w:rsidR="00000000" w:rsidDel="00000000" w:rsidP="00000000" w:rsidRDefault="00000000" w:rsidRPr="00000000" w14:paraId="000001F9">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2020</w:t>
            </w:r>
          </w:p>
        </w:tc>
        <w:tc>
          <w:tcPr>
            <w:tcBorders>
              <w:top w:color="002b54" w:space="0" w:sz="4" w:val="single"/>
              <w:left w:color="000000" w:space="0" w:sz="0" w:val="nil"/>
              <w:bottom w:color="000000" w:space="0" w:sz="4" w:val="single"/>
              <w:right w:color="000000" w:space="0" w:sz="4" w:val="single"/>
            </w:tcBorders>
            <w:shd w:fill="3e7d7e" w:val="clear"/>
            <w:vAlign w:val="center"/>
          </w:tcPr>
          <w:p w:rsidR="00000000" w:rsidDel="00000000" w:rsidP="00000000" w:rsidRDefault="00000000" w:rsidRPr="00000000" w14:paraId="000001FA">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2021</w:t>
            </w:r>
          </w:p>
        </w:tc>
        <w:tc>
          <w:tcPr>
            <w:tcBorders>
              <w:top w:color="002b54" w:space="0" w:sz="4" w:val="single"/>
              <w:left w:color="000000" w:space="0" w:sz="0" w:val="nil"/>
              <w:bottom w:color="000000" w:space="0" w:sz="4" w:val="single"/>
              <w:right w:color="000000" w:space="0" w:sz="4" w:val="single"/>
            </w:tcBorders>
            <w:shd w:fill="3e7d7e" w:val="clear"/>
            <w:vAlign w:val="center"/>
          </w:tcPr>
          <w:p w:rsidR="00000000" w:rsidDel="00000000" w:rsidP="00000000" w:rsidRDefault="00000000" w:rsidRPr="00000000" w14:paraId="000001FB">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2022</w:t>
            </w:r>
          </w:p>
        </w:tc>
        <w:tc>
          <w:tcPr>
            <w:tcBorders>
              <w:top w:color="002b54" w:space="0" w:sz="4" w:val="single"/>
              <w:left w:color="000000" w:space="0" w:sz="0" w:val="nil"/>
              <w:bottom w:color="000000" w:space="0" w:sz="4" w:val="single"/>
              <w:right w:color="000000" w:space="0" w:sz="4" w:val="single"/>
            </w:tcBorders>
            <w:shd w:fill="3e7d7e" w:val="clear"/>
            <w:vAlign w:val="center"/>
          </w:tcPr>
          <w:p w:rsidR="00000000" w:rsidDel="00000000" w:rsidP="00000000" w:rsidRDefault="00000000" w:rsidRPr="00000000" w14:paraId="000001FC">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2023</w:t>
            </w:r>
          </w:p>
        </w:tc>
        <w:tc>
          <w:tcPr>
            <w:tcBorders>
              <w:top w:color="002b54" w:space="0" w:sz="4" w:val="single"/>
              <w:left w:color="000000" w:space="0" w:sz="0" w:val="nil"/>
              <w:bottom w:color="000000" w:space="0" w:sz="4" w:val="single"/>
              <w:right w:color="000000" w:space="0" w:sz="4" w:val="single"/>
            </w:tcBorders>
            <w:shd w:fill="3e7d7e" w:val="clear"/>
            <w:vAlign w:val="center"/>
          </w:tcPr>
          <w:p w:rsidR="00000000" w:rsidDel="00000000" w:rsidP="00000000" w:rsidRDefault="00000000" w:rsidRPr="00000000" w14:paraId="000001FD">
            <w:pPr>
              <w:spacing w:after="0" w:line="240" w:lineRule="auto"/>
              <w:jc w:val="center"/>
              <w:rPr>
                <w:rFonts w:ascii="Aptos Narrow" w:cs="Aptos Narrow" w:eastAsia="Aptos Narrow" w:hAnsi="Aptos Narrow"/>
                <w:b w:val="1"/>
                <w:bCs w:val="1"/>
                <w:color w:val="ffffff"/>
                <w:sz w:val="16"/>
                <w:szCs w:val="16"/>
              </w:rPr>
            </w:pPr>
            <w:r w:rsidDel="00000000" w:rsidR="00000000" w:rsidRPr="00000000">
              <w:rPr>
                <w:rFonts w:ascii="Aptos Narrow" w:cs="Aptos Narrow" w:eastAsia="Aptos Narrow" w:hAnsi="Aptos Narrow"/>
                <w:b w:val="1"/>
                <w:bCs w:val="1"/>
                <w:color w:val="ffffff"/>
                <w:sz w:val="16"/>
                <w:szCs w:val="16"/>
                <w:rtl w:val="0"/>
              </w:rPr>
              <w:t xml:space="preserve">2024</w:t>
            </w:r>
          </w:p>
        </w:tc>
      </w:tr>
      <w:tr>
        <w:trPr>
          <w:cantSplit w:val="0"/>
          <w:trHeight w:val="447" w:hRule="atLeast"/>
          <w:tblHeader w:val="0"/>
        </w:trPr>
        <w:tc>
          <w:tcPr>
            <w:tcBorders>
              <w:top w:color="000000" w:space="0" w:sz="0" w:val="nil"/>
              <w:left w:color="002b54" w:space="0" w:sz="4" w:val="single"/>
              <w:bottom w:color="000000" w:space="0" w:sz="4" w:val="single"/>
              <w:right w:color="000000" w:space="0" w:sz="4" w:val="single"/>
            </w:tcBorders>
            <w:vAlign w:val="center"/>
          </w:tcPr>
          <w:p w:rsidR="00000000" w:rsidDel="00000000" w:rsidP="00000000" w:rsidRDefault="00000000" w:rsidRPr="00000000" w14:paraId="000001FE">
            <w:pPr>
              <w:spacing w:after="0" w:line="240" w:lineRule="auto"/>
              <w:jc w:val="center"/>
              <w:rPr>
                <w:rFonts w:ascii="Aptos Narrow" w:cs="Aptos Narrow" w:eastAsia="Aptos Narrow" w:hAnsi="Aptos Narrow"/>
                <w:color w:val="002b54"/>
                <w:sz w:val="16"/>
                <w:szCs w:val="16"/>
              </w:rPr>
            </w:pPr>
            <w:r w:rsidDel="00000000" w:rsidR="00000000" w:rsidRPr="00000000">
              <w:rPr>
                <w:rFonts w:ascii="Aptos Narrow" w:cs="Aptos Narrow" w:eastAsia="Aptos Narrow" w:hAnsi="Aptos Narrow"/>
                <w:color w:val="002b54"/>
                <w:sz w:val="16"/>
                <w:szCs w:val="16"/>
                <w:rtl w:val="0"/>
              </w:rPr>
              <w:t xml:space="preserve">Mundo</w:t>
            </w:r>
          </w:p>
        </w:tc>
        <w:tc>
          <w:tcPr>
            <w:tcBorders>
              <w:top w:color="002b54" w:space="0" w:sz="4" w:val="single"/>
              <w:left w:color="002b54" w:space="0" w:sz="4" w:val="single"/>
              <w:bottom w:color="002b54" w:space="0" w:sz="4" w:val="single"/>
              <w:right w:color="002b54" w:space="0" w:sz="4" w:val="single"/>
            </w:tcBorders>
            <w:vAlign w:val="center"/>
          </w:tcPr>
          <w:p w:rsidR="00000000" w:rsidDel="00000000" w:rsidP="00000000" w:rsidRDefault="00000000" w:rsidRPr="00000000" w14:paraId="000001FF">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20,117,645</w:t>
            </w:r>
          </w:p>
        </w:tc>
        <w:tc>
          <w:tcPr>
            <w:tcBorders>
              <w:top w:color="002b54" w:space="0" w:sz="4" w:val="single"/>
              <w:left w:color="000000" w:space="0" w:sz="0" w:val="nil"/>
              <w:bottom w:color="002b54" w:space="0" w:sz="4" w:val="single"/>
              <w:right w:color="002b54" w:space="0" w:sz="4" w:val="single"/>
            </w:tcBorders>
            <w:vAlign w:val="center"/>
          </w:tcPr>
          <w:p w:rsidR="00000000" w:rsidDel="00000000" w:rsidP="00000000" w:rsidRDefault="00000000" w:rsidRPr="00000000" w14:paraId="00000200">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21,363,404</w:t>
            </w:r>
          </w:p>
        </w:tc>
        <w:tc>
          <w:tcPr>
            <w:tcBorders>
              <w:top w:color="002b54" w:space="0" w:sz="4" w:val="single"/>
              <w:left w:color="000000" w:space="0" w:sz="0" w:val="nil"/>
              <w:bottom w:color="002b54" w:space="0" w:sz="4" w:val="single"/>
              <w:right w:color="002b54" w:space="0" w:sz="4" w:val="single"/>
            </w:tcBorders>
            <w:vAlign w:val="center"/>
          </w:tcPr>
          <w:p w:rsidR="00000000" w:rsidDel="00000000" w:rsidP="00000000" w:rsidRDefault="00000000" w:rsidRPr="00000000" w14:paraId="00000201">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21,359,669</w:t>
            </w:r>
          </w:p>
        </w:tc>
        <w:tc>
          <w:tcPr>
            <w:tcBorders>
              <w:top w:color="002b54" w:space="0" w:sz="4" w:val="single"/>
              <w:left w:color="000000" w:space="0" w:sz="0" w:val="nil"/>
              <w:bottom w:color="002b54" w:space="0" w:sz="4" w:val="single"/>
              <w:right w:color="002b54" w:space="0" w:sz="4" w:val="single"/>
            </w:tcBorders>
            <w:vAlign w:val="center"/>
          </w:tcPr>
          <w:p w:rsidR="00000000" w:rsidDel="00000000" w:rsidP="00000000" w:rsidRDefault="00000000" w:rsidRPr="00000000" w14:paraId="00000202">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26,146,147</w:t>
            </w:r>
          </w:p>
        </w:tc>
        <w:tc>
          <w:tcPr>
            <w:tcBorders>
              <w:top w:color="002b54" w:space="0" w:sz="4" w:val="single"/>
              <w:left w:color="000000" w:space="0" w:sz="0" w:val="nil"/>
              <w:bottom w:color="002b54" w:space="0" w:sz="4" w:val="single"/>
              <w:right w:color="002b54" w:space="0" w:sz="4" w:val="single"/>
            </w:tcBorders>
            <w:vAlign w:val="center"/>
          </w:tcPr>
          <w:p w:rsidR="00000000" w:rsidDel="00000000" w:rsidP="00000000" w:rsidRDefault="00000000" w:rsidRPr="00000000" w14:paraId="00000203">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21,697,063</w:t>
            </w:r>
          </w:p>
        </w:tc>
        <w:tc>
          <w:tcPr>
            <w:tcBorders>
              <w:top w:color="002b54" w:space="0" w:sz="4" w:val="single"/>
              <w:left w:color="000000" w:space="0" w:sz="0" w:val="nil"/>
              <w:bottom w:color="002b54" w:space="0" w:sz="4" w:val="single"/>
              <w:right w:color="002b54" w:space="0" w:sz="4" w:val="single"/>
            </w:tcBorders>
            <w:vAlign w:val="center"/>
          </w:tcPr>
          <w:p w:rsidR="00000000" w:rsidDel="00000000" w:rsidP="00000000" w:rsidRDefault="00000000" w:rsidRPr="00000000" w14:paraId="00000204">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19,497,706</w:t>
            </w:r>
          </w:p>
        </w:tc>
        <w:tc>
          <w:tcPr>
            <w:tcBorders>
              <w:top w:color="002b54" w:space="0" w:sz="4" w:val="single"/>
              <w:left w:color="000000" w:space="0" w:sz="0" w:val="nil"/>
              <w:bottom w:color="002b54" w:space="0" w:sz="4" w:val="single"/>
              <w:right w:color="002b54" w:space="0" w:sz="4" w:val="single"/>
            </w:tcBorders>
            <w:vAlign w:val="center"/>
          </w:tcPr>
          <w:p w:rsidR="00000000" w:rsidDel="00000000" w:rsidP="00000000" w:rsidRDefault="00000000" w:rsidRPr="00000000" w14:paraId="00000205">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18,768,419</w:t>
            </w:r>
          </w:p>
        </w:tc>
      </w:tr>
      <w:tr>
        <w:trPr>
          <w:cantSplit w:val="0"/>
          <w:trHeight w:val="447" w:hRule="atLeast"/>
          <w:tblHeader w:val="0"/>
        </w:trPr>
        <w:tc>
          <w:tcPr>
            <w:tcBorders>
              <w:top w:color="000000" w:space="0" w:sz="0" w:val="nil"/>
              <w:left w:color="002b54" w:space="0" w:sz="4" w:val="single"/>
              <w:bottom w:color="000000" w:space="0" w:sz="4" w:val="single"/>
              <w:right w:color="000000" w:space="0" w:sz="4" w:val="single"/>
            </w:tcBorders>
            <w:vAlign w:val="center"/>
          </w:tcPr>
          <w:p w:rsidR="00000000" w:rsidDel="00000000" w:rsidP="00000000" w:rsidRDefault="00000000" w:rsidRPr="00000000" w14:paraId="00000206">
            <w:pPr>
              <w:spacing w:after="0" w:line="240" w:lineRule="auto"/>
              <w:jc w:val="center"/>
              <w:rPr>
                <w:rFonts w:ascii="Aptos Narrow" w:cs="Aptos Narrow" w:eastAsia="Aptos Narrow" w:hAnsi="Aptos Narrow"/>
                <w:color w:val="002b54"/>
                <w:sz w:val="16"/>
                <w:szCs w:val="16"/>
              </w:rPr>
            </w:pPr>
            <w:r w:rsidDel="00000000" w:rsidR="00000000" w:rsidRPr="00000000">
              <w:rPr>
                <w:rFonts w:ascii="Aptos Narrow" w:cs="Aptos Narrow" w:eastAsia="Aptos Narrow" w:hAnsi="Aptos Narrow"/>
                <w:color w:val="002b54"/>
                <w:sz w:val="16"/>
                <w:szCs w:val="16"/>
                <w:rtl w:val="0"/>
              </w:rPr>
              <w:t xml:space="preserve">China</w:t>
            </w:r>
          </w:p>
        </w:tc>
        <w:tc>
          <w:tcPr>
            <w:tcBorders>
              <w:top w:color="000000" w:space="0" w:sz="0" w:val="nil"/>
              <w:left w:color="002b54" w:space="0" w:sz="4" w:val="single"/>
              <w:bottom w:color="002b54" w:space="0" w:sz="4" w:val="single"/>
              <w:right w:color="002b54" w:space="0" w:sz="4" w:val="single"/>
            </w:tcBorders>
            <w:vAlign w:val="center"/>
          </w:tcPr>
          <w:p w:rsidR="00000000" w:rsidDel="00000000" w:rsidP="00000000" w:rsidRDefault="00000000" w:rsidRPr="00000000" w14:paraId="00000207">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246,864</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08">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376,731</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09">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352,118</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0A">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394,747</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0B">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632,085</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0C">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1,618,866</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0D">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2,557,386</w:t>
            </w:r>
          </w:p>
        </w:tc>
      </w:tr>
      <w:tr>
        <w:trPr>
          <w:cantSplit w:val="0"/>
          <w:trHeight w:val="447" w:hRule="atLeast"/>
          <w:tblHeader w:val="0"/>
        </w:trPr>
        <w:tc>
          <w:tcPr>
            <w:tcBorders>
              <w:top w:color="000000" w:space="0" w:sz="0" w:val="nil"/>
              <w:left w:color="002b54" w:space="0" w:sz="4" w:val="single"/>
              <w:bottom w:color="000000" w:space="0" w:sz="4" w:val="single"/>
              <w:right w:color="000000" w:space="0" w:sz="4" w:val="single"/>
            </w:tcBorders>
            <w:vAlign w:val="center"/>
          </w:tcPr>
          <w:p w:rsidR="00000000" w:rsidDel="00000000" w:rsidP="00000000" w:rsidRDefault="00000000" w:rsidRPr="00000000" w14:paraId="0000020E">
            <w:pPr>
              <w:spacing w:after="0" w:line="240" w:lineRule="auto"/>
              <w:jc w:val="center"/>
              <w:rPr>
                <w:rFonts w:ascii="Aptos Narrow" w:cs="Aptos Narrow" w:eastAsia="Aptos Narrow" w:hAnsi="Aptos Narrow"/>
                <w:color w:val="002b54"/>
                <w:sz w:val="16"/>
                <w:szCs w:val="16"/>
              </w:rPr>
            </w:pPr>
            <w:r w:rsidDel="00000000" w:rsidR="00000000" w:rsidRPr="00000000">
              <w:rPr>
                <w:rFonts w:ascii="Aptos Narrow" w:cs="Aptos Narrow" w:eastAsia="Aptos Narrow" w:hAnsi="Aptos Narrow"/>
                <w:color w:val="002b54"/>
                <w:sz w:val="16"/>
                <w:szCs w:val="16"/>
                <w:rtl w:val="0"/>
              </w:rPr>
              <w:t xml:space="preserve">Ranking</w:t>
            </w:r>
          </w:p>
        </w:tc>
        <w:tc>
          <w:tcPr>
            <w:tcBorders>
              <w:top w:color="000000" w:space="0" w:sz="0" w:val="nil"/>
              <w:left w:color="002b54" w:space="0" w:sz="4" w:val="single"/>
              <w:bottom w:color="002b54" w:space="0" w:sz="4" w:val="single"/>
              <w:right w:color="002b54" w:space="0" w:sz="4" w:val="single"/>
            </w:tcBorders>
            <w:vAlign w:val="center"/>
          </w:tcPr>
          <w:p w:rsidR="00000000" w:rsidDel="00000000" w:rsidP="00000000" w:rsidRDefault="00000000" w:rsidRPr="00000000" w14:paraId="0000020F">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10">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11">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12">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13">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14">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w:t>
            </w:r>
          </w:p>
        </w:tc>
        <w:tc>
          <w:tcPr>
            <w:tcBorders>
              <w:top w:color="000000" w:space="0" w:sz="0" w:val="nil"/>
              <w:left w:color="000000" w:space="0" w:sz="0" w:val="nil"/>
              <w:bottom w:color="002b54" w:space="0" w:sz="4" w:val="single"/>
              <w:right w:color="002b54" w:space="0" w:sz="4" w:val="single"/>
            </w:tcBorders>
            <w:vAlign w:val="center"/>
          </w:tcPr>
          <w:p w:rsidR="00000000" w:rsidDel="00000000" w:rsidP="00000000" w:rsidRDefault="00000000" w:rsidRPr="00000000" w14:paraId="00000215">
            <w:pPr>
              <w:spacing w:after="0" w:line="240" w:lineRule="auto"/>
              <w:jc w:val="cente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w:t>
            </w:r>
          </w:p>
        </w:tc>
      </w:tr>
    </w:tbl>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El incremento de las exportaciones chinas no se limita al mercado global en su conjunto, sino que también se observa una expansión significativa hacia el continente americano. La siguiente tabla presenta la evolución del valor de las exportaciones chinas de varillas de acero hacia América entre 2014 y 2025, así como la participación de esta región dentro del total exportado por China.</w:t>
      </w:r>
    </w:p>
    <w:p w:rsidR="00000000" w:rsidDel="00000000" w:rsidP="00000000" w:rsidRDefault="00000000" w:rsidRPr="00000000" w14:paraId="00000218">
      <w:pPr>
        <w:rPr>
          <w:b w:val="1"/>
          <w:bCs w:val="1"/>
          <w:sz w:val="22"/>
          <w:szCs w:val="22"/>
        </w:rPr>
      </w:pPr>
      <w:r w:rsidDel="00000000" w:rsidR="00000000" w:rsidRPr="00000000">
        <w:rPr>
          <w:b w:val="1"/>
          <w:bCs w:val="1"/>
          <w:sz w:val="22"/>
          <w:szCs w:val="22"/>
          <w:rtl w:val="0"/>
        </w:rPr>
        <w:t xml:space="preserve">Exportaciones de Varillas HS 7214.20 desde China al América</w:t>
      </w:r>
    </w:p>
    <w:tbl>
      <w:tblPr>
        <w:tblStyle w:val="Table10"/>
        <w:tblW w:w="43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1107"/>
        <w:gridCol w:w="1302"/>
        <w:gridCol w:w="960"/>
        <w:tblGridChange w:id="0">
          <w:tblGrid>
            <w:gridCol w:w="960"/>
            <w:gridCol w:w="1107"/>
            <w:gridCol w:w="1302"/>
            <w:gridCol w:w="960"/>
          </w:tblGrid>
        </w:tblGridChange>
      </w:tblGrid>
      <w:tr>
        <w:trPr>
          <w:cantSplit w:val="0"/>
          <w:trHeight w:val="300" w:hRule="atLeast"/>
          <w:tblHeader w:val="0"/>
        </w:trPr>
        <w:tc>
          <w:tcPr>
            <w:shd w:fill="3e7d7e" w:val="clear"/>
            <w:vAlign w:val="center"/>
          </w:tcPr>
          <w:p w:rsidR="00000000" w:rsidDel="00000000" w:rsidP="00000000" w:rsidRDefault="00000000" w:rsidRPr="00000000" w14:paraId="00000219">
            <w:pPr>
              <w:spacing w:after="0" w:line="240" w:lineRule="auto"/>
              <w:jc w:val="center"/>
              <w:rPr>
                <w:color w:val="ffffff"/>
                <w:sz w:val="22"/>
                <w:szCs w:val="22"/>
              </w:rPr>
            </w:pPr>
            <w:r w:rsidDel="00000000" w:rsidR="00000000" w:rsidRPr="00000000">
              <w:rPr>
                <w:color w:val="ffffff"/>
                <w:sz w:val="22"/>
                <w:szCs w:val="22"/>
                <w:rtl w:val="0"/>
              </w:rPr>
              <w:t xml:space="preserve">Año</w:t>
            </w:r>
          </w:p>
        </w:tc>
        <w:tc>
          <w:tcPr>
            <w:shd w:fill="3e7d7e" w:val="clear"/>
            <w:vAlign w:val="center"/>
          </w:tcPr>
          <w:p w:rsidR="00000000" w:rsidDel="00000000" w:rsidP="00000000" w:rsidRDefault="00000000" w:rsidRPr="00000000" w14:paraId="0000021A">
            <w:pPr>
              <w:spacing w:after="0" w:line="240" w:lineRule="auto"/>
              <w:jc w:val="center"/>
              <w:rPr>
                <w:color w:val="ffffff"/>
                <w:sz w:val="22"/>
                <w:szCs w:val="22"/>
              </w:rPr>
            </w:pPr>
            <w:r w:rsidDel="00000000" w:rsidR="00000000" w:rsidRPr="00000000">
              <w:rPr>
                <w:color w:val="ffffff"/>
                <w:sz w:val="22"/>
                <w:szCs w:val="22"/>
                <w:rtl w:val="0"/>
              </w:rPr>
              <w:t xml:space="preserve">World</w:t>
            </w:r>
          </w:p>
        </w:tc>
        <w:tc>
          <w:tcPr>
            <w:shd w:fill="3e7d7e" w:val="clear"/>
            <w:vAlign w:val="center"/>
          </w:tcPr>
          <w:p w:rsidR="00000000" w:rsidDel="00000000" w:rsidP="00000000" w:rsidRDefault="00000000" w:rsidRPr="00000000" w14:paraId="0000021B">
            <w:pPr>
              <w:spacing w:after="0" w:line="240" w:lineRule="auto"/>
              <w:jc w:val="center"/>
              <w:rPr>
                <w:color w:val="ffffff"/>
                <w:sz w:val="22"/>
                <w:szCs w:val="22"/>
              </w:rPr>
            </w:pPr>
            <w:r w:rsidDel="00000000" w:rsidR="00000000" w:rsidRPr="00000000">
              <w:rPr>
                <w:color w:val="ffffff"/>
                <w:sz w:val="22"/>
                <w:szCs w:val="22"/>
                <w:rtl w:val="0"/>
              </w:rPr>
              <w:t xml:space="preserve">América </w:t>
            </w:r>
          </w:p>
        </w:tc>
        <w:tc>
          <w:tcPr>
            <w:shd w:fill="3e7d7e" w:val="clear"/>
            <w:vAlign w:val="center"/>
          </w:tcPr>
          <w:p w:rsidR="00000000" w:rsidDel="00000000" w:rsidP="00000000" w:rsidRDefault="00000000" w:rsidRPr="00000000" w14:paraId="0000021C">
            <w:pPr>
              <w:spacing w:after="0" w:line="240" w:lineRule="auto"/>
              <w:jc w:val="center"/>
              <w:rPr>
                <w:color w:val="ffffff"/>
                <w:sz w:val="22"/>
                <w:szCs w:val="22"/>
              </w:rPr>
            </w:pPr>
            <w:r w:rsidDel="00000000" w:rsidR="00000000" w:rsidRPr="00000000">
              <w:rPr>
                <w:color w:val="ffffff"/>
                <w:sz w:val="22"/>
                <w:szCs w:val="22"/>
                <w:rtl w:val="0"/>
              </w:rPr>
              <w:t xml:space="preserve">%</w:t>
            </w:r>
          </w:p>
        </w:tc>
      </w:tr>
      <w:tr>
        <w:trPr>
          <w:cantSplit w:val="0"/>
          <w:trHeight w:val="300" w:hRule="atLeast"/>
          <w:tblHeader w:val="0"/>
        </w:trPr>
        <w:tc>
          <w:tcPr>
            <w:vAlign w:val="center"/>
          </w:tcPr>
          <w:p w:rsidR="00000000" w:rsidDel="00000000" w:rsidP="00000000" w:rsidRDefault="00000000" w:rsidRPr="00000000" w14:paraId="0000021D">
            <w:pPr>
              <w:spacing w:after="0" w:line="240" w:lineRule="auto"/>
              <w:jc w:val="center"/>
              <w:rPr>
                <w:color w:val="000000"/>
                <w:sz w:val="22"/>
                <w:szCs w:val="22"/>
              </w:rPr>
            </w:pPr>
            <w:r w:rsidDel="00000000" w:rsidR="00000000" w:rsidRPr="00000000">
              <w:rPr>
                <w:color w:val="000000"/>
                <w:sz w:val="22"/>
                <w:szCs w:val="22"/>
                <w:rtl w:val="0"/>
              </w:rPr>
              <w:t xml:space="preserve">2014</w:t>
            </w:r>
          </w:p>
        </w:tc>
        <w:tc>
          <w:tcPr>
            <w:vAlign w:val="center"/>
          </w:tcPr>
          <w:p w:rsidR="00000000" w:rsidDel="00000000" w:rsidP="00000000" w:rsidRDefault="00000000" w:rsidRPr="00000000" w14:paraId="0000021E">
            <w:pPr>
              <w:spacing w:after="0" w:line="240" w:lineRule="auto"/>
              <w:jc w:val="center"/>
              <w:rPr>
                <w:color w:val="000000"/>
                <w:sz w:val="22"/>
                <w:szCs w:val="22"/>
              </w:rPr>
            </w:pPr>
            <w:r w:rsidDel="00000000" w:rsidR="00000000" w:rsidRPr="00000000">
              <w:rPr>
                <w:color w:val="000000"/>
                <w:sz w:val="22"/>
                <w:szCs w:val="22"/>
                <w:rtl w:val="0"/>
              </w:rPr>
              <w:t xml:space="preserve">189,006</w:t>
            </w:r>
          </w:p>
        </w:tc>
        <w:tc>
          <w:tcPr>
            <w:vAlign w:val="center"/>
          </w:tcPr>
          <w:p w:rsidR="00000000" w:rsidDel="00000000" w:rsidP="00000000" w:rsidRDefault="00000000" w:rsidRPr="00000000" w14:paraId="0000021F">
            <w:pPr>
              <w:spacing w:after="0" w:line="240" w:lineRule="auto"/>
              <w:jc w:val="center"/>
              <w:rPr>
                <w:color w:val="000000"/>
                <w:sz w:val="22"/>
                <w:szCs w:val="22"/>
              </w:rPr>
            </w:pPr>
            <w:r w:rsidDel="00000000" w:rsidR="00000000" w:rsidRPr="00000000">
              <w:rPr>
                <w:color w:val="000000"/>
                <w:sz w:val="22"/>
                <w:szCs w:val="22"/>
                <w:rtl w:val="0"/>
              </w:rPr>
              <w:t xml:space="preserve">2,496</w:t>
            </w:r>
          </w:p>
        </w:tc>
        <w:tc>
          <w:tcPr>
            <w:vAlign w:val="center"/>
          </w:tcPr>
          <w:p w:rsidR="00000000" w:rsidDel="00000000" w:rsidP="00000000" w:rsidRDefault="00000000" w:rsidRPr="00000000" w14:paraId="00000220">
            <w:pPr>
              <w:spacing w:after="0" w:line="240" w:lineRule="auto"/>
              <w:jc w:val="center"/>
              <w:rPr>
                <w:color w:val="000000"/>
                <w:sz w:val="22"/>
                <w:szCs w:val="22"/>
              </w:rPr>
            </w:pPr>
            <w:r w:rsidDel="00000000" w:rsidR="00000000" w:rsidRPr="00000000">
              <w:rPr>
                <w:color w:val="000000"/>
                <w:sz w:val="22"/>
                <w:szCs w:val="22"/>
                <w:rtl w:val="0"/>
              </w:rPr>
              <w:t xml:space="preserve">1.3%</w:t>
            </w:r>
          </w:p>
        </w:tc>
      </w:tr>
      <w:tr>
        <w:trPr>
          <w:cantSplit w:val="0"/>
          <w:trHeight w:val="300" w:hRule="atLeast"/>
          <w:tblHeader w:val="0"/>
        </w:trPr>
        <w:tc>
          <w:tcPr>
            <w:vAlign w:val="center"/>
          </w:tcPr>
          <w:p w:rsidR="00000000" w:rsidDel="00000000" w:rsidP="00000000" w:rsidRDefault="00000000" w:rsidRPr="00000000" w14:paraId="00000221">
            <w:pPr>
              <w:spacing w:after="0" w:line="240" w:lineRule="auto"/>
              <w:jc w:val="center"/>
              <w:rPr>
                <w:color w:val="000000"/>
                <w:sz w:val="22"/>
                <w:szCs w:val="22"/>
              </w:rPr>
            </w:pPr>
            <w:r w:rsidDel="00000000" w:rsidR="00000000" w:rsidRPr="00000000">
              <w:rPr>
                <w:color w:val="000000"/>
                <w:sz w:val="22"/>
                <w:szCs w:val="22"/>
                <w:rtl w:val="0"/>
              </w:rPr>
              <w:t xml:space="preserve">2015</w:t>
            </w:r>
          </w:p>
        </w:tc>
        <w:tc>
          <w:tcPr>
            <w:vAlign w:val="center"/>
          </w:tcPr>
          <w:p w:rsidR="00000000" w:rsidDel="00000000" w:rsidP="00000000" w:rsidRDefault="00000000" w:rsidRPr="00000000" w14:paraId="00000222">
            <w:pPr>
              <w:spacing w:after="0" w:line="240" w:lineRule="auto"/>
              <w:jc w:val="center"/>
              <w:rPr>
                <w:color w:val="000000"/>
                <w:sz w:val="22"/>
                <w:szCs w:val="22"/>
              </w:rPr>
            </w:pPr>
            <w:r w:rsidDel="00000000" w:rsidR="00000000" w:rsidRPr="00000000">
              <w:rPr>
                <w:color w:val="000000"/>
                <w:sz w:val="22"/>
                <w:szCs w:val="22"/>
                <w:rtl w:val="0"/>
              </w:rPr>
              <w:t xml:space="preserve">188,279</w:t>
            </w:r>
          </w:p>
        </w:tc>
        <w:tc>
          <w:tcPr>
            <w:vAlign w:val="center"/>
          </w:tcPr>
          <w:p w:rsidR="00000000" w:rsidDel="00000000" w:rsidP="00000000" w:rsidRDefault="00000000" w:rsidRPr="00000000" w14:paraId="00000223">
            <w:pPr>
              <w:spacing w:after="0" w:line="240" w:lineRule="auto"/>
              <w:jc w:val="center"/>
              <w:rPr>
                <w:color w:val="000000"/>
                <w:sz w:val="22"/>
                <w:szCs w:val="22"/>
              </w:rPr>
            </w:pPr>
            <w:r w:rsidDel="00000000" w:rsidR="00000000" w:rsidRPr="00000000">
              <w:rPr>
                <w:color w:val="000000"/>
                <w:sz w:val="22"/>
                <w:szCs w:val="22"/>
                <w:rtl w:val="0"/>
              </w:rPr>
              <w:t xml:space="preserve">3,933</w:t>
            </w:r>
          </w:p>
        </w:tc>
        <w:tc>
          <w:tcPr>
            <w:vAlign w:val="center"/>
          </w:tcPr>
          <w:p w:rsidR="00000000" w:rsidDel="00000000" w:rsidP="00000000" w:rsidRDefault="00000000" w:rsidRPr="00000000" w14:paraId="00000224">
            <w:pPr>
              <w:spacing w:after="0" w:line="240" w:lineRule="auto"/>
              <w:jc w:val="center"/>
              <w:rPr>
                <w:color w:val="000000"/>
                <w:sz w:val="22"/>
                <w:szCs w:val="22"/>
              </w:rPr>
            </w:pPr>
            <w:r w:rsidDel="00000000" w:rsidR="00000000" w:rsidRPr="00000000">
              <w:rPr>
                <w:color w:val="000000"/>
                <w:sz w:val="22"/>
                <w:szCs w:val="22"/>
                <w:rtl w:val="0"/>
              </w:rPr>
              <w:t xml:space="preserve">2.1%</w:t>
            </w:r>
          </w:p>
        </w:tc>
      </w:tr>
      <w:tr>
        <w:trPr>
          <w:cantSplit w:val="0"/>
          <w:trHeight w:val="300" w:hRule="atLeast"/>
          <w:tblHeader w:val="0"/>
        </w:trPr>
        <w:tc>
          <w:tcPr>
            <w:vAlign w:val="center"/>
          </w:tcPr>
          <w:p w:rsidR="00000000" w:rsidDel="00000000" w:rsidP="00000000" w:rsidRDefault="00000000" w:rsidRPr="00000000" w14:paraId="00000225">
            <w:pPr>
              <w:spacing w:after="0" w:line="240" w:lineRule="auto"/>
              <w:jc w:val="center"/>
              <w:rPr>
                <w:color w:val="000000"/>
                <w:sz w:val="22"/>
                <w:szCs w:val="22"/>
              </w:rPr>
            </w:pPr>
            <w:r w:rsidDel="00000000" w:rsidR="00000000" w:rsidRPr="00000000">
              <w:rPr>
                <w:color w:val="000000"/>
                <w:sz w:val="22"/>
                <w:szCs w:val="22"/>
                <w:rtl w:val="0"/>
              </w:rPr>
              <w:t xml:space="preserve">2016</w:t>
            </w:r>
          </w:p>
        </w:tc>
        <w:tc>
          <w:tcPr>
            <w:vAlign w:val="center"/>
          </w:tcPr>
          <w:p w:rsidR="00000000" w:rsidDel="00000000" w:rsidP="00000000" w:rsidRDefault="00000000" w:rsidRPr="00000000" w14:paraId="00000226">
            <w:pPr>
              <w:spacing w:after="0" w:line="240" w:lineRule="auto"/>
              <w:jc w:val="center"/>
              <w:rPr>
                <w:color w:val="000000"/>
                <w:sz w:val="22"/>
                <w:szCs w:val="22"/>
              </w:rPr>
            </w:pPr>
            <w:r w:rsidDel="00000000" w:rsidR="00000000" w:rsidRPr="00000000">
              <w:rPr>
                <w:color w:val="000000"/>
                <w:sz w:val="22"/>
                <w:szCs w:val="22"/>
                <w:rtl w:val="0"/>
              </w:rPr>
              <w:t xml:space="preserve">182,541</w:t>
            </w:r>
          </w:p>
        </w:tc>
        <w:tc>
          <w:tcPr>
            <w:vAlign w:val="center"/>
          </w:tcPr>
          <w:p w:rsidR="00000000" w:rsidDel="00000000" w:rsidP="00000000" w:rsidRDefault="00000000" w:rsidRPr="00000000" w14:paraId="00000227">
            <w:pPr>
              <w:spacing w:after="0" w:line="240" w:lineRule="auto"/>
              <w:jc w:val="center"/>
              <w:rPr>
                <w:color w:val="000000"/>
                <w:sz w:val="22"/>
                <w:szCs w:val="22"/>
              </w:rPr>
            </w:pPr>
            <w:r w:rsidDel="00000000" w:rsidR="00000000" w:rsidRPr="00000000">
              <w:rPr>
                <w:color w:val="000000"/>
                <w:sz w:val="22"/>
                <w:szCs w:val="22"/>
                <w:rtl w:val="0"/>
              </w:rPr>
              <w:t xml:space="preserve">3,292</w:t>
            </w:r>
          </w:p>
        </w:tc>
        <w:tc>
          <w:tcPr>
            <w:vAlign w:val="center"/>
          </w:tcPr>
          <w:p w:rsidR="00000000" w:rsidDel="00000000" w:rsidP="00000000" w:rsidRDefault="00000000" w:rsidRPr="00000000" w14:paraId="00000228">
            <w:pPr>
              <w:spacing w:after="0" w:line="240" w:lineRule="auto"/>
              <w:jc w:val="center"/>
              <w:rPr>
                <w:color w:val="000000"/>
                <w:sz w:val="22"/>
                <w:szCs w:val="22"/>
              </w:rPr>
            </w:pPr>
            <w:r w:rsidDel="00000000" w:rsidR="00000000" w:rsidRPr="00000000">
              <w:rPr>
                <w:color w:val="000000"/>
                <w:sz w:val="22"/>
                <w:szCs w:val="22"/>
                <w:rtl w:val="0"/>
              </w:rPr>
              <w:t xml:space="preserve">1.8%</w:t>
            </w:r>
          </w:p>
        </w:tc>
      </w:tr>
      <w:tr>
        <w:trPr>
          <w:cantSplit w:val="0"/>
          <w:trHeight w:val="300" w:hRule="atLeast"/>
          <w:tblHeader w:val="0"/>
        </w:trPr>
        <w:tc>
          <w:tcPr>
            <w:vAlign w:val="center"/>
          </w:tcPr>
          <w:p w:rsidR="00000000" w:rsidDel="00000000" w:rsidP="00000000" w:rsidRDefault="00000000" w:rsidRPr="00000000" w14:paraId="00000229">
            <w:pPr>
              <w:spacing w:after="0" w:line="240" w:lineRule="auto"/>
              <w:jc w:val="center"/>
              <w:rPr>
                <w:color w:val="000000"/>
                <w:sz w:val="22"/>
                <w:szCs w:val="22"/>
              </w:rPr>
            </w:pPr>
            <w:r w:rsidDel="00000000" w:rsidR="00000000" w:rsidRPr="00000000">
              <w:rPr>
                <w:color w:val="000000"/>
                <w:sz w:val="22"/>
                <w:szCs w:val="22"/>
                <w:rtl w:val="0"/>
              </w:rPr>
              <w:t xml:space="preserve">2017</w:t>
            </w:r>
          </w:p>
        </w:tc>
        <w:tc>
          <w:tcPr>
            <w:vAlign w:val="center"/>
          </w:tcPr>
          <w:p w:rsidR="00000000" w:rsidDel="00000000" w:rsidP="00000000" w:rsidRDefault="00000000" w:rsidRPr="00000000" w14:paraId="0000022A">
            <w:pPr>
              <w:spacing w:after="0" w:line="240" w:lineRule="auto"/>
              <w:jc w:val="center"/>
              <w:rPr>
                <w:color w:val="000000"/>
                <w:sz w:val="22"/>
                <w:szCs w:val="22"/>
              </w:rPr>
            </w:pPr>
            <w:r w:rsidDel="00000000" w:rsidR="00000000" w:rsidRPr="00000000">
              <w:rPr>
                <w:color w:val="000000"/>
                <w:sz w:val="22"/>
                <w:szCs w:val="22"/>
                <w:rtl w:val="0"/>
              </w:rPr>
              <w:t xml:space="preserve">157,021</w:t>
            </w:r>
          </w:p>
        </w:tc>
        <w:tc>
          <w:tcPr>
            <w:vAlign w:val="center"/>
          </w:tcPr>
          <w:p w:rsidR="00000000" w:rsidDel="00000000" w:rsidP="00000000" w:rsidRDefault="00000000" w:rsidRPr="00000000" w14:paraId="0000022B">
            <w:pPr>
              <w:spacing w:after="0" w:line="240" w:lineRule="auto"/>
              <w:jc w:val="center"/>
              <w:rPr>
                <w:color w:val="000000"/>
                <w:sz w:val="22"/>
                <w:szCs w:val="22"/>
              </w:rPr>
            </w:pPr>
            <w:r w:rsidDel="00000000" w:rsidR="00000000" w:rsidRPr="00000000">
              <w:rPr>
                <w:color w:val="000000"/>
                <w:sz w:val="22"/>
                <w:szCs w:val="22"/>
                <w:rtl w:val="0"/>
              </w:rPr>
              <w:t xml:space="preserve">2,524</w:t>
            </w:r>
          </w:p>
        </w:tc>
        <w:tc>
          <w:tcPr>
            <w:vAlign w:val="center"/>
          </w:tcPr>
          <w:p w:rsidR="00000000" w:rsidDel="00000000" w:rsidP="00000000" w:rsidRDefault="00000000" w:rsidRPr="00000000" w14:paraId="0000022C">
            <w:pPr>
              <w:spacing w:after="0" w:line="240" w:lineRule="auto"/>
              <w:jc w:val="center"/>
              <w:rPr>
                <w:color w:val="000000"/>
                <w:sz w:val="22"/>
                <w:szCs w:val="22"/>
              </w:rPr>
            </w:pPr>
            <w:r w:rsidDel="00000000" w:rsidR="00000000" w:rsidRPr="00000000">
              <w:rPr>
                <w:color w:val="000000"/>
                <w:sz w:val="22"/>
                <w:szCs w:val="22"/>
                <w:rtl w:val="0"/>
              </w:rPr>
              <w:t xml:space="preserve">1.6%</w:t>
            </w:r>
          </w:p>
        </w:tc>
      </w:tr>
      <w:tr>
        <w:trPr>
          <w:cantSplit w:val="0"/>
          <w:trHeight w:val="300" w:hRule="atLeast"/>
          <w:tblHeader w:val="0"/>
        </w:trPr>
        <w:tc>
          <w:tcPr>
            <w:vAlign w:val="center"/>
          </w:tcPr>
          <w:p w:rsidR="00000000" w:rsidDel="00000000" w:rsidP="00000000" w:rsidRDefault="00000000" w:rsidRPr="00000000" w14:paraId="0000022D">
            <w:pPr>
              <w:spacing w:after="0" w:line="240" w:lineRule="auto"/>
              <w:jc w:val="center"/>
              <w:rPr>
                <w:color w:val="000000"/>
                <w:sz w:val="22"/>
                <w:szCs w:val="22"/>
              </w:rPr>
            </w:pPr>
            <w:r w:rsidDel="00000000" w:rsidR="00000000" w:rsidRPr="00000000">
              <w:rPr>
                <w:color w:val="000000"/>
                <w:sz w:val="22"/>
                <w:szCs w:val="22"/>
                <w:rtl w:val="0"/>
              </w:rPr>
              <w:t xml:space="preserve">2018</w:t>
            </w:r>
          </w:p>
        </w:tc>
        <w:tc>
          <w:tcPr>
            <w:vAlign w:val="center"/>
          </w:tcPr>
          <w:p w:rsidR="00000000" w:rsidDel="00000000" w:rsidP="00000000" w:rsidRDefault="00000000" w:rsidRPr="00000000" w14:paraId="0000022E">
            <w:pPr>
              <w:spacing w:after="0" w:line="240" w:lineRule="auto"/>
              <w:jc w:val="center"/>
              <w:rPr>
                <w:color w:val="000000"/>
                <w:sz w:val="22"/>
                <w:szCs w:val="22"/>
              </w:rPr>
            </w:pPr>
            <w:r w:rsidDel="00000000" w:rsidR="00000000" w:rsidRPr="00000000">
              <w:rPr>
                <w:color w:val="000000"/>
                <w:sz w:val="22"/>
                <w:szCs w:val="22"/>
                <w:rtl w:val="0"/>
              </w:rPr>
              <w:t xml:space="preserve">246,864</w:t>
            </w:r>
          </w:p>
        </w:tc>
        <w:tc>
          <w:tcPr>
            <w:vAlign w:val="center"/>
          </w:tcPr>
          <w:p w:rsidR="00000000" w:rsidDel="00000000" w:rsidP="00000000" w:rsidRDefault="00000000" w:rsidRPr="00000000" w14:paraId="0000022F">
            <w:pPr>
              <w:spacing w:after="0" w:line="240" w:lineRule="auto"/>
              <w:jc w:val="center"/>
              <w:rPr>
                <w:color w:val="000000"/>
                <w:sz w:val="22"/>
                <w:szCs w:val="22"/>
              </w:rPr>
            </w:pPr>
            <w:r w:rsidDel="00000000" w:rsidR="00000000" w:rsidRPr="00000000">
              <w:rPr>
                <w:color w:val="000000"/>
                <w:sz w:val="22"/>
                <w:szCs w:val="22"/>
                <w:rtl w:val="0"/>
              </w:rPr>
              <w:t xml:space="preserve">5,689</w:t>
            </w:r>
          </w:p>
        </w:tc>
        <w:tc>
          <w:tcPr>
            <w:vAlign w:val="center"/>
          </w:tcPr>
          <w:p w:rsidR="00000000" w:rsidDel="00000000" w:rsidP="00000000" w:rsidRDefault="00000000" w:rsidRPr="00000000" w14:paraId="00000230">
            <w:pPr>
              <w:spacing w:after="0" w:line="240" w:lineRule="auto"/>
              <w:jc w:val="center"/>
              <w:rPr>
                <w:color w:val="000000"/>
                <w:sz w:val="22"/>
                <w:szCs w:val="22"/>
              </w:rPr>
            </w:pPr>
            <w:r w:rsidDel="00000000" w:rsidR="00000000" w:rsidRPr="00000000">
              <w:rPr>
                <w:color w:val="000000"/>
                <w:sz w:val="22"/>
                <w:szCs w:val="22"/>
                <w:rtl w:val="0"/>
              </w:rPr>
              <w:t xml:space="preserve">2.3%</w:t>
            </w:r>
          </w:p>
        </w:tc>
      </w:tr>
      <w:tr>
        <w:trPr>
          <w:cantSplit w:val="0"/>
          <w:trHeight w:val="300" w:hRule="atLeast"/>
          <w:tblHeader w:val="0"/>
        </w:trPr>
        <w:tc>
          <w:tcPr>
            <w:vAlign w:val="center"/>
          </w:tcPr>
          <w:p w:rsidR="00000000" w:rsidDel="00000000" w:rsidP="00000000" w:rsidRDefault="00000000" w:rsidRPr="00000000" w14:paraId="00000231">
            <w:pPr>
              <w:spacing w:after="0" w:line="240" w:lineRule="auto"/>
              <w:jc w:val="center"/>
              <w:rPr>
                <w:color w:val="000000"/>
                <w:sz w:val="22"/>
                <w:szCs w:val="22"/>
              </w:rPr>
            </w:pPr>
            <w:r w:rsidDel="00000000" w:rsidR="00000000" w:rsidRPr="00000000">
              <w:rPr>
                <w:color w:val="000000"/>
                <w:sz w:val="22"/>
                <w:szCs w:val="22"/>
                <w:rtl w:val="0"/>
              </w:rPr>
              <w:t xml:space="preserve">2019</w:t>
            </w:r>
          </w:p>
        </w:tc>
        <w:tc>
          <w:tcPr>
            <w:vAlign w:val="center"/>
          </w:tcPr>
          <w:p w:rsidR="00000000" w:rsidDel="00000000" w:rsidP="00000000" w:rsidRDefault="00000000" w:rsidRPr="00000000" w14:paraId="00000232">
            <w:pPr>
              <w:spacing w:after="0" w:line="240" w:lineRule="auto"/>
              <w:jc w:val="center"/>
              <w:rPr>
                <w:color w:val="000000"/>
                <w:sz w:val="22"/>
                <w:szCs w:val="22"/>
              </w:rPr>
            </w:pPr>
            <w:r w:rsidDel="00000000" w:rsidR="00000000" w:rsidRPr="00000000">
              <w:rPr>
                <w:color w:val="000000"/>
                <w:sz w:val="22"/>
                <w:szCs w:val="22"/>
                <w:rtl w:val="0"/>
              </w:rPr>
              <w:t xml:space="preserve">376,731</w:t>
            </w:r>
          </w:p>
        </w:tc>
        <w:tc>
          <w:tcPr>
            <w:vAlign w:val="center"/>
          </w:tcPr>
          <w:p w:rsidR="00000000" w:rsidDel="00000000" w:rsidP="00000000" w:rsidRDefault="00000000" w:rsidRPr="00000000" w14:paraId="00000233">
            <w:pPr>
              <w:spacing w:after="0" w:line="240" w:lineRule="auto"/>
              <w:jc w:val="center"/>
              <w:rPr>
                <w:color w:val="000000"/>
                <w:sz w:val="22"/>
                <w:szCs w:val="22"/>
              </w:rPr>
            </w:pPr>
            <w:r w:rsidDel="00000000" w:rsidR="00000000" w:rsidRPr="00000000">
              <w:rPr>
                <w:color w:val="000000"/>
                <w:sz w:val="22"/>
                <w:szCs w:val="22"/>
                <w:rtl w:val="0"/>
              </w:rPr>
              <w:t xml:space="preserve">8,175</w:t>
            </w:r>
          </w:p>
        </w:tc>
        <w:tc>
          <w:tcPr>
            <w:vAlign w:val="center"/>
          </w:tcPr>
          <w:p w:rsidR="00000000" w:rsidDel="00000000" w:rsidP="00000000" w:rsidRDefault="00000000" w:rsidRPr="00000000" w14:paraId="00000234">
            <w:pPr>
              <w:spacing w:after="0" w:line="240" w:lineRule="auto"/>
              <w:jc w:val="center"/>
              <w:rPr>
                <w:color w:val="000000"/>
                <w:sz w:val="22"/>
                <w:szCs w:val="22"/>
              </w:rPr>
            </w:pPr>
            <w:r w:rsidDel="00000000" w:rsidR="00000000" w:rsidRPr="00000000">
              <w:rPr>
                <w:color w:val="000000"/>
                <w:sz w:val="22"/>
                <w:szCs w:val="22"/>
                <w:rtl w:val="0"/>
              </w:rPr>
              <w:t xml:space="preserve">2.2%</w:t>
            </w:r>
          </w:p>
        </w:tc>
      </w:tr>
      <w:tr>
        <w:trPr>
          <w:cantSplit w:val="0"/>
          <w:trHeight w:val="300" w:hRule="atLeast"/>
          <w:tblHeader w:val="0"/>
        </w:trPr>
        <w:tc>
          <w:tcPr>
            <w:vAlign w:val="center"/>
          </w:tcPr>
          <w:p w:rsidR="00000000" w:rsidDel="00000000" w:rsidP="00000000" w:rsidRDefault="00000000" w:rsidRPr="00000000" w14:paraId="00000235">
            <w:pPr>
              <w:spacing w:after="0" w:line="240" w:lineRule="auto"/>
              <w:jc w:val="center"/>
              <w:rPr>
                <w:color w:val="000000"/>
                <w:sz w:val="22"/>
                <w:szCs w:val="22"/>
              </w:rPr>
            </w:pPr>
            <w:r w:rsidDel="00000000" w:rsidR="00000000" w:rsidRPr="00000000">
              <w:rPr>
                <w:color w:val="000000"/>
                <w:sz w:val="22"/>
                <w:szCs w:val="22"/>
                <w:rtl w:val="0"/>
              </w:rPr>
              <w:t xml:space="preserve">2020</w:t>
            </w:r>
          </w:p>
        </w:tc>
        <w:tc>
          <w:tcPr>
            <w:vAlign w:val="center"/>
          </w:tcPr>
          <w:p w:rsidR="00000000" w:rsidDel="00000000" w:rsidP="00000000" w:rsidRDefault="00000000" w:rsidRPr="00000000" w14:paraId="00000236">
            <w:pPr>
              <w:spacing w:after="0" w:line="240" w:lineRule="auto"/>
              <w:jc w:val="center"/>
              <w:rPr>
                <w:color w:val="000000"/>
                <w:sz w:val="22"/>
                <w:szCs w:val="22"/>
              </w:rPr>
            </w:pPr>
            <w:r w:rsidDel="00000000" w:rsidR="00000000" w:rsidRPr="00000000">
              <w:rPr>
                <w:color w:val="000000"/>
                <w:sz w:val="22"/>
                <w:szCs w:val="22"/>
                <w:rtl w:val="0"/>
              </w:rPr>
              <w:t xml:space="preserve">352,118</w:t>
            </w:r>
          </w:p>
        </w:tc>
        <w:tc>
          <w:tcPr>
            <w:vAlign w:val="center"/>
          </w:tcPr>
          <w:p w:rsidR="00000000" w:rsidDel="00000000" w:rsidP="00000000" w:rsidRDefault="00000000" w:rsidRPr="00000000" w14:paraId="00000237">
            <w:pPr>
              <w:spacing w:after="0" w:line="240" w:lineRule="auto"/>
              <w:jc w:val="center"/>
              <w:rPr>
                <w:color w:val="000000"/>
                <w:sz w:val="22"/>
                <w:szCs w:val="22"/>
              </w:rPr>
            </w:pPr>
            <w:r w:rsidDel="00000000" w:rsidR="00000000" w:rsidRPr="00000000">
              <w:rPr>
                <w:color w:val="000000"/>
                <w:sz w:val="22"/>
                <w:szCs w:val="22"/>
                <w:rtl w:val="0"/>
              </w:rPr>
              <w:t xml:space="preserve">3,902</w:t>
            </w:r>
          </w:p>
        </w:tc>
        <w:tc>
          <w:tcPr>
            <w:vAlign w:val="center"/>
          </w:tcPr>
          <w:p w:rsidR="00000000" w:rsidDel="00000000" w:rsidP="00000000" w:rsidRDefault="00000000" w:rsidRPr="00000000" w14:paraId="00000238">
            <w:pPr>
              <w:spacing w:after="0" w:line="240" w:lineRule="auto"/>
              <w:jc w:val="center"/>
              <w:rPr>
                <w:color w:val="000000"/>
                <w:sz w:val="22"/>
                <w:szCs w:val="22"/>
              </w:rPr>
            </w:pPr>
            <w:r w:rsidDel="00000000" w:rsidR="00000000" w:rsidRPr="00000000">
              <w:rPr>
                <w:color w:val="000000"/>
                <w:sz w:val="22"/>
                <w:szCs w:val="22"/>
                <w:rtl w:val="0"/>
              </w:rPr>
              <w:t xml:space="preserve">1.1%</w:t>
            </w:r>
          </w:p>
        </w:tc>
      </w:tr>
      <w:tr>
        <w:trPr>
          <w:cantSplit w:val="0"/>
          <w:trHeight w:val="300" w:hRule="atLeast"/>
          <w:tblHeader w:val="0"/>
        </w:trPr>
        <w:tc>
          <w:tcPr>
            <w:vAlign w:val="center"/>
          </w:tcPr>
          <w:p w:rsidR="00000000" w:rsidDel="00000000" w:rsidP="00000000" w:rsidRDefault="00000000" w:rsidRPr="00000000" w14:paraId="00000239">
            <w:pPr>
              <w:spacing w:after="0" w:line="240" w:lineRule="auto"/>
              <w:jc w:val="center"/>
              <w:rPr>
                <w:color w:val="000000"/>
                <w:sz w:val="22"/>
                <w:szCs w:val="22"/>
              </w:rPr>
            </w:pPr>
            <w:r w:rsidDel="00000000" w:rsidR="00000000" w:rsidRPr="00000000">
              <w:rPr>
                <w:color w:val="000000"/>
                <w:sz w:val="22"/>
                <w:szCs w:val="22"/>
                <w:rtl w:val="0"/>
              </w:rPr>
              <w:t xml:space="preserve">2021</w:t>
            </w:r>
          </w:p>
        </w:tc>
        <w:tc>
          <w:tcPr>
            <w:vAlign w:val="center"/>
          </w:tcPr>
          <w:p w:rsidR="00000000" w:rsidDel="00000000" w:rsidP="00000000" w:rsidRDefault="00000000" w:rsidRPr="00000000" w14:paraId="0000023A">
            <w:pPr>
              <w:spacing w:after="0" w:line="240" w:lineRule="auto"/>
              <w:jc w:val="center"/>
              <w:rPr>
                <w:color w:val="000000"/>
                <w:sz w:val="22"/>
                <w:szCs w:val="22"/>
              </w:rPr>
            </w:pPr>
            <w:r w:rsidDel="00000000" w:rsidR="00000000" w:rsidRPr="00000000">
              <w:rPr>
                <w:color w:val="000000"/>
                <w:sz w:val="22"/>
                <w:szCs w:val="22"/>
                <w:rtl w:val="0"/>
              </w:rPr>
              <w:t xml:space="preserve">394,747</w:t>
            </w:r>
          </w:p>
        </w:tc>
        <w:tc>
          <w:tcPr>
            <w:vAlign w:val="center"/>
          </w:tcPr>
          <w:p w:rsidR="00000000" w:rsidDel="00000000" w:rsidP="00000000" w:rsidRDefault="00000000" w:rsidRPr="00000000" w14:paraId="0000023B">
            <w:pPr>
              <w:spacing w:after="0" w:line="240" w:lineRule="auto"/>
              <w:jc w:val="center"/>
              <w:rPr>
                <w:color w:val="000000"/>
                <w:sz w:val="22"/>
                <w:szCs w:val="22"/>
              </w:rPr>
            </w:pPr>
            <w:r w:rsidDel="00000000" w:rsidR="00000000" w:rsidRPr="00000000">
              <w:rPr>
                <w:color w:val="000000"/>
                <w:sz w:val="22"/>
                <w:szCs w:val="22"/>
                <w:rtl w:val="0"/>
              </w:rPr>
              <w:t xml:space="preserve">5,256</w:t>
            </w:r>
          </w:p>
        </w:tc>
        <w:tc>
          <w:tcPr>
            <w:vAlign w:val="center"/>
          </w:tcPr>
          <w:p w:rsidR="00000000" w:rsidDel="00000000" w:rsidP="00000000" w:rsidRDefault="00000000" w:rsidRPr="00000000" w14:paraId="0000023C">
            <w:pPr>
              <w:spacing w:after="0" w:line="240" w:lineRule="auto"/>
              <w:jc w:val="center"/>
              <w:rPr>
                <w:color w:val="000000"/>
                <w:sz w:val="22"/>
                <w:szCs w:val="22"/>
              </w:rPr>
            </w:pPr>
            <w:r w:rsidDel="00000000" w:rsidR="00000000" w:rsidRPr="00000000">
              <w:rPr>
                <w:color w:val="000000"/>
                <w:sz w:val="22"/>
                <w:szCs w:val="22"/>
                <w:rtl w:val="0"/>
              </w:rPr>
              <w:t xml:space="preserve">1.3%</w:t>
            </w:r>
          </w:p>
        </w:tc>
      </w:tr>
      <w:tr>
        <w:trPr>
          <w:cantSplit w:val="0"/>
          <w:trHeight w:val="300" w:hRule="atLeast"/>
          <w:tblHeader w:val="0"/>
        </w:trPr>
        <w:tc>
          <w:tcPr>
            <w:vAlign w:val="center"/>
          </w:tcPr>
          <w:p w:rsidR="00000000" w:rsidDel="00000000" w:rsidP="00000000" w:rsidRDefault="00000000" w:rsidRPr="00000000" w14:paraId="0000023D">
            <w:pPr>
              <w:spacing w:after="0" w:line="240" w:lineRule="auto"/>
              <w:jc w:val="center"/>
              <w:rPr>
                <w:color w:val="000000"/>
                <w:sz w:val="22"/>
                <w:szCs w:val="22"/>
              </w:rPr>
            </w:pPr>
            <w:r w:rsidDel="00000000" w:rsidR="00000000" w:rsidRPr="00000000">
              <w:rPr>
                <w:color w:val="000000"/>
                <w:sz w:val="22"/>
                <w:szCs w:val="22"/>
                <w:rtl w:val="0"/>
              </w:rPr>
              <w:t xml:space="preserve">2022</w:t>
            </w:r>
          </w:p>
        </w:tc>
        <w:tc>
          <w:tcPr>
            <w:vAlign w:val="center"/>
          </w:tcPr>
          <w:p w:rsidR="00000000" w:rsidDel="00000000" w:rsidP="00000000" w:rsidRDefault="00000000" w:rsidRPr="00000000" w14:paraId="0000023E">
            <w:pPr>
              <w:spacing w:after="0" w:line="240" w:lineRule="auto"/>
              <w:jc w:val="center"/>
              <w:rPr>
                <w:color w:val="000000"/>
                <w:sz w:val="22"/>
                <w:szCs w:val="22"/>
              </w:rPr>
            </w:pPr>
            <w:r w:rsidDel="00000000" w:rsidR="00000000" w:rsidRPr="00000000">
              <w:rPr>
                <w:color w:val="000000"/>
                <w:sz w:val="22"/>
                <w:szCs w:val="22"/>
                <w:rtl w:val="0"/>
              </w:rPr>
              <w:t xml:space="preserve">632,085</w:t>
            </w:r>
          </w:p>
        </w:tc>
        <w:tc>
          <w:tcPr>
            <w:vAlign w:val="center"/>
          </w:tcPr>
          <w:p w:rsidR="00000000" w:rsidDel="00000000" w:rsidP="00000000" w:rsidRDefault="00000000" w:rsidRPr="00000000" w14:paraId="0000023F">
            <w:pPr>
              <w:spacing w:after="0" w:line="240" w:lineRule="auto"/>
              <w:jc w:val="center"/>
              <w:rPr>
                <w:color w:val="000000"/>
                <w:sz w:val="22"/>
                <w:szCs w:val="22"/>
              </w:rPr>
            </w:pPr>
            <w:r w:rsidDel="00000000" w:rsidR="00000000" w:rsidRPr="00000000">
              <w:rPr>
                <w:color w:val="000000"/>
                <w:sz w:val="22"/>
                <w:szCs w:val="22"/>
                <w:rtl w:val="0"/>
              </w:rPr>
              <w:t xml:space="preserve">19,586</w:t>
            </w:r>
          </w:p>
        </w:tc>
        <w:tc>
          <w:tcPr>
            <w:vAlign w:val="center"/>
          </w:tcPr>
          <w:p w:rsidR="00000000" w:rsidDel="00000000" w:rsidP="00000000" w:rsidRDefault="00000000" w:rsidRPr="00000000" w14:paraId="00000240">
            <w:pPr>
              <w:spacing w:after="0" w:line="240" w:lineRule="auto"/>
              <w:jc w:val="center"/>
              <w:rPr>
                <w:color w:val="000000"/>
                <w:sz w:val="22"/>
                <w:szCs w:val="22"/>
              </w:rPr>
            </w:pPr>
            <w:r w:rsidDel="00000000" w:rsidR="00000000" w:rsidRPr="00000000">
              <w:rPr>
                <w:color w:val="000000"/>
                <w:sz w:val="22"/>
                <w:szCs w:val="22"/>
                <w:rtl w:val="0"/>
              </w:rPr>
              <w:t xml:space="preserve">3.1%</w:t>
            </w:r>
          </w:p>
        </w:tc>
      </w:tr>
      <w:tr>
        <w:trPr>
          <w:cantSplit w:val="0"/>
          <w:trHeight w:val="300" w:hRule="atLeast"/>
          <w:tblHeader w:val="0"/>
        </w:trPr>
        <w:tc>
          <w:tcPr>
            <w:vAlign w:val="center"/>
          </w:tcPr>
          <w:p w:rsidR="00000000" w:rsidDel="00000000" w:rsidP="00000000" w:rsidRDefault="00000000" w:rsidRPr="00000000" w14:paraId="00000241">
            <w:pPr>
              <w:spacing w:after="0" w:line="240" w:lineRule="auto"/>
              <w:jc w:val="center"/>
              <w:rPr>
                <w:color w:val="000000"/>
                <w:sz w:val="22"/>
                <w:szCs w:val="22"/>
              </w:rPr>
            </w:pPr>
            <w:r w:rsidDel="00000000" w:rsidR="00000000" w:rsidRPr="00000000">
              <w:rPr>
                <w:color w:val="000000"/>
                <w:sz w:val="22"/>
                <w:szCs w:val="22"/>
                <w:rtl w:val="0"/>
              </w:rPr>
              <w:t xml:space="preserve">2023</w:t>
            </w:r>
          </w:p>
        </w:tc>
        <w:tc>
          <w:tcPr>
            <w:vAlign w:val="center"/>
          </w:tcPr>
          <w:p w:rsidR="00000000" w:rsidDel="00000000" w:rsidP="00000000" w:rsidRDefault="00000000" w:rsidRPr="00000000" w14:paraId="00000242">
            <w:pPr>
              <w:spacing w:after="0" w:line="240" w:lineRule="auto"/>
              <w:jc w:val="center"/>
              <w:rPr>
                <w:color w:val="000000"/>
                <w:sz w:val="22"/>
                <w:szCs w:val="22"/>
              </w:rPr>
            </w:pPr>
            <w:r w:rsidDel="00000000" w:rsidR="00000000" w:rsidRPr="00000000">
              <w:rPr>
                <w:color w:val="000000"/>
                <w:sz w:val="22"/>
                <w:szCs w:val="22"/>
                <w:rtl w:val="0"/>
              </w:rPr>
              <w:t xml:space="preserve">1,618,866</w:t>
            </w:r>
          </w:p>
        </w:tc>
        <w:tc>
          <w:tcPr>
            <w:vAlign w:val="center"/>
          </w:tcPr>
          <w:p w:rsidR="00000000" w:rsidDel="00000000" w:rsidP="00000000" w:rsidRDefault="00000000" w:rsidRPr="00000000" w14:paraId="00000243">
            <w:pPr>
              <w:spacing w:after="0" w:line="240" w:lineRule="auto"/>
              <w:jc w:val="center"/>
              <w:rPr>
                <w:color w:val="000000"/>
                <w:sz w:val="22"/>
                <w:szCs w:val="22"/>
              </w:rPr>
            </w:pPr>
            <w:r w:rsidDel="00000000" w:rsidR="00000000" w:rsidRPr="00000000">
              <w:rPr>
                <w:color w:val="000000"/>
                <w:sz w:val="22"/>
                <w:szCs w:val="22"/>
                <w:rtl w:val="0"/>
              </w:rPr>
              <w:t xml:space="preserve">71,356</w:t>
            </w:r>
          </w:p>
        </w:tc>
        <w:tc>
          <w:tcPr>
            <w:vAlign w:val="center"/>
          </w:tcPr>
          <w:p w:rsidR="00000000" w:rsidDel="00000000" w:rsidP="00000000" w:rsidRDefault="00000000" w:rsidRPr="00000000" w14:paraId="00000244">
            <w:pPr>
              <w:spacing w:after="0" w:line="240" w:lineRule="auto"/>
              <w:jc w:val="center"/>
              <w:rPr>
                <w:color w:val="000000"/>
                <w:sz w:val="22"/>
                <w:szCs w:val="22"/>
              </w:rPr>
            </w:pPr>
            <w:r w:rsidDel="00000000" w:rsidR="00000000" w:rsidRPr="00000000">
              <w:rPr>
                <w:color w:val="000000"/>
                <w:sz w:val="22"/>
                <w:szCs w:val="22"/>
                <w:rtl w:val="0"/>
              </w:rPr>
              <w:t xml:space="preserve">4.4%</w:t>
            </w:r>
          </w:p>
        </w:tc>
      </w:tr>
      <w:tr>
        <w:trPr>
          <w:cantSplit w:val="0"/>
          <w:trHeight w:val="300" w:hRule="atLeast"/>
          <w:tblHeader w:val="0"/>
        </w:trPr>
        <w:tc>
          <w:tcPr>
            <w:vAlign w:val="center"/>
          </w:tcPr>
          <w:p w:rsidR="00000000" w:rsidDel="00000000" w:rsidP="00000000" w:rsidRDefault="00000000" w:rsidRPr="00000000" w14:paraId="00000245">
            <w:pPr>
              <w:spacing w:after="0" w:line="240" w:lineRule="auto"/>
              <w:jc w:val="center"/>
              <w:rPr>
                <w:color w:val="000000"/>
                <w:sz w:val="22"/>
                <w:szCs w:val="22"/>
              </w:rPr>
            </w:pPr>
            <w:r w:rsidDel="00000000" w:rsidR="00000000" w:rsidRPr="00000000">
              <w:rPr>
                <w:color w:val="000000"/>
                <w:sz w:val="22"/>
                <w:szCs w:val="22"/>
                <w:rtl w:val="0"/>
              </w:rPr>
              <w:t xml:space="preserve">2024</w:t>
            </w:r>
          </w:p>
        </w:tc>
        <w:tc>
          <w:tcPr>
            <w:vAlign w:val="center"/>
          </w:tcPr>
          <w:p w:rsidR="00000000" w:rsidDel="00000000" w:rsidP="00000000" w:rsidRDefault="00000000" w:rsidRPr="00000000" w14:paraId="00000246">
            <w:pPr>
              <w:spacing w:after="0" w:line="240" w:lineRule="auto"/>
              <w:jc w:val="center"/>
              <w:rPr>
                <w:color w:val="000000"/>
                <w:sz w:val="22"/>
                <w:szCs w:val="22"/>
              </w:rPr>
            </w:pPr>
            <w:r w:rsidDel="00000000" w:rsidR="00000000" w:rsidRPr="00000000">
              <w:rPr>
                <w:color w:val="000000"/>
                <w:sz w:val="22"/>
                <w:szCs w:val="22"/>
                <w:rtl w:val="0"/>
              </w:rPr>
              <w:t xml:space="preserve">2,557,386</w:t>
            </w:r>
          </w:p>
        </w:tc>
        <w:tc>
          <w:tcPr>
            <w:vAlign w:val="center"/>
          </w:tcPr>
          <w:p w:rsidR="00000000" w:rsidDel="00000000" w:rsidP="00000000" w:rsidRDefault="00000000" w:rsidRPr="00000000" w14:paraId="00000247">
            <w:pPr>
              <w:spacing w:after="0" w:line="240" w:lineRule="auto"/>
              <w:jc w:val="center"/>
              <w:rPr>
                <w:color w:val="000000"/>
                <w:sz w:val="22"/>
                <w:szCs w:val="22"/>
              </w:rPr>
            </w:pPr>
            <w:r w:rsidDel="00000000" w:rsidR="00000000" w:rsidRPr="00000000">
              <w:rPr>
                <w:color w:val="000000"/>
                <w:sz w:val="22"/>
                <w:szCs w:val="22"/>
                <w:rtl w:val="0"/>
              </w:rPr>
              <w:t xml:space="preserve">164,944</w:t>
            </w:r>
          </w:p>
        </w:tc>
        <w:tc>
          <w:tcPr>
            <w:vAlign w:val="center"/>
          </w:tcPr>
          <w:p w:rsidR="00000000" w:rsidDel="00000000" w:rsidP="00000000" w:rsidRDefault="00000000" w:rsidRPr="00000000" w14:paraId="00000248">
            <w:pPr>
              <w:spacing w:after="0" w:line="240" w:lineRule="auto"/>
              <w:jc w:val="center"/>
              <w:rPr>
                <w:color w:val="000000"/>
                <w:sz w:val="22"/>
                <w:szCs w:val="22"/>
              </w:rPr>
            </w:pPr>
            <w:r w:rsidDel="00000000" w:rsidR="00000000" w:rsidRPr="00000000">
              <w:rPr>
                <w:color w:val="000000"/>
                <w:sz w:val="22"/>
                <w:szCs w:val="22"/>
                <w:rtl w:val="0"/>
              </w:rPr>
              <w:t xml:space="preserve">6.4%</w:t>
            </w:r>
          </w:p>
        </w:tc>
      </w:tr>
      <w:tr>
        <w:trPr>
          <w:cantSplit w:val="0"/>
          <w:trHeight w:val="300" w:hRule="atLeast"/>
          <w:tblHeader w:val="0"/>
        </w:trPr>
        <w:tc>
          <w:tcPr>
            <w:vAlign w:val="center"/>
          </w:tcPr>
          <w:p w:rsidR="00000000" w:rsidDel="00000000" w:rsidP="00000000" w:rsidRDefault="00000000" w:rsidRPr="00000000" w14:paraId="00000249">
            <w:pPr>
              <w:spacing w:after="0" w:line="240" w:lineRule="auto"/>
              <w:jc w:val="center"/>
              <w:rPr>
                <w:color w:val="000000"/>
                <w:sz w:val="22"/>
                <w:szCs w:val="22"/>
              </w:rPr>
            </w:pPr>
            <w:r w:rsidDel="00000000" w:rsidR="00000000" w:rsidRPr="00000000">
              <w:rPr>
                <w:color w:val="000000"/>
                <w:sz w:val="22"/>
                <w:szCs w:val="22"/>
                <w:rtl w:val="0"/>
              </w:rPr>
              <w:t xml:space="preserve">2025</w:t>
            </w:r>
          </w:p>
        </w:tc>
        <w:tc>
          <w:tcPr>
            <w:vAlign w:val="center"/>
          </w:tcPr>
          <w:p w:rsidR="00000000" w:rsidDel="00000000" w:rsidP="00000000" w:rsidRDefault="00000000" w:rsidRPr="00000000" w14:paraId="0000024A">
            <w:pPr>
              <w:spacing w:after="0" w:line="240" w:lineRule="auto"/>
              <w:jc w:val="center"/>
              <w:rPr>
                <w:color w:val="000000"/>
                <w:sz w:val="22"/>
                <w:szCs w:val="22"/>
              </w:rPr>
            </w:pPr>
            <w:r w:rsidDel="00000000" w:rsidR="00000000" w:rsidRPr="00000000">
              <w:rPr>
                <w:color w:val="000000"/>
                <w:sz w:val="22"/>
                <w:szCs w:val="22"/>
                <w:rtl w:val="0"/>
              </w:rPr>
              <w:t xml:space="preserve">3,667,202</w:t>
            </w:r>
          </w:p>
        </w:tc>
        <w:tc>
          <w:tcPr>
            <w:vAlign w:val="center"/>
          </w:tcPr>
          <w:p w:rsidR="00000000" w:rsidDel="00000000" w:rsidP="00000000" w:rsidRDefault="00000000" w:rsidRPr="00000000" w14:paraId="0000024B">
            <w:pPr>
              <w:spacing w:after="0" w:line="240" w:lineRule="auto"/>
              <w:jc w:val="center"/>
              <w:rPr>
                <w:color w:val="000000"/>
                <w:sz w:val="22"/>
                <w:szCs w:val="22"/>
              </w:rPr>
            </w:pPr>
            <w:r w:rsidDel="00000000" w:rsidR="00000000" w:rsidRPr="00000000">
              <w:rPr>
                <w:color w:val="000000"/>
                <w:sz w:val="22"/>
                <w:szCs w:val="22"/>
                <w:rtl w:val="0"/>
              </w:rPr>
              <w:t xml:space="preserve">259,312</w:t>
            </w:r>
          </w:p>
        </w:tc>
        <w:tc>
          <w:tcPr>
            <w:vAlign w:val="center"/>
          </w:tcPr>
          <w:p w:rsidR="00000000" w:rsidDel="00000000" w:rsidP="00000000" w:rsidRDefault="00000000" w:rsidRPr="00000000" w14:paraId="0000024C">
            <w:pPr>
              <w:spacing w:after="0" w:line="240" w:lineRule="auto"/>
              <w:jc w:val="center"/>
              <w:rPr>
                <w:color w:val="000000"/>
                <w:sz w:val="22"/>
                <w:szCs w:val="22"/>
              </w:rPr>
            </w:pPr>
            <w:r w:rsidDel="00000000" w:rsidR="00000000" w:rsidRPr="00000000">
              <w:rPr>
                <w:color w:val="000000"/>
                <w:sz w:val="22"/>
                <w:szCs w:val="22"/>
                <w:rtl w:val="0"/>
              </w:rPr>
              <w:t xml:space="preserve">7.1%</w:t>
            </w:r>
          </w:p>
        </w:tc>
      </w:tr>
    </w:tbl>
    <w:p w:rsidR="00000000" w:rsidDel="00000000" w:rsidP="00000000" w:rsidRDefault="00000000" w:rsidRPr="00000000" w14:paraId="0000024D">
      <w:pPr>
        <w:spacing w:after="60" w:before="40" w:lineRule="auto"/>
        <w:ind w:firstLine="720"/>
        <w:rPr/>
      </w:pPr>
      <w:r w:rsidDel="00000000" w:rsidR="00000000" w:rsidRPr="00000000">
        <w:rPr>
          <w:i w:val="1"/>
          <w:iCs w:val="1"/>
          <w:color w:val="595959"/>
          <w:sz w:val="16"/>
          <w:szCs w:val="16"/>
          <w:rtl w:val="0"/>
        </w:rPr>
        <w:t xml:space="preserve">Fuente: Trademap</w:t>
      </w:r>
      <w:r w:rsidDel="00000000" w:rsidR="00000000" w:rsidRPr="00000000">
        <w:rPr>
          <w:rtl w:val="0"/>
        </w:rPr>
      </w:r>
    </w:p>
    <w:p w:rsidR="00000000" w:rsidDel="00000000" w:rsidP="00000000" w:rsidRDefault="00000000" w:rsidRPr="00000000" w14:paraId="0000024E">
      <w:pPr>
        <w:rPr>
          <w:b w:val="1"/>
          <w:bCs w:val="1"/>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Como puede observarse, durante el período 2014-2021 la participación del continente americano en las exportaciones chinas de varillas de acero se mantuvo relativamente estable, en niveles cercanos al 1-2% del total exportado. Sin embargo, a partir de 2022 se observa un cambio significativo en el patrón de comercio, caracterizado por un aumento acelerado de las exportaciones chinas hacia el continente americano.</w:t>
      </w:r>
    </w:p>
    <w:p w:rsidR="00000000" w:rsidDel="00000000" w:rsidP="00000000" w:rsidRDefault="00000000" w:rsidRPr="00000000" w14:paraId="00000250">
      <w:pPr>
        <w:rPr/>
      </w:pPr>
      <w:r w:rsidDel="00000000" w:rsidR="00000000" w:rsidRPr="00000000">
        <w:rPr>
          <w:rtl w:val="0"/>
        </w:rPr>
        <w:t xml:space="preserve">Entre 2021 y 2025, el valor de las exportaciones chinas hacia América pasó de aproximadamente US$5.2 millones a US$259 millones, mientras que la participación de la región dentro de las exportaciones totales de China de este producto aumentó de 1.3% a 7.1%. Esto implica que, en apenas cuatro años, la presencia de China en los mercados del continente americano se multiplicó más de cinco veces.</w:t>
      </w:r>
    </w:p>
    <w:p w:rsidR="00000000" w:rsidDel="00000000" w:rsidP="00000000" w:rsidRDefault="00000000" w:rsidRPr="00000000" w14:paraId="00000251">
      <w:pPr>
        <w:jc w:val="center"/>
        <w:rPr>
          <w:b w:val="1"/>
          <w:bCs w:val="1"/>
        </w:rPr>
      </w:pPr>
      <w:r w:rsidDel="00000000" w:rsidR="00000000" w:rsidRPr="00000000">
        <w:rPr>
          <w:b w:val="1"/>
          <w:bCs w:val="1"/>
          <w:rtl w:val="0"/>
        </w:rPr>
        <w:t xml:space="preserve">Porcentaje de Exportaciones Chinas del HS 7214 a América</w:t>
      </w:r>
    </w:p>
    <w:p w:rsidR="00000000" w:rsidDel="00000000" w:rsidP="00000000" w:rsidRDefault="00000000" w:rsidRPr="00000000" w14:paraId="00000252">
      <w:pPr>
        <w:jc w:val="center"/>
        <w:rPr/>
      </w:pPr>
      <w:r w:rsidDel="00000000" w:rsidR="00000000" w:rsidRPr="00000000">
        <w:rPr/>
        <w:drawing>
          <wp:inline distB="0" distT="0" distL="0" distR="0">
            <wp:extent cx="5124893" cy="3381375"/>
            <wp:docPr id="2047128228"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253">
      <w:pPr>
        <w:spacing w:after="60" w:before="40" w:lineRule="auto"/>
        <w:ind w:firstLine="720"/>
        <w:rPr/>
      </w:pPr>
      <w:r w:rsidDel="00000000" w:rsidR="00000000" w:rsidRPr="00000000">
        <w:rPr>
          <w:i w:val="1"/>
          <w:iCs w:val="1"/>
          <w:color w:val="595959"/>
          <w:sz w:val="16"/>
          <w:szCs w:val="16"/>
          <w:rtl w:val="0"/>
        </w:rPr>
        <w:t xml:space="preserve">Fuente: Trademap</w:t>
      </w: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La evolución descrita demuestra que China no solo posee una capacidad exportadora significativa en el sector siderúrgico, sino que además ha incrementado de manera acelerada su presencia en los mercados del continente americano en los últimos años. Este comportamiento refleja factores estructurales ampliamente documentados en el mercado mundial del acero, particularmente el exceso de capacidad productiva existente en China y la necesidad de la industria siderúrgica china de colocar su excedente de producción en mercados externos.</w:t>
      </w:r>
    </w:p>
    <w:p w:rsidR="00000000" w:rsidDel="00000000" w:rsidP="00000000" w:rsidRDefault="00000000" w:rsidRPr="00000000" w14:paraId="00000256">
      <w:pPr>
        <w:rPr/>
      </w:pPr>
      <w:r w:rsidDel="00000000" w:rsidR="00000000" w:rsidRPr="00000000">
        <w:rPr>
          <w:rtl w:val="0"/>
        </w:rPr>
        <w:t xml:space="preserve">En un contexto en el que numerosos países han impuesto medidas de defensa comercial contra productos siderúrgicos originarios de China, los exportadores tienden a redirigir sus envíos hacia mercados con menores barreras comerciales. En consecuencia, el incremento reciente de las exportaciones chinas hacia América constituye un indicio relevante de que los productores chinos poseen tanto la capacidad como la propensión de expandir sus exportaciones hacia la región cuando existen oportunidades de mercado.</w:t>
      </w:r>
    </w:p>
    <w:p w:rsidR="00000000" w:rsidDel="00000000" w:rsidP="00000000" w:rsidRDefault="00000000" w:rsidRPr="00000000" w14:paraId="00000257">
      <w:pPr>
        <w:rPr/>
      </w:pPr>
      <w:r w:rsidDel="00000000" w:rsidR="00000000" w:rsidRPr="00000000">
        <w:rPr>
          <w:rtl w:val="0"/>
        </w:rPr>
        <w:t xml:space="preserve">En este contexto, la expansión reciente de las exportaciones chinas hacia América refuerza la probabilidad de que estos flujos comerciales puedan redirigirse hacia mercados específicos de la región en ausencia de medidas de defensa comercial.</w:t>
      </w:r>
    </w:p>
    <w:p w:rsidR="00000000" w:rsidDel="00000000" w:rsidP="00000000" w:rsidRDefault="00000000" w:rsidRPr="00000000" w14:paraId="0000025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Aptos Narro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https://www.wto.org/spanish/docs_s/legal_s/19-adp.pdf</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https://www.wto.org/spanish/thewto_s/whatis_s/tif_s/agrm8_s.htm</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https://www.congress.gov/crs-product/IF10385</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https://policy.trade.ec.europa.eu/news/commission-updates-report-state-induced-distortions-chinas-economy-2024-04-10_en?prefLang=es&amp;etrans=es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https://blogs.worldbank.org/es/opendata/understanding-country-income--world-bank-group-income-classifica</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5">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https://www.grandviewresearch.com/horizon/outlook/steel-market/brazil</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https://worldsteel.org/data/world-steel-in-figures/world-steel-in-figures-2025/</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D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6572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6572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6572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6572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96572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6572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6572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6572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657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657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657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6572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6572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657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6572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65721"/>
    <w:rPr>
      <w:i w:val="1"/>
      <w:iCs w:val="1"/>
      <w:color w:val="404040" w:themeColor="text1" w:themeTint="0000BF"/>
    </w:rPr>
  </w:style>
  <w:style w:type="paragraph" w:styleId="ListParagraph">
    <w:name w:val="List Paragraph"/>
    <w:basedOn w:val="Normal"/>
    <w:qFormat w:val="1"/>
    <w:rsid w:val="00965721"/>
    <w:pPr>
      <w:ind w:left="720"/>
      <w:contextualSpacing w:val="1"/>
    </w:pPr>
  </w:style>
  <w:style w:type="character" w:styleId="IntenseEmphasis">
    <w:name w:val="Intense Emphasis"/>
    <w:basedOn w:val="DefaultParagraphFont"/>
    <w:uiPriority w:val="21"/>
    <w:qFormat w:val="1"/>
    <w:rsid w:val="00965721"/>
    <w:rPr>
      <w:i w:val="1"/>
      <w:iCs w:val="1"/>
      <w:color w:val="2f5496" w:themeColor="accent1" w:themeShade="0000BF"/>
    </w:rPr>
  </w:style>
  <w:style w:type="paragraph" w:styleId="IntenseQuote">
    <w:name w:val="Intense Quote"/>
    <w:basedOn w:val="Normal"/>
    <w:next w:val="Normal"/>
    <w:link w:val="IntenseQuoteChar"/>
    <w:uiPriority w:val="30"/>
    <w:qFormat w:val="1"/>
    <w:rsid w:val="0096572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65721"/>
    <w:rPr>
      <w:i w:val="1"/>
      <w:iCs w:val="1"/>
      <w:color w:val="2f5496" w:themeColor="accent1" w:themeShade="0000BF"/>
    </w:rPr>
  </w:style>
  <w:style w:type="character" w:styleId="IntenseReference">
    <w:name w:val="Intense Reference"/>
    <w:basedOn w:val="DefaultParagraphFont"/>
    <w:uiPriority w:val="32"/>
    <w:qFormat w:val="1"/>
    <w:rsid w:val="00965721"/>
    <w:rPr>
      <w:b w:val="1"/>
      <w:bCs w:val="1"/>
      <w:smallCaps w:val="1"/>
      <w:color w:val="2f5496" w:themeColor="accent1" w:themeShade="0000BF"/>
      <w:spacing w:val="5"/>
    </w:rPr>
  </w:style>
  <w:style w:type="paragraph" w:styleId="FootnoteText">
    <w:name w:val="footnote text"/>
    <w:basedOn w:val="Normal"/>
    <w:link w:val="FootnoteTextChar"/>
    <w:uiPriority w:val="99"/>
    <w:semiHidden w:val="1"/>
    <w:unhideWhenUsed w:val="1"/>
    <w:rsid w:val="0096572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965721"/>
    <w:rPr>
      <w:sz w:val="20"/>
      <w:szCs w:val="20"/>
    </w:rPr>
  </w:style>
  <w:style w:type="character" w:styleId="FootnoteReference">
    <w:name w:val="footnote reference"/>
    <w:basedOn w:val="DefaultParagraphFont"/>
    <w:uiPriority w:val="99"/>
    <w:semiHidden w:val="1"/>
    <w:unhideWhenUsed w:val="1"/>
    <w:rsid w:val="00965721"/>
    <w:rPr>
      <w:vertAlign w:val="superscript"/>
    </w:rPr>
  </w:style>
  <w:style w:type="character" w:styleId="Hyperlink">
    <w:name w:val="Hyperlink"/>
    <w:basedOn w:val="DefaultParagraphFont"/>
    <w:uiPriority w:val="99"/>
    <w:unhideWhenUsed w:val="1"/>
    <w:rsid w:val="00965721"/>
    <w:rPr>
      <w:color w:val="0563c1" w:themeColor="hyperlink"/>
      <w:u w:val="single"/>
    </w:rPr>
  </w:style>
  <w:style w:type="character" w:styleId="UnresolvedMention">
    <w:name w:val="Unresolved Mention"/>
    <w:basedOn w:val="DefaultParagraphFont"/>
    <w:uiPriority w:val="99"/>
    <w:semiHidden w:val="1"/>
    <w:unhideWhenUsed w:val="1"/>
    <w:rsid w:val="00965721"/>
    <w:rPr>
      <w:color w:val="605e5c"/>
      <w:shd w:color="auto" w:fill="e1dfdd" w:val="clear"/>
    </w:rPr>
  </w:style>
  <w:style w:type="character" w:styleId="CommentReference">
    <w:name w:val="annotation reference"/>
    <w:basedOn w:val="DefaultParagraphFont"/>
    <w:uiPriority w:val="99"/>
    <w:semiHidden w:val="1"/>
    <w:unhideWhenUsed w:val="1"/>
    <w:rsid w:val="00785372"/>
    <w:rPr>
      <w:sz w:val="16"/>
      <w:szCs w:val="16"/>
    </w:rPr>
  </w:style>
  <w:style w:type="paragraph" w:styleId="CommentText">
    <w:name w:val="annotation text"/>
    <w:basedOn w:val="Normal"/>
    <w:link w:val="CommentTextChar"/>
    <w:uiPriority w:val="99"/>
    <w:semiHidden w:val="1"/>
    <w:unhideWhenUsed w:val="1"/>
    <w:rsid w:val="00785372"/>
    <w:pPr>
      <w:spacing w:line="240" w:lineRule="auto"/>
    </w:pPr>
    <w:rPr>
      <w:sz w:val="20"/>
      <w:szCs w:val="20"/>
    </w:rPr>
  </w:style>
  <w:style w:type="character" w:styleId="CommentTextChar" w:customStyle="1">
    <w:name w:val="Comment Text Char"/>
    <w:basedOn w:val="DefaultParagraphFont"/>
    <w:link w:val="CommentText"/>
    <w:uiPriority w:val="99"/>
    <w:semiHidden w:val="1"/>
    <w:rsid w:val="00785372"/>
    <w:rPr>
      <w:sz w:val="20"/>
      <w:szCs w:val="20"/>
    </w:rPr>
  </w:style>
  <w:style w:type="paragraph" w:styleId="CommentSubject">
    <w:name w:val="annotation subject"/>
    <w:basedOn w:val="CommentText"/>
    <w:next w:val="CommentText"/>
    <w:link w:val="CommentSubjectChar"/>
    <w:uiPriority w:val="99"/>
    <w:semiHidden w:val="1"/>
    <w:unhideWhenUsed w:val="1"/>
    <w:rsid w:val="00785372"/>
    <w:rPr>
      <w:b w:val="1"/>
      <w:bCs w:val="1"/>
    </w:rPr>
  </w:style>
  <w:style w:type="character" w:styleId="CommentSubjectChar" w:customStyle="1">
    <w:name w:val="Comment Subject Char"/>
    <w:basedOn w:val="CommentTextChar"/>
    <w:link w:val="CommentSubject"/>
    <w:uiPriority w:val="99"/>
    <w:semiHidden w:val="1"/>
    <w:rsid w:val="00785372"/>
    <w:rPr>
      <w:b w:val="1"/>
      <w:bCs w:val="1"/>
      <w:sz w:val="20"/>
      <w:szCs w:val="20"/>
    </w:rPr>
  </w:style>
  <w:style w:type="character" w:styleId="FollowedHyperlink">
    <w:name w:val="FollowedHyperlink"/>
    <w:basedOn w:val="DefaultParagraphFont"/>
    <w:uiPriority w:val="99"/>
    <w:semiHidden w:val="1"/>
    <w:unhideWhenUsed w:val="1"/>
    <w:rsid w:val="00743922"/>
    <w:rPr>
      <w:color w:val="954f72" w:themeColor="followedHyperlink"/>
      <w:u w:val="single"/>
    </w:rPr>
  </w:style>
  <w:style w:type="paragraph" w:styleId="TOCHeading">
    <w:name w:val="TOC Heading"/>
    <w:basedOn w:val="Heading1"/>
    <w:next w:val="Normal"/>
    <w:uiPriority w:val="39"/>
    <w:unhideWhenUsed w:val="1"/>
    <w:qFormat w:val="1"/>
    <w:rsid w:val="00247A11"/>
    <w:pPr>
      <w:spacing w:after="0" w:before="240" w:line="259" w:lineRule="auto"/>
      <w:outlineLvl w:val="9"/>
    </w:pPr>
    <w:rPr>
      <w:kern w:val="0"/>
      <w:sz w:val="32"/>
      <w:szCs w:val="32"/>
      <w:lang w:val="en-US"/>
    </w:rPr>
  </w:style>
  <w:style w:type="paragraph" w:styleId="TOC1">
    <w:name w:val="toc 1"/>
    <w:basedOn w:val="Normal"/>
    <w:next w:val="Normal"/>
    <w:autoRedefine w:val="1"/>
    <w:uiPriority w:val="39"/>
    <w:unhideWhenUsed w:val="1"/>
    <w:rsid w:val="00247A11"/>
    <w:pPr>
      <w:spacing w:after="100"/>
    </w:pPr>
  </w:style>
  <w:style w:type="paragraph" w:styleId="TOC2">
    <w:name w:val="toc 2"/>
    <w:basedOn w:val="Normal"/>
    <w:next w:val="Normal"/>
    <w:autoRedefine w:val="1"/>
    <w:uiPriority w:val="39"/>
    <w:unhideWhenUsed w:val="1"/>
    <w:rsid w:val="00247A11"/>
    <w:pPr>
      <w:spacing w:after="100"/>
      <w:ind w:left="240"/>
    </w:pPr>
  </w:style>
  <w:style w:type="paragraph" w:styleId="Header">
    <w:name w:val="header"/>
    <w:basedOn w:val="Normal"/>
    <w:link w:val="HeaderChar"/>
    <w:uiPriority w:val="99"/>
    <w:unhideWhenUsed w:val="1"/>
    <w:rsid w:val="00F95A8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5A88"/>
    <w:rPr>
      <w:lang w:val="es-DO"/>
    </w:rPr>
  </w:style>
  <w:style w:type="paragraph" w:styleId="Footer">
    <w:name w:val="footer"/>
    <w:basedOn w:val="Normal"/>
    <w:link w:val="FooterChar"/>
    <w:uiPriority w:val="99"/>
    <w:unhideWhenUsed w:val="1"/>
    <w:rsid w:val="00F95A8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5A88"/>
    <w:rPr>
      <w:lang w:val="es-DO"/>
    </w:rPr>
  </w:style>
  <w:style w:type="paragraph" w:styleId="NormalWeb">
    <w:name w:val="Normal (Web)"/>
    <w:basedOn w:val="Normal"/>
    <w:uiPriority w:val="99"/>
    <w:semiHidden w:val="1"/>
    <w:unhideWhenUsed w:val="1"/>
    <w:rsid w:val="007B42D3"/>
    <w:pPr>
      <w:spacing w:after="100" w:afterAutospacing="1" w:before="100" w:beforeAutospacing="1" w:line="240" w:lineRule="auto"/>
    </w:pPr>
    <w:rPr>
      <w:rFonts w:ascii="Times New Roman" w:cs="Times New Roman" w:eastAsia="Times New Roman" w:hAnsi="Times New Roman"/>
      <w:kern w:val="0"/>
      <w:lang w:val="en-US"/>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chart" Target="charts/chart2.xml"/><Relationship Id="rId13" Type="http://schemas.openxmlformats.org/officeDocument/2006/relationships/chart" Target="charts/chart4.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hart" Target="charts/chart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wto.org/spanish/docs_s/legal_s/19-adp.pdf" TargetMode="External"/><Relationship Id="rId2" Type="http://schemas.openxmlformats.org/officeDocument/2006/relationships/hyperlink" Target="https://www.wto.org/spanish/thewto_s/whatis_s/tif_s/agrm8_s.htm" TargetMode="External"/><Relationship Id="rId3" Type="http://schemas.openxmlformats.org/officeDocument/2006/relationships/hyperlink" Target="https://www.congress.gov/crs-product/IF10385" TargetMode="External"/><Relationship Id="rId4" Type="http://schemas.openxmlformats.org/officeDocument/2006/relationships/hyperlink" Target="https://policy.trade.ec.europa.eu/news/commission-updates-report-state-induced-distortions-chinas-economy-2024-04-10_en?prefLang=es&amp;etrans=es" TargetMode="External"/><Relationship Id="rId5" Type="http://schemas.openxmlformats.org/officeDocument/2006/relationships/hyperlink" Target="https://blogs.worldbank.org/es/opendata/understanding-country-income--world-bank-group-income-classifica" TargetMode="External"/><Relationship Id="rId6" Type="http://schemas.openxmlformats.org/officeDocument/2006/relationships/hyperlink" Target="https://www.grandviewresearch.com/horizon/outlook/steel-market/brazil" TargetMode="External"/><Relationship Id="rId7" Type="http://schemas.openxmlformats.org/officeDocument/2006/relationships/hyperlink" Target="https://worldsteel.org/data/world-steel-in-figures/world-steel-in-figures-2025/"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en-US" b="1"/>
              <a:t>Capacidad Ociosa Estimada de China (mmt)</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Capacidad Ociosa Estimada</c:v>
                </c:pt>
              </c:strCache>
            </c:strRef>
          </c:tx>
          <c:spPr>
            <a:solidFill>
              <a:srgbClr val="134B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2023</c:v>
                </c:pt>
              </c:numCache>
            </c:numRef>
          </c:cat>
          <c:val>
            <c:numRef>
              <c:f>Sheet1!$B$2:$B$6</c:f>
              <c:numCache>
                <c:formatCode>General</c:formatCode>
                <c:ptCount val="5"/>
                <c:pt idx="0">
                  <c:v>83.1</c:v>
                </c:pt>
                <c:pt idx="1">
                  <c:v>111.3</c:v>
                </c:pt>
                <c:pt idx="2">
                  <c:v>131.9</c:v>
                </c:pt>
                <c:pt idx="3">
                  <c:v>119</c:v>
                </c:pt>
                <c:pt idx="4">
                  <c:v>136.4</c:v>
                </c:pt>
              </c:numCache>
            </c:numRef>
          </c:val>
          <c:extLst>
            <c:ext xmlns:c16="http://schemas.microsoft.com/office/drawing/2014/chart" uri="{C3380CC4-5D6E-409C-BE32-E72D297353CC}">
              <c16:uniqueId val="{00000000-EDDB-4A69-B709-419EE3A26E8A}"/>
            </c:ext>
          </c:extLst>
        </c:ser>
        <c:dLbls>
          <c:showLegendKey val="0"/>
          <c:showVal val="0"/>
          <c:showCatName val="0"/>
          <c:showSerName val="0"/>
          <c:showPercent val="0"/>
          <c:showBubbleSize val="0"/>
        </c:dLbls>
        <c:gapWidth val="219"/>
        <c:overlap val="-27"/>
        <c:axId val="1504878112"/>
        <c:axId val="1504882432"/>
      </c:barChart>
      <c:catAx>
        <c:axId val="150487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504882432"/>
        <c:crosses val="autoZero"/>
        <c:auto val="1"/>
        <c:lblAlgn val="ctr"/>
        <c:lblOffset val="100"/>
        <c:noMultiLvlLbl val="0"/>
      </c:catAx>
      <c:valAx>
        <c:axId val="1504882432"/>
        <c:scaling>
          <c:orientation val="minMax"/>
        </c:scaling>
        <c:delete val="1"/>
        <c:axPos val="l"/>
        <c:numFmt formatCode="General" sourceLinked="1"/>
        <c:majorTickMark val="none"/>
        <c:minorTickMark val="none"/>
        <c:tickLblPos val="nextTo"/>
        <c:crossAx val="1504878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Ingreso Nacional Bruto</c:v>
                </c:pt>
              </c:strCache>
            </c:strRef>
          </c:tx>
          <c:spPr>
            <a:solidFill>
              <a:srgbClr val="ACD3C4"/>
            </a:solidFill>
            <a:ln>
              <a:noFill/>
            </a:ln>
            <a:effectLst/>
          </c:spPr>
          <c:invertIfNegative val="0"/>
          <c:dPt>
            <c:idx val="6"/>
            <c:invertIfNegative val="0"/>
            <c:bubble3D val="0"/>
            <c:spPr>
              <a:solidFill>
                <a:srgbClr val="134B53"/>
              </a:solidFill>
              <a:ln>
                <a:noFill/>
              </a:ln>
              <a:effectLst/>
            </c:spPr>
            <c:extLst>
              <c:ext xmlns:c16="http://schemas.microsoft.com/office/drawing/2014/chart" uri="{C3380CC4-5D6E-409C-BE32-E72D297353CC}">
                <c16:uniqueId val="{00000001-E620-4993-9643-75B4895510A1}"/>
              </c:ext>
            </c:extLst>
          </c:dPt>
          <c:dPt>
            <c:idx val="7"/>
            <c:invertIfNegative val="0"/>
            <c:bubble3D val="0"/>
            <c:spPr>
              <a:solidFill>
                <a:srgbClr val="134B53"/>
              </a:solidFill>
              <a:ln>
                <a:noFill/>
              </a:ln>
              <a:effectLst/>
            </c:spPr>
            <c:extLst>
              <c:ext xmlns:c16="http://schemas.microsoft.com/office/drawing/2014/chart" uri="{C3380CC4-5D6E-409C-BE32-E72D297353CC}">
                <c16:uniqueId val="{00000003-E620-4993-9643-75B4895510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EEUU</c:v>
                </c:pt>
                <c:pt idx="1">
                  <c:v>Alemania</c:v>
                </c:pt>
                <c:pt idx="2">
                  <c:v>Corea del Sur</c:v>
                </c:pt>
                <c:pt idx="3">
                  <c:v>Japan</c:v>
                </c:pt>
                <c:pt idx="4">
                  <c:v>Rusia</c:v>
                </c:pt>
                <c:pt idx="5">
                  <c:v>Turquia</c:v>
                </c:pt>
                <c:pt idx="6">
                  <c:v>China</c:v>
                </c:pt>
                <c:pt idx="7">
                  <c:v>Brazil</c:v>
                </c:pt>
                <c:pt idx="8">
                  <c:v>Iran</c:v>
                </c:pt>
                <c:pt idx="9">
                  <c:v>India</c:v>
                </c:pt>
              </c:strCache>
            </c:strRef>
          </c:cat>
          <c:val>
            <c:numRef>
              <c:f>Sheet1!$B$2:$B$11</c:f>
              <c:numCache>
                <c:formatCode>_(* #,##0_);_(* \(#,##0\);_(* "-"??_);_(@_)</c:formatCode>
                <c:ptCount val="10"/>
                <c:pt idx="0">
                  <c:v>85980</c:v>
                </c:pt>
                <c:pt idx="1">
                  <c:v>76180</c:v>
                </c:pt>
                <c:pt idx="2">
                  <c:v>61930</c:v>
                </c:pt>
                <c:pt idx="3">
                  <c:v>55490</c:v>
                </c:pt>
                <c:pt idx="4">
                  <c:v>46780</c:v>
                </c:pt>
                <c:pt idx="5">
                  <c:v>45110</c:v>
                </c:pt>
                <c:pt idx="6">
                  <c:v>26920</c:v>
                </c:pt>
                <c:pt idx="7">
                  <c:v>21590</c:v>
                </c:pt>
                <c:pt idx="8">
                  <c:v>19820</c:v>
                </c:pt>
                <c:pt idx="9">
                  <c:v>11000</c:v>
                </c:pt>
              </c:numCache>
            </c:numRef>
          </c:val>
          <c:extLst>
            <c:ext xmlns:c16="http://schemas.microsoft.com/office/drawing/2014/chart" uri="{C3380CC4-5D6E-409C-BE32-E72D297353CC}">
              <c16:uniqueId val="{00000004-E620-4993-9643-75B4895510A1}"/>
            </c:ext>
          </c:extLst>
        </c:ser>
        <c:dLbls>
          <c:showLegendKey val="0"/>
          <c:showVal val="0"/>
          <c:showCatName val="0"/>
          <c:showSerName val="0"/>
          <c:showPercent val="0"/>
          <c:showBubbleSize val="0"/>
        </c:dLbls>
        <c:gapWidth val="219"/>
        <c:axId val="1504796032"/>
        <c:axId val="1504797952"/>
      </c:barChart>
      <c:catAx>
        <c:axId val="1504796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504797952"/>
        <c:crosses val="autoZero"/>
        <c:auto val="1"/>
        <c:lblAlgn val="ctr"/>
        <c:lblOffset val="100"/>
        <c:noMultiLvlLbl val="0"/>
      </c:catAx>
      <c:valAx>
        <c:axId val="1504797952"/>
        <c:scaling>
          <c:orientation val="minMax"/>
        </c:scaling>
        <c:delete val="1"/>
        <c:axPos val="b"/>
        <c:numFmt formatCode="_(* #,##0_);_(* \(#,##0\);_(* &quot;-&quot;??_);_(@_)" sourceLinked="1"/>
        <c:majorTickMark val="none"/>
        <c:minorTickMark val="none"/>
        <c:tickLblPos val="nextTo"/>
        <c:crossAx val="1504796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rgbClr val="3E7D7E"/>
              </a:solidFill>
              <a:round/>
            </a:ln>
            <a:effectLst/>
          </c:spPr>
          <c:marker>
            <c:symbol val="none"/>
          </c:marker>
          <c:cat>
            <c:numRef>
              <c:f>Sheet1!$A$2:$A$13</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Sheet1!$B$2:$B$13</c:f>
              <c:numCache>
                <c:formatCode>0.0%</c:formatCode>
                <c:ptCount val="12"/>
                <c:pt idx="0">
                  <c:v>1.3205929970477127E-2</c:v>
                </c:pt>
                <c:pt idx="1">
                  <c:v>2.0889212286022339E-2</c:v>
                </c:pt>
                <c:pt idx="2">
                  <c:v>1.8034304621975337E-2</c:v>
                </c:pt>
                <c:pt idx="3">
                  <c:v>1.6074283057680182E-2</c:v>
                </c:pt>
                <c:pt idx="4">
                  <c:v>2.3045077451552272E-2</c:v>
                </c:pt>
                <c:pt idx="5">
                  <c:v>2.1699833568248963E-2</c:v>
                </c:pt>
                <c:pt idx="6">
                  <c:v>1.1081512447531793E-2</c:v>
                </c:pt>
                <c:pt idx="7">
                  <c:v>1.3314857364337157E-2</c:v>
                </c:pt>
                <c:pt idx="8">
                  <c:v>3.0986338862652965E-2</c:v>
                </c:pt>
                <c:pt idx="9">
                  <c:v>4.4077768017859419E-2</c:v>
                </c:pt>
                <c:pt idx="10">
                  <c:v>6.4497107593456754E-2</c:v>
                </c:pt>
                <c:pt idx="11">
                  <c:v>7.0711130720369372E-2</c:v>
                </c:pt>
              </c:numCache>
            </c:numRef>
          </c:val>
          <c:smooth val="0"/>
          <c:extLst>
            <c:ext xmlns:c16="http://schemas.microsoft.com/office/drawing/2014/chart" uri="{C3380CC4-5D6E-409C-BE32-E72D297353CC}">
              <c16:uniqueId val="{00000000-ED4B-4D0C-8948-CFF5234D8394}"/>
            </c:ext>
          </c:extLst>
        </c:ser>
        <c:dLbls>
          <c:showLegendKey val="0"/>
          <c:showVal val="0"/>
          <c:showCatName val="0"/>
          <c:showSerName val="0"/>
          <c:showPercent val="0"/>
          <c:showBubbleSize val="0"/>
        </c:dLbls>
        <c:smooth val="0"/>
        <c:axId val="367860463"/>
        <c:axId val="367861423"/>
      </c:lineChart>
      <c:catAx>
        <c:axId val="36786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j-lt"/>
                <a:ea typeface="+mn-ea"/>
                <a:cs typeface="+mn-cs"/>
              </a:defRPr>
            </a:pPr>
            <a:endParaRPr lang="en-US"/>
          </a:p>
        </c:txPr>
        <c:crossAx val="367861423"/>
        <c:crosses val="autoZero"/>
        <c:auto val="1"/>
        <c:lblAlgn val="ctr"/>
        <c:lblOffset val="100"/>
        <c:noMultiLvlLbl val="0"/>
      </c:catAx>
      <c:valAx>
        <c:axId val="3678614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j-lt"/>
                <a:ea typeface="+mn-ea"/>
                <a:cs typeface="+mn-cs"/>
              </a:defRPr>
            </a:pPr>
            <a:endParaRPr lang="en-US"/>
          </a:p>
        </c:txPr>
        <c:crossAx val="367860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lumMod val="95000"/>
              <a:lumOff val="5000"/>
            </a:schemeClr>
          </a:solidFill>
          <a:latin typeface="+mj-l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rgbClr val="3E7D7E"/>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_(* #,##0_);_(* \(#,##0\);_(* "-"??_);_(@_)</c:formatCode>
                <c:ptCount val="7"/>
                <c:pt idx="0">
                  <c:v>246864</c:v>
                </c:pt>
                <c:pt idx="1">
                  <c:v>376731</c:v>
                </c:pt>
                <c:pt idx="2">
                  <c:v>352118</c:v>
                </c:pt>
                <c:pt idx="3">
                  <c:v>394747</c:v>
                </c:pt>
                <c:pt idx="4">
                  <c:v>632085</c:v>
                </c:pt>
                <c:pt idx="5">
                  <c:v>1618866</c:v>
                </c:pt>
                <c:pt idx="6">
                  <c:v>2557386</c:v>
                </c:pt>
              </c:numCache>
            </c:numRef>
          </c:val>
          <c:smooth val="0"/>
          <c:extLst>
            <c:ext xmlns:c16="http://schemas.microsoft.com/office/drawing/2014/chart" uri="{C3380CC4-5D6E-409C-BE32-E72D297353CC}">
              <c16:uniqueId val="{00000000-3DD9-4B2F-97BA-00536BA9FD1C}"/>
            </c:ext>
          </c:extLst>
        </c:ser>
        <c:dLbls>
          <c:showLegendKey val="0"/>
          <c:showVal val="0"/>
          <c:showCatName val="0"/>
          <c:showSerName val="0"/>
          <c:showPercent val="0"/>
          <c:showBubbleSize val="0"/>
        </c:dLbls>
        <c:smooth val="0"/>
        <c:axId val="853717360"/>
        <c:axId val="853717840"/>
      </c:lineChart>
      <c:catAx>
        <c:axId val="85371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53717840"/>
        <c:crosses val="autoZero"/>
        <c:auto val="1"/>
        <c:lblAlgn val="ctr"/>
        <c:lblOffset val="100"/>
        <c:noMultiLvlLbl val="0"/>
      </c:catAx>
      <c:valAx>
        <c:axId val="85371784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853717360"/>
        <c:crosses val="autoZero"/>
        <c:crossBetween val="between"/>
      </c:valAx>
      <c:spPr>
        <a:noFill/>
        <a:ln w="3492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zaa91aNxCQ7c8Kf0xK1kvSWrA==">CgMxLjAyDmgubXNzOGQ2ZDl4cWlvMg5oLmlkNTMyZzFlanN5ODIOaC52ODFtOTFmd2E1NGgyDmguaGdtaHE5N2MzbzZqMg5oLnhsb2ZiN2V2NHR2ejIOaC5tYXZjajhhOXZsNmEyDmgubTUyZ3gxc3JqMGthMg5oLmo3MnF4djl3amZxczIOaC5hZDV5eWp6Mm1hZ2MyDmguMWNuamFpM3VwZmZpMg5oLjVndHh2bmttY3VzMTIOaC5nZjYxMTRtbnZhb20yDmguYW05YjBxeG80ZmZ6Mg5oLnBkbW5vbjhhOXZ2dTgAciExWHRNODFnMWlJa0FoYl9LY2gwX3l3X0tIVVE5eTBre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2026-03-11T16:33:00Z</dcterms:created>
  <dc:creator>Roberto Despradel</dc:creator>
</cp:coreProperties>
</file>