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CF387" w14:textId="77777777" w:rsidR="00061260" w:rsidRDefault="007A0969">
      <w:pPr>
        <w:spacing w:before="240" w:after="240"/>
        <w:jc w:val="both"/>
        <w:rPr>
          <w:b/>
          <w:bCs/>
        </w:rPr>
      </w:pPr>
      <w:r>
        <w:rPr>
          <w:b/>
          <w:bCs/>
        </w:rPr>
        <w:t>i. Punto 58</w:t>
      </w:r>
    </w:p>
    <w:p w14:paraId="0DACF388" w14:textId="77777777" w:rsidR="00061260" w:rsidRDefault="007A0969">
      <w:pPr>
        <w:spacing w:before="240" w:after="240"/>
        <w:jc w:val="both"/>
        <w:rPr>
          <w:b/>
          <w:bCs/>
        </w:rPr>
      </w:pPr>
      <w:r>
        <w:rPr>
          <w:b/>
          <w:bCs/>
        </w:rPr>
        <w:t>Factores del mercado nacional e internacional durante el período de vigencia de la medida antidumping y su efecto en el comportamiento de la RPN</w:t>
      </w:r>
    </w:p>
    <w:p w14:paraId="0DACF389" w14:textId="77777777" w:rsidR="00061260" w:rsidRDefault="007A0969">
      <w:pPr>
        <w:spacing w:before="240" w:after="240"/>
        <w:jc w:val="both"/>
      </w:pPr>
      <w:r>
        <w:t>Durante el período de vigencia de la medida antidumping no se han producido cambios en las preferencias de los consumidores ni en los métodos de producción de la RPN que puedan explicar variaciones en los indicadores.</w:t>
      </w:r>
    </w:p>
    <w:p w14:paraId="0DACF38A" w14:textId="77777777" w:rsidR="00061260" w:rsidRDefault="007A0969">
      <w:pPr>
        <w:spacing w:before="240" w:after="240"/>
        <w:jc w:val="both"/>
      </w:pPr>
      <w:r>
        <w:t xml:space="preserve">La República Dominicana ha gozado de estabilidad económica y política, con un clima de negocios favorable, que fomenta la producción y las inversiones, tanto nacionales como extranjeras. Durante este periodo no se han producido siniestros, ni catástrofes que afecten la RPN o el sector de la economía que demanda varillas.  </w:t>
      </w:r>
    </w:p>
    <w:p w14:paraId="0DACF38B" w14:textId="77777777" w:rsidR="00061260" w:rsidRDefault="007A0969">
      <w:pPr>
        <w:spacing w:before="240" w:after="240"/>
        <w:jc w:val="both"/>
      </w:pPr>
      <w:r>
        <w:t xml:space="preserve">La producción de varillas depende de la demanda del sector de la construcción, y este a su vez está influenciado por una serie de factores macroeconómicos.  En adición, los precios de las varillas dependen en alta media de los precios de las materias primas internacionales y de los costos de transformación que están altamente vinculados al costo de la energía eléctrica (combustibles fósiles). Durante el periodo en cuestión estuvo presente el inicio del conflicto bélico entre Rusia y Ucrania, que afectó los precios de hidrocarburos y también los precios de las materias primas, lo afectó la inflación, e incidió en aspectos de política macroeconómica en República Dominicana. </w:t>
      </w:r>
    </w:p>
    <w:p w14:paraId="0DACF38C" w14:textId="77777777" w:rsidR="00061260" w:rsidRDefault="007A0969">
      <w:pPr>
        <w:spacing w:before="240" w:after="240"/>
        <w:jc w:val="both"/>
      </w:pPr>
      <w:r>
        <w:t>Estos factores a ser de índole global tienden afectar tanto a productores locales como internacionales.</w:t>
      </w:r>
    </w:p>
    <w:p w14:paraId="0DACF38D" w14:textId="77777777" w:rsidR="00061260" w:rsidRDefault="007A0969">
      <w:pPr>
        <w:spacing w:before="240" w:after="240"/>
        <w:jc w:val="both"/>
        <w:rPr>
          <w:b/>
          <w:bCs/>
        </w:rPr>
      </w:pPr>
      <w:r>
        <w:rPr>
          <w:b/>
          <w:bCs/>
        </w:rPr>
        <w:t>I. Ausencia de cambios en preferencias del consumidor</w:t>
      </w:r>
    </w:p>
    <w:p w14:paraId="0DACF38E" w14:textId="77777777" w:rsidR="00061260" w:rsidRDefault="007A0969">
      <w:pPr>
        <w:spacing w:before="240" w:after="240"/>
        <w:jc w:val="both"/>
      </w:pPr>
      <w:r>
        <w:t>Las varillas de acero corrugado constituyen un producto técnico estandarizado cuya adquisición está determinada exclusivamente por el cumplimiento de la norma NORDOM 458/ASTM A615 Grado 60 y el precio. No existen sustitutos tecnológicos con penetración relevante en el mercado dominicano: el hormigón armado con varilla corrugada mantiene su posición como estándar constructivo en proyectos residenciales, comerciales e infraestructura pública.</w:t>
      </w:r>
    </w:p>
    <w:p w14:paraId="0DACF38F" w14:textId="77777777" w:rsidR="00061260" w:rsidRDefault="007A0969">
      <w:pPr>
        <w:spacing w:before="240" w:after="240"/>
        <w:jc w:val="both"/>
      </w:pPr>
      <w:r>
        <w:t>En consecuencia:</w:t>
      </w:r>
    </w:p>
    <w:p w14:paraId="0DACF390" w14:textId="77777777" w:rsidR="00061260" w:rsidRDefault="007A0969">
      <w:pPr>
        <w:spacing w:before="240" w:after="240"/>
        <w:jc w:val="both"/>
      </w:pPr>
      <w:r>
        <w:rPr>
          <w:b/>
          <w:bCs/>
        </w:rPr>
        <w:t xml:space="preserve">• </w:t>
      </w:r>
      <w:r>
        <w:t>No se han registrado cambios en las especificaciones técnicas exigidas por los proyectos de construcción, que siguen demandando varilla Grado 60 conforme a NORDOM 458.</w:t>
      </w:r>
    </w:p>
    <w:p w14:paraId="0DACF391" w14:textId="77777777" w:rsidR="00061260" w:rsidRDefault="007A0969">
      <w:pPr>
        <w:spacing w:before="240" w:after="240"/>
        <w:jc w:val="both"/>
      </w:pPr>
      <w:r>
        <w:rPr>
          <w:b/>
          <w:bCs/>
        </w:rPr>
        <w:t xml:space="preserve">• </w:t>
      </w:r>
      <w:r>
        <w:t>No han surgido materiales sustitutos (fibra de vidrio, malla electrosoldada estructural, etc.) con penetración suficiente para afectar la demanda de varilla corrugada.</w:t>
      </w:r>
    </w:p>
    <w:p w14:paraId="0DACF392" w14:textId="77777777" w:rsidR="00061260" w:rsidRDefault="007A0969">
      <w:pPr>
        <w:spacing w:before="240" w:after="240"/>
        <w:jc w:val="both"/>
      </w:pPr>
      <w:r>
        <w:rPr>
          <w:b/>
          <w:bCs/>
        </w:rPr>
        <w:t xml:space="preserve">• </w:t>
      </w:r>
      <w:r>
        <w:t>El criterio de compra de distribuidores y contratistas sigue siendo precio y disponibilidad, no origen ni marca, lo que hace a la RPN especialmente vulnerable ante importaciones subvaloradas.</w:t>
      </w:r>
    </w:p>
    <w:p w14:paraId="0DACF393" w14:textId="77777777" w:rsidR="00061260" w:rsidRDefault="007A0969">
      <w:pPr>
        <w:spacing w:before="240" w:after="240"/>
        <w:jc w:val="both"/>
      </w:pPr>
      <w:r>
        <w:t xml:space="preserve"> </w:t>
      </w:r>
    </w:p>
    <w:p w14:paraId="0DACF394" w14:textId="77777777" w:rsidR="00061260" w:rsidRDefault="007A0969">
      <w:pPr>
        <w:spacing w:before="240" w:after="240"/>
        <w:jc w:val="both"/>
        <w:rPr>
          <w:b/>
          <w:bCs/>
        </w:rPr>
      </w:pPr>
      <w:r>
        <w:rPr>
          <w:b/>
          <w:bCs/>
        </w:rPr>
        <w:t>II. Ausencia de cambios en métodos de producción</w:t>
      </w:r>
    </w:p>
    <w:p w14:paraId="0DACF395" w14:textId="77777777" w:rsidR="00061260" w:rsidRDefault="007A0969">
      <w:pPr>
        <w:spacing w:before="240" w:after="240"/>
        <w:jc w:val="both"/>
      </w:pPr>
      <w:r>
        <w:t xml:space="preserve">La RPN no realizó cambios en su proceso productivo durante el período analizado. La empresa mantiene el mismo proceso de horno eléctrico de arco y laminación en caliente con el que opera desde su fundación. Las certificaciones de calidad ante INDOCAL (RTD 458) han sido renovadas </w:t>
      </w:r>
      <w:r>
        <w:lastRenderedPageBreak/>
        <w:t>de forma continua, confirmando la estabilidad del proceso y las especificaciones del producto. Las inversiones en activos fijos del período corresponden a mantenimiento y modernización de equipos, sin alterar el tipo ni las características de la varilla producida.</w:t>
      </w:r>
    </w:p>
    <w:p w14:paraId="0DACF396" w14:textId="77777777" w:rsidR="00061260" w:rsidRDefault="007A0969">
      <w:pPr>
        <w:spacing w:before="240" w:after="240"/>
        <w:jc w:val="both"/>
      </w:pPr>
      <w:r>
        <w:t xml:space="preserve"> </w:t>
      </w:r>
    </w:p>
    <w:p w14:paraId="0DACF397" w14:textId="77777777" w:rsidR="00061260" w:rsidRDefault="007A0969">
      <w:pPr>
        <w:spacing w:before="240" w:after="240"/>
        <w:jc w:val="both"/>
        <w:rPr>
          <w:b/>
          <w:bCs/>
        </w:rPr>
      </w:pPr>
      <w:r>
        <w:rPr>
          <w:b/>
          <w:bCs/>
        </w:rPr>
        <w:t>III. Factores macroeconómicos: contexto, pero no causa del deterioro</w:t>
      </w:r>
    </w:p>
    <w:p w14:paraId="0DACF398" w14:textId="77777777" w:rsidR="00061260" w:rsidRDefault="007A0969">
      <w:pPr>
        <w:spacing w:before="240" w:after="240"/>
        <w:jc w:val="both"/>
      </w:pPr>
      <w:r>
        <w:t>El período 2021–2025 estuvo marcado por factores macroeconómicos que afectaron al conjunto de la industria: el año 2021 registró un crecimiento excepcional del sector construcción del 22.8% (recuperación post-COVID), seguido de una marcada desaceleración hacia tasas de 0.9%–2.1% en 2022–2024, y una contracción de -1.8% en 2025. A nivel internacional, los precios del acero experimentaron una volatilidad significativa, con un ciclo de alza en 2021–2022 seguido de una corrección pronunciada.</w:t>
      </w:r>
    </w:p>
    <w:p w14:paraId="0DACF399" w14:textId="77777777" w:rsidR="00061260" w:rsidRDefault="007A0969">
      <w:pPr>
        <w:spacing w:before="240" w:after="240"/>
        <w:jc w:val="both"/>
      </w:pPr>
      <w:r>
        <w:t>Sin embargo, estos factores macroeconómicos, por su naturaleza, afectan por igual a todos los participantes del mercado, productores locales e importadores, y no pueden explicar de forma selectiva el deterioro de los indicadores de la RPN.</w:t>
      </w:r>
    </w:p>
    <w:p w14:paraId="0DACF39A" w14:textId="77777777" w:rsidR="00061260" w:rsidRDefault="007A0969">
      <w:pPr>
        <w:spacing w:before="240" w:after="240"/>
        <w:jc w:val="both"/>
      </w:pPr>
      <w:r>
        <w:t xml:space="preserve">Ahora bien, los factores macroeconómicos afectan el desempeño económico en general, y el del sector de la construcción, que se comparte con mayor volatilidad que la economía en su conjunto. </w:t>
      </w:r>
    </w:p>
    <w:p w14:paraId="0DACF39B" w14:textId="77777777" w:rsidR="00061260" w:rsidRDefault="007A0969">
      <w:pPr>
        <w:spacing w:before="240" w:after="240"/>
        <w:jc w:val="both"/>
        <w:rPr>
          <w:b/>
          <w:bCs/>
        </w:rPr>
      </w:pPr>
      <w:r>
        <w:rPr>
          <w:b/>
          <w:bCs/>
        </w:rPr>
        <w:t>IV. Indicadores financieros de la RPN</w:t>
      </w:r>
    </w:p>
    <w:p w14:paraId="0DACF39C" w14:textId="77777777" w:rsidR="00061260" w:rsidRDefault="007A0969">
      <w:pPr>
        <w:spacing w:before="240" w:after="240"/>
        <w:jc w:val="both"/>
      </w:pPr>
      <w:r>
        <w:t>El análisis de los estados financieros del producto investigado refleja una RPN en situación de fragilidad. Si bien se observan recuperaciones puntuales en ciertos años, la tendencia del período revela indicadores que confirman que la empresa no está en condiciones de absorber la presión adicional que representaría el ingreso de varilla china sin arancel antidumping.</w:t>
      </w:r>
    </w:p>
    <w:p w14:paraId="6B8D9C89" w14:textId="32BB2FDA" w:rsidR="00A25086" w:rsidRDefault="00A25086">
      <w:pPr>
        <w:spacing w:before="240" w:after="240"/>
        <w:jc w:val="both"/>
      </w:pPr>
      <w:r>
        <w:fldChar w:fldCharType="begin"/>
      </w:r>
      <w:r>
        <w:instrText xml:space="preserve"> LINK Excel.Sheet.12 "Book1" "Sheet1!R4C2:R10C6" \a \f 4 \h  \* MERGEFORMAT </w:instrText>
      </w:r>
      <w:r>
        <w:fldChar w:fldCharType="separate"/>
      </w:r>
    </w:p>
    <w:tbl>
      <w:tblPr>
        <w:tblW w:w="10141" w:type="dxa"/>
        <w:tblLook w:val="04A0" w:firstRow="1" w:lastRow="0" w:firstColumn="1" w:lastColumn="0" w:noHBand="0" w:noVBand="1"/>
      </w:tblPr>
      <w:tblGrid>
        <w:gridCol w:w="3217"/>
        <w:gridCol w:w="1731"/>
        <w:gridCol w:w="1731"/>
        <w:gridCol w:w="1731"/>
        <w:gridCol w:w="1731"/>
      </w:tblGrid>
      <w:tr w:rsidR="00A25086" w:rsidRPr="00A25086" w14:paraId="1FFC82AF" w14:textId="77777777" w:rsidTr="00A25086">
        <w:trPr>
          <w:trHeight w:val="536"/>
        </w:trPr>
        <w:tc>
          <w:tcPr>
            <w:tcW w:w="3217" w:type="dxa"/>
            <w:tcBorders>
              <w:top w:val="single" w:sz="8" w:space="0" w:color="BBBBBB"/>
              <w:left w:val="single" w:sz="8" w:space="0" w:color="BBBBBB"/>
              <w:bottom w:val="single" w:sz="8" w:space="0" w:color="BBBBBB"/>
              <w:right w:val="single" w:sz="8" w:space="0" w:color="BBBBBB"/>
            </w:tcBorders>
            <w:shd w:val="clear" w:color="000000" w:fill="1F4E79"/>
            <w:vAlign w:val="center"/>
            <w:hideMark/>
          </w:tcPr>
          <w:p w14:paraId="414DF7CA" w14:textId="467AAEB8" w:rsidR="00A25086" w:rsidRPr="00A25086" w:rsidRDefault="00A25086" w:rsidP="00A25086">
            <w:pPr>
              <w:jc w:val="both"/>
              <w:rPr>
                <w:rFonts w:eastAsia="Times New Roman"/>
                <w:b/>
                <w:bCs/>
                <w:color w:val="FFFFFF"/>
                <w:lang w:val="en-US"/>
              </w:rPr>
            </w:pPr>
            <w:r w:rsidRPr="00A25086">
              <w:rPr>
                <w:rFonts w:eastAsia="Times New Roman"/>
                <w:b/>
                <w:bCs/>
                <w:color w:val="FFFFFF"/>
              </w:rPr>
              <w:t>Indicador</w:t>
            </w:r>
          </w:p>
        </w:tc>
        <w:tc>
          <w:tcPr>
            <w:tcW w:w="1731" w:type="dxa"/>
            <w:tcBorders>
              <w:top w:val="single" w:sz="8" w:space="0" w:color="BBBBBB"/>
              <w:left w:val="nil"/>
              <w:bottom w:val="single" w:sz="8" w:space="0" w:color="BBBBBB"/>
              <w:right w:val="single" w:sz="8" w:space="0" w:color="BBBBBB"/>
            </w:tcBorders>
            <w:shd w:val="clear" w:color="000000" w:fill="1F4E79"/>
            <w:vAlign w:val="center"/>
            <w:hideMark/>
          </w:tcPr>
          <w:p w14:paraId="6727D307" w14:textId="77777777" w:rsidR="00A25086" w:rsidRPr="00A25086" w:rsidRDefault="00A25086" w:rsidP="00A25086">
            <w:pPr>
              <w:jc w:val="both"/>
              <w:rPr>
                <w:rFonts w:eastAsia="Times New Roman"/>
                <w:b/>
                <w:bCs/>
                <w:color w:val="FFFFFF"/>
                <w:lang w:val="en-US"/>
              </w:rPr>
            </w:pPr>
            <w:r w:rsidRPr="00A25086">
              <w:rPr>
                <w:rFonts w:eastAsia="Times New Roman"/>
                <w:b/>
                <w:bCs/>
                <w:color w:val="FFFFFF"/>
              </w:rPr>
              <w:t>2022/2021</w:t>
            </w:r>
          </w:p>
        </w:tc>
        <w:tc>
          <w:tcPr>
            <w:tcW w:w="1731" w:type="dxa"/>
            <w:tcBorders>
              <w:top w:val="single" w:sz="8" w:space="0" w:color="BBBBBB"/>
              <w:left w:val="nil"/>
              <w:bottom w:val="single" w:sz="8" w:space="0" w:color="BBBBBB"/>
              <w:right w:val="single" w:sz="8" w:space="0" w:color="BBBBBB"/>
            </w:tcBorders>
            <w:shd w:val="clear" w:color="000000" w:fill="1F4E79"/>
            <w:vAlign w:val="center"/>
            <w:hideMark/>
          </w:tcPr>
          <w:p w14:paraId="7DD79ACA" w14:textId="77777777" w:rsidR="00A25086" w:rsidRPr="00A25086" w:rsidRDefault="00A25086" w:rsidP="00A25086">
            <w:pPr>
              <w:jc w:val="both"/>
              <w:rPr>
                <w:rFonts w:eastAsia="Times New Roman"/>
                <w:b/>
                <w:bCs/>
                <w:color w:val="FFFFFF"/>
                <w:lang w:val="en-US"/>
              </w:rPr>
            </w:pPr>
            <w:r w:rsidRPr="00A25086">
              <w:rPr>
                <w:rFonts w:eastAsia="Times New Roman"/>
                <w:b/>
                <w:bCs/>
                <w:color w:val="FFFFFF"/>
              </w:rPr>
              <w:t>2023/2022</w:t>
            </w:r>
          </w:p>
        </w:tc>
        <w:tc>
          <w:tcPr>
            <w:tcW w:w="1731" w:type="dxa"/>
            <w:tcBorders>
              <w:top w:val="single" w:sz="8" w:space="0" w:color="BBBBBB"/>
              <w:left w:val="nil"/>
              <w:bottom w:val="single" w:sz="8" w:space="0" w:color="BBBBBB"/>
              <w:right w:val="single" w:sz="8" w:space="0" w:color="BBBBBB"/>
            </w:tcBorders>
            <w:shd w:val="clear" w:color="000000" w:fill="1F4E79"/>
            <w:vAlign w:val="center"/>
            <w:hideMark/>
          </w:tcPr>
          <w:p w14:paraId="535A4320" w14:textId="77777777" w:rsidR="00A25086" w:rsidRPr="00A25086" w:rsidRDefault="00A25086" w:rsidP="00A25086">
            <w:pPr>
              <w:jc w:val="both"/>
              <w:rPr>
                <w:rFonts w:eastAsia="Times New Roman"/>
                <w:b/>
                <w:bCs/>
                <w:color w:val="FFFFFF"/>
                <w:lang w:val="en-US"/>
              </w:rPr>
            </w:pPr>
            <w:r w:rsidRPr="00A25086">
              <w:rPr>
                <w:rFonts w:eastAsia="Times New Roman"/>
                <w:b/>
                <w:bCs/>
                <w:color w:val="FFFFFF"/>
              </w:rPr>
              <w:t>2024/2023</w:t>
            </w:r>
          </w:p>
        </w:tc>
        <w:tc>
          <w:tcPr>
            <w:tcW w:w="1731" w:type="dxa"/>
            <w:tcBorders>
              <w:top w:val="single" w:sz="8" w:space="0" w:color="BBBBBB"/>
              <w:left w:val="nil"/>
              <w:bottom w:val="single" w:sz="8" w:space="0" w:color="BBBBBB"/>
              <w:right w:val="single" w:sz="8" w:space="0" w:color="BBBBBB"/>
            </w:tcBorders>
            <w:shd w:val="clear" w:color="000000" w:fill="1F4E79"/>
            <w:vAlign w:val="center"/>
            <w:hideMark/>
          </w:tcPr>
          <w:p w14:paraId="48CDF353" w14:textId="77777777" w:rsidR="00A25086" w:rsidRPr="00A25086" w:rsidRDefault="00A25086" w:rsidP="00A25086">
            <w:pPr>
              <w:jc w:val="both"/>
              <w:rPr>
                <w:rFonts w:eastAsia="Times New Roman"/>
                <w:b/>
                <w:bCs/>
                <w:color w:val="FFFFFF"/>
                <w:lang w:val="en-US"/>
              </w:rPr>
            </w:pPr>
            <w:r w:rsidRPr="00A25086">
              <w:rPr>
                <w:rFonts w:eastAsia="Times New Roman"/>
                <w:b/>
                <w:bCs/>
                <w:color w:val="FFFFFF"/>
              </w:rPr>
              <w:t>2025/2024</w:t>
            </w:r>
          </w:p>
        </w:tc>
      </w:tr>
      <w:tr w:rsidR="00A25086" w:rsidRPr="00A25086" w14:paraId="68C6338C" w14:textId="77777777" w:rsidTr="00A25086">
        <w:trPr>
          <w:trHeight w:val="282"/>
        </w:trPr>
        <w:tc>
          <w:tcPr>
            <w:tcW w:w="3217" w:type="dxa"/>
            <w:tcBorders>
              <w:top w:val="nil"/>
              <w:left w:val="single" w:sz="8" w:space="0" w:color="BBBBBB"/>
              <w:bottom w:val="single" w:sz="8" w:space="0" w:color="BBBBBB"/>
              <w:right w:val="single" w:sz="8" w:space="0" w:color="BBBBBB"/>
            </w:tcBorders>
            <w:vAlign w:val="center"/>
            <w:hideMark/>
          </w:tcPr>
          <w:p w14:paraId="352E2AA6" w14:textId="77777777" w:rsidR="00A25086" w:rsidRPr="00A25086" w:rsidRDefault="00A25086" w:rsidP="00A25086">
            <w:pPr>
              <w:jc w:val="both"/>
              <w:rPr>
                <w:rFonts w:eastAsia="Times New Roman"/>
                <w:color w:val="000000"/>
                <w:lang w:val="en-US"/>
              </w:rPr>
            </w:pPr>
            <w:r w:rsidRPr="00A25086">
              <w:rPr>
                <w:rFonts w:eastAsia="Times New Roman"/>
                <w:color w:val="000000"/>
              </w:rPr>
              <w:t>Ventas netas</w:t>
            </w:r>
          </w:p>
        </w:tc>
        <w:tc>
          <w:tcPr>
            <w:tcW w:w="1731" w:type="dxa"/>
            <w:tcBorders>
              <w:top w:val="nil"/>
              <w:left w:val="nil"/>
              <w:bottom w:val="single" w:sz="8" w:space="0" w:color="BBBBBB"/>
              <w:right w:val="single" w:sz="8" w:space="0" w:color="BBBBBB"/>
            </w:tcBorders>
            <w:vAlign w:val="center"/>
            <w:hideMark/>
          </w:tcPr>
          <w:p w14:paraId="4726E930" w14:textId="77777777" w:rsidR="00A25086" w:rsidRPr="00A25086" w:rsidRDefault="00A25086" w:rsidP="00A25086">
            <w:pPr>
              <w:jc w:val="both"/>
              <w:rPr>
                <w:rFonts w:eastAsia="Times New Roman"/>
                <w:color w:val="000000"/>
                <w:lang w:val="en-US"/>
              </w:rPr>
            </w:pPr>
            <w:r w:rsidRPr="00A25086">
              <w:rPr>
                <w:rFonts w:eastAsia="Times New Roman"/>
                <w:color w:val="000000"/>
              </w:rPr>
              <w:t>17%-28%</w:t>
            </w:r>
          </w:p>
        </w:tc>
        <w:tc>
          <w:tcPr>
            <w:tcW w:w="1731" w:type="dxa"/>
            <w:tcBorders>
              <w:top w:val="nil"/>
              <w:left w:val="nil"/>
              <w:bottom w:val="single" w:sz="8" w:space="0" w:color="BBBBBB"/>
              <w:right w:val="single" w:sz="8" w:space="0" w:color="BBBBBB"/>
            </w:tcBorders>
            <w:vAlign w:val="center"/>
            <w:hideMark/>
          </w:tcPr>
          <w:p w14:paraId="3ACCA9D5" w14:textId="77777777" w:rsidR="00A25086" w:rsidRPr="00A25086" w:rsidRDefault="00A25086" w:rsidP="00A25086">
            <w:pPr>
              <w:jc w:val="both"/>
              <w:rPr>
                <w:rFonts w:eastAsia="Times New Roman"/>
                <w:color w:val="000000"/>
                <w:lang w:val="en-US"/>
              </w:rPr>
            </w:pPr>
            <w:r w:rsidRPr="00A25086">
              <w:rPr>
                <w:rFonts w:eastAsia="Times New Roman"/>
                <w:color w:val="000000"/>
              </w:rPr>
              <w:t>7%-11%</w:t>
            </w:r>
          </w:p>
        </w:tc>
        <w:tc>
          <w:tcPr>
            <w:tcW w:w="1731" w:type="dxa"/>
            <w:tcBorders>
              <w:top w:val="nil"/>
              <w:left w:val="nil"/>
              <w:bottom w:val="single" w:sz="8" w:space="0" w:color="BBBBBB"/>
              <w:right w:val="single" w:sz="8" w:space="0" w:color="BBBBBB"/>
            </w:tcBorders>
            <w:vAlign w:val="center"/>
            <w:hideMark/>
          </w:tcPr>
          <w:p w14:paraId="589C3096" w14:textId="77777777" w:rsidR="00A25086" w:rsidRPr="00A25086" w:rsidRDefault="00A25086" w:rsidP="00A25086">
            <w:pPr>
              <w:jc w:val="both"/>
              <w:rPr>
                <w:rFonts w:eastAsia="Times New Roman"/>
                <w:color w:val="000000"/>
                <w:lang w:val="en-US"/>
              </w:rPr>
            </w:pPr>
            <w:r w:rsidRPr="00A25086">
              <w:rPr>
                <w:rFonts w:eastAsia="Times New Roman"/>
                <w:color w:val="000000"/>
              </w:rPr>
              <w:t>"-1.97% a -3.29%</w:t>
            </w:r>
          </w:p>
        </w:tc>
        <w:tc>
          <w:tcPr>
            <w:tcW w:w="1731" w:type="dxa"/>
            <w:tcBorders>
              <w:top w:val="nil"/>
              <w:left w:val="nil"/>
              <w:bottom w:val="single" w:sz="8" w:space="0" w:color="BBBBBB"/>
              <w:right w:val="single" w:sz="8" w:space="0" w:color="BBBBBB"/>
            </w:tcBorders>
            <w:vAlign w:val="center"/>
            <w:hideMark/>
          </w:tcPr>
          <w:p w14:paraId="7B00CD05" w14:textId="77777777" w:rsidR="00A25086" w:rsidRPr="00A25086" w:rsidRDefault="00A25086" w:rsidP="00A25086">
            <w:pPr>
              <w:jc w:val="both"/>
              <w:rPr>
                <w:rFonts w:eastAsia="Times New Roman"/>
                <w:color w:val="000000"/>
                <w:lang w:val="en-US"/>
              </w:rPr>
            </w:pPr>
            <w:r w:rsidRPr="00A25086">
              <w:rPr>
                <w:rFonts w:eastAsia="Times New Roman"/>
                <w:color w:val="000000"/>
              </w:rPr>
              <w:t>2.60% -4.34%</w:t>
            </w:r>
          </w:p>
        </w:tc>
      </w:tr>
      <w:tr w:rsidR="00A25086" w:rsidRPr="00A25086" w14:paraId="08FD6446" w14:textId="77777777" w:rsidTr="00A25086">
        <w:trPr>
          <w:trHeight w:val="536"/>
        </w:trPr>
        <w:tc>
          <w:tcPr>
            <w:tcW w:w="3217" w:type="dxa"/>
            <w:tcBorders>
              <w:top w:val="nil"/>
              <w:left w:val="single" w:sz="8" w:space="0" w:color="BBBBBB"/>
              <w:bottom w:val="single" w:sz="8" w:space="0" w:color="BBBBBB"/>
              <w:right w:val="single" w:sz="8" w:space="0" w:color="BBBBBB"/>
            </w:tcBorders>
            <w:vAlign w:val="center"/>
            <w:hideMark/>
          </w:tcPr>
          <w:p w14:paraId="16B47015" w14:textId="77777777" w:rsidR="00A25086" w:rsidRPr="00A25086" w:rsidRDefault="00A25086" w:rsidP="00A25086">
            <w:pPr>
              <w:jc w:val="both"/>
              <w:rPr>
                <w:rFonts w:eastAsia="Times New Roman"/>
                <w:color w:val="000000"/>
                <w:lang w:val="en-US"/>
              </w:rPr>
            </w:pPr>
            <w:r w:rsidRPr="00A25086">
              <w:rPr>
                <w:rFonts w:eastAsia="Times New Roman"/>
                <w:color w:val="000000"/>
              </w:rPr>
              <w:t>Utilidad bruta</w:t>
            </w:r>
          </w:p>
        </w:tc>
        <w:tc>
          <w:tcPr>
            <w:tcW w:w="1731" w:type="dxa"/>
            <w:tcBorders>
              <w:top w:val="nil"/>
              <w:left w:val="nil"/>
              <w:bottom w:val="single" w:sz="8" w:space="0" w:color="BBBBBB"/>
              <w:right w:val="single" w:sz="8" w:space="0" w:color="BBBBBB"/>
            </w:tcBorders>
            <w:vAlign w:val="center"/>
            <w:hideMark/>
          </w:tcPr>
          <w:p w14:paraId="233C9086" w14:textId="77777777" w:rsidR="00A25086" w:rsidRPr="00A25086" w:rsidRDefault="00A25086" w:rsidP="00A25086">
            <w:pPr>
              <w:jc w:val="both"/>
              <w:rPr>
                <w:rFonts w:eastAsia="Times New Roman"/>
                <w:color w:val="000000"/>
                <w:lang w:val="en-US"/>
              </w:rPr>
            </w:pPr>
            <w:r w:rsidRPr="00A25086">
              <w:rPr>
                <w:rFonts w:eastAsia="Times New Roman"/>
                <w:color w:val="000000"/>
              </w:rPr>
              <w:t>-0.72%</w:t>
            </w:r>
          </w:p>
        </w:tc>
        <w:tc>
          <w:tcPr>
            <w:tcW w:w="1731" w:type="dxa"/>
            <w:tcBorders>
              <w:top w:val="nil"/>
              <w:left w:val="nil"/>
              <w:bottom w:val="single" w:sz="8" w:space="0" w:color="BBBBBB"/>
              <w:right w:val="single" w:sz="8" w:space="0" w:color="BBBBBB"/>
            </w:tcBorders>
            <w:vAlign w:val="center"/>
            <w:hideMark/>
          </w:tcPr>
          <w:p w14:paraId="658135AD" w14:textId="77777777" w:rsidR="00A25086" w:rsidRPr="00A25086" w:rsidRDefault="00A25086" w:rsidP="00A25086">
            <w:pPr>
              <w:jc w:val="both"/>
              <w:rPr>
                <w:rFonts w:eastAsia="Times New Roman"/>
                <w:color w:val="000000"/>
                <w:lang w:val="en-US"/>
              </w:rPr>
            </w:pPr>
            <w:r w:rsidRPr="00A25086">
              <w:rPr>
                <w:rFonts w:eastAsia="Times New Roman"/>
                <w:color w:val="000000"/>
              </w:rPr>
              <w:t>81.46%</w:t>
            </w:r>
          </w:p>
        </w:tc>
        <w:tc>
          <w:tcPr>
            <w:tcW w:w="1731" w:type="dxa"/>
            <w:tcBorders>
              <w:top w:val="nil"/>
              <w:left w:val="nil"/>
              <w:bottom w:val="single" w:sz="8" w:space="0" w:color="BBBBBB"/>
              <w:right w:val="single" w:sz="8" w:space="0" w:color="BBBBBB"/>
            </w:tcBorders>
            <w:vAlign w:val="center"/>
            <w:hideMark/>
          </w:tcPr>
          <w:p w14:paraId="28F51540" w14:textId="77777777" w:rsidR="00A25086" w:rsidRPr="00A25086" w:rsidRDefault="00A25086" w:rsidP="00A25086">
            <w:pPr>
              <w:jc w:val="both"/>
              <w:rPr>
                <w:rFonts w:eastAsia="Times New Roman"/>
                <w:color w:val="000000"/>
                <w:lang w:val="en-US"/>
              </w:rPr>
            </w:pPr>
            <w:r w:rsidRPr="00A25086">
              <w:rPr>
                <w:rFonts w:eastAsia="Times New Roman"/>
                <w:color w:val="000000"/>
              </w:rPr>
              <w:t>"14.35% a -23.91%</w:t>
            </w:r>
          </w:p>
        </w:tc>
        <w:tc>
          <w:tcPr>
            <w:tcW w:w="1731" w:type="dxa"/>
            <w:tcBorders>
              <w:top w:val="nil"/>
              <w:left w:val="nil"/>
              <w:bottom w:val="single" w:sz="8" w:space="0" w:color="BBBBBB"/>
              <w:right w:val="single" w:sz="8" w:space="0" w:color="BBBBBB"/>
            </w:tcBorders>
            <w:vAlign w:val="center"/>
            <w:hideMark/>
          </w:tcPr>
          <w:p w14:paraId="5D3D0533" w14:textId="77777777" w:rsidR="00A25086" w:rsidRPr="00A25086" w:rsidRDefault="00A25086" w:rsidP="00A25086">
            <w:pPr>
              <w:jc w:val="both"/>
              <w:rPr>
                <w:rFonts w:eastAsia="Times New Roman"/>
                <w:color w:val="000000"/>
                <w:lang w:val="en-US"/>
              </w:rPr>
            </w:pPr>
            <w:r w:rsidRPr="00A25086">
              <w:rPr>
                <w:rFonts w:eastAsia="Times New Roman"/>
                <w:color w:val="000000"/>
              </w:rPr>
              <w:t>13.29% a 22.15%</w:t>
            </w:r>
          </w:p>
        </w:tc>
      </w:tr>
      <w:tr w:rsidR="00A25086" w:rsidRPr="00A25086" w14:paraId="247F9385" w14:textId="77777777" w:rsidTr="00A25086">
        <w:trPr>
          <w:trHeight w:val="282"/>
        </w:trPr>
        <w:tc>
          <w:tcPr>
            <w:tcW w:w="3217" w:type="dxa"/>
            <w:tcBorders>
              <w:top w:val="nil"/>
              <w:left w:val="single" w:sz="8" w:space="0" w:color="BBBBBB"/>
              <w:bottom w:val="single" w:sz="8" w:space="0" w:color="BBBBBB"/>
              <w:right w:val="single" w:sz="8" w:space="0" w:color="BBBBBB"/>
            </w:tcBorders>
            <w:vAlign w:val="center"/>
            <w:hideMark/>
          </w:tcPr>
          <w:p w14:paraId="7BFC96BC" w14:textId="77777777" w:rsidR="00A25086" w:rsidRPr="00A25086" w:rsidRDefault="00A25086" w:rsidP="00A25086">
            <w:pPr>
              <w:jc w:val="both"/>
              <w:rPr>
                <w:rFonts w:eastAsia="Times New Roman"/>
                <w:color w:val="000000"/>
                <w:lang w:val="en-US"/>
              </w:rPr>
            </w:pPr>
            <w:r w:rsidRPr="00A25086">
              <w:rPr>
                <w:rFonts w:eastAsia="Times New Roman"/>
                <w:color w:val="000000"/>
              </w:rPr>
              <w:t>Gastos de operación</w:t>
            </w:r>
          </w:p>
        </w:tc>
        <w:tc>
          <w:tcPr>
            <w:tcW w:w="1731" w:type="dxa"/>
            <w:tcBorders>
              <w:top w:val="nil"/>
              <w:left w:val="nil"/>
              <w:bottom w:val="single" w:sz="8" w:space="0" w:color="BBBBBB"/>
              <w:right w:val="single" w:sz="8" w:space="0" w:color="BBBBBB"/>
            </w:tcBorders>
            <w:vAlign w:val="center"/>
            <w:hideMark/>
          </w:tcPr>
          <w:p w14:paraId="242FAB2D" w14:textId="77777777" w:rsidR="00A25086" w:rsidRPr="00A25086" w:rsidRDefault="00A25086" w:rsidP="00A25086">
            <w:pPr>
              <w:jc w:val="both"/>
              <w:rPr>
                <w:rFonts w:eastAsia="Times New Roman"/>
                <w:color w:val="000000"/>
                <w:lang w:val="en-US"/>
              </w:rPr>
            </w:pPr>
            <w:r w:rsidRPr="00A25086">
              <w:rPr>
                <w:rFonts w:eastAsia="Times New Roman"/>
                <w:color w:val="000000"/>
              </w:rPr>
              <w:t>-3.71%</w:t>
            </w:r>
          </w:p>
        </w:tc>
        <w:tc>
          <w:tcPr>
            <w:tcW w:w="1731" w:type="dxa"/>
            <w:tcBorders>
              <w:top w:val="nil"/>
              <w:left w:val="nil"/>
              <w:bottom w:val="single" w:sz="8" w:space="0" w:color="BBBBBB"/>
              <w:right w:val="single" w:sz="8" w:space="0" w:color="BBBBBB"/>
            </w:tcBorders>
            <w:vAlign w:val="center"/>
            <w:hideMark/>
          </w:tcPr>
          <w:p w14:paraId="53C6A102" w14:textId="77777777" w:rsidR="00A25086" w:rsidRPr="00A25086" w:rsidRDefault="00A25086" w:rsidP="00A25086">
            <w:pPr>
              <w:jc w:val="both"/>
              <w:rPr>
                <w:rFonts w:eastAsia="Times New Roman"/>
                <w:color w:val="000000"/>
                <w:lang w:val="en-US"/>
              </w:rPr>
            </w:pPr>
            <w:r w:rsidRPr="00A25086">
              <w:rPr>
                <w:rFonts w:eastAsia="Times New Roman"/>
                <w:color w:val="000000"/>
              </w:rPr>
              <w:t>-4.60%</w:t>
            </w:r>
          </w:p>
        </w:tc>
        <w:tc>
          <w:tcPr>
            <w:tcW w:w="1731" w:type="dxa"/>
            <w:tcBorders>
              <w:top w:val="nil"/>
              <w:left w:val="nil"/>
              <w:bottom w:val="single" w:sz="8" w:space="0" w:color="BBBBBB"/>
              <w:right w:val="single" w:sz="8" w:space="0" w:color="BBBBBB"/>
            </w:tcBorders>
            <w:vAlign w:val="center"/>
            <w:hideMark/>
          </w:tcPr>
          <w:p w14:paraId="061BA465" w14:textId="77777777" w:rsidR="00A25086" w:rsidRPr="00A25086" w:rsidRDefault="00A25086" w:rsidP="00A25086">
            <w:pPr>
              <w:jc w:val="both"/>
              <w:rPr>
                <w:rFonts w:eastAsia="Times New Roman"/>
                <w:color w:val="000000"/>
                <w:lang w:val="en-US"/>
              </w:rPr>
            </w:pPr>
            <w:r w:rsidRPr="00A25086">
              <w:rPr>
                <w:rFonts w:eastAsia="Times New Roman"/>
                <w:color w:val="000000"/>
              </w:rPr>
              <w:t>11.93%-20%</w:t>
            </w:r>
          </w:p>
        </w:tc>
        <w:tc>
          <w:tcPr>
            <w:tcW w:w="1731" w:type="dxa"/>
            <w:tcBorders>
              <w:top w:val="nil"/>
              <w:left w:val="nil"/>
              <w:bottom w:val="single" w:sz="8" w:space="0" w:color="BBBBBB"/>
              <w:right w:val="single" w:sz="8" w:space="0" w:color="BBBBBB"/>
            </w:tcBorders>
            <w:vAlign w:val="center"/>
            <w:hideMark/>
          </w:tcPr>
          <w:p w14:paraId="6D7E61EC" w14:textId="77777777" w:rsidR="00A25086" w:rsidRPr="00A25086" w:rsidRDefault="00A25086" w:rsidP="00A25086">
            <w:pPr>
              <w:jc w:val="both"/>
              <w:rPr>
                <w:rFonts w:eastAsia="Times New Roman"/>
                <w:color w:val="000000"/>
                <w:lang w:val="en-US"/>
              </w:rPr>
            </w:pPr>
            <w:r w:rsidRPr="00A25086">
              <w:rPr>
                <w:rFonts w:eastAsia="Times New Roman"/>
                <w:color w:val="000000"/>
              </w:rPr>
              <w:t>41%-69%</w:t>
            </w:r>
          </w:p>
        </w:tc>
      </w:tr>
      <w:tr w:rsidR="00A25086" w:rsidRPr="00A25086" w14:paraId="0FD5DA65" w14:textId="77777777" w:rsidTr="00A25086">
        <w:trPr>
          <w:trHeight w:val="536"/>
        </w:trPr>
        <w:tc>
          <w:tcPr>
            <w:tcW w:w="3217" w:type="dxa"/>
            <w:tcBorders>
              <w:top w:val="nil"/>
              <w:left w:val="single" w:sz="8" w:space="0" w:color="BBBBBB"/>
              <w:bottom w:val="single" w:sz="8" w:space="0" w:color="BBBBBB"/>
              <w:right w:val="single" w:sz="8" w:space="0" w:color="BBBBBB"/>
            </w:tcBorders>
            <w:vAlign w:val="center"/>
            <w:hideMark/>
          </w:tcPr>
          <w:p w14:paraId="4D4B27AA" w14:textId="77777777" w:rsidR="00A25086" w:rsidRPr="00A25086" w:rsidRDefault="00A25086" w:rsidP="00A25086">
            <w:pPr>
              <w:jc w:val="both"/>
              <w:rPr>
                <w:rFonts w:eastAsia="Times New Roman"/>
                <w:color w:val="000000"/>
                <w:lang w:val="en-US"/>
              </w:rPr>
            </w:pPr>
            <w:r w:rsidRPr="00A25086">
              <w:rPr>
                <w:rFonts w:eastAsia="Times New Roman"/>
                <w:color w:val="000000"/>
              </w:rPr>
              <w:t>EBIT (Utilidad operativa)</w:t>
            </w:r>
          </w:p>
        </w:tc>
        <w:tc>
          <w:tcPr>
            <w:tcW w:w="1731" w:type="dxa"/>
            <w:tcBorders>
              <w:top w:val="nil"/>
              <w:left w:val="nil"/>
              <w:bottom w:val="single" w:sz="8" w:space="0" w:color="BBBBBB"/>
              <w:right w:val="single" w:sz="8" w:space="0" w:color="BBBBBB"/>
            </w:tcBorders>
            <w:vAlign w:val="center"/>
            <w:hideMark/>
          </w:tcPr>
          <w:p w14:paraId="573D7022" w14:textId="77777777" w:rsidR="00A25086" w:rsidRPr="00A25086" w:rsidRDefault="00A25086" w:rsidP="00A25086">
            <w:pPr>
              <w:jc w:val="both"/>
              <w:rPr>
                <w:rFonts w:eastAsia="Times New Roman"/>
                <w:color w:val="000000"/>
                <w:lang w:val="en-US"/>
              </w:rPr>
            </w:pPr>
            <w:r w:rsidRPr="00A25086">
              <w:rPr>
                <w:rFonts w:eastAsia="Times New Roman"/>
                <w:color w:val="000000"/>
                <w:lang w:val="en-US"/>
              </w:rPr>
              <w:t>"-0.009</w:t>
            </w:r>
            <w:proofErr w:type="gramStart"/>
            <w:r w:rsidRPr="00A25086">
              <w:rPr>
                <w:rFonts w:eastAsia="Times New Roman"/>
                <w:color w:val="000000"/>
                <w:lang w:val="en-US"/>
              </w:rPr>
              <w:t>%  a</w:t>
            </w:r>
            <w:proofErr w:type="gramEnd"/>
            <w:r w:rsidRPr="00A25086">
              <w:rPr>
                <w:rFonts w:eastAsia="Times New Roman"/>
                <w:color w:val="000000"/>
                <w:lang w:val="en-US"/>
              </w:rPr>
              <w:t xml:space="preserve"> 0.0015%</w:t>
            </w:r>
          </w:p>
        </w:tc>
        <w:tc>
          <w:tcPr>
            <w:tcW w:w="1731" w:type="dxa"/>
            <w:tcBorders>
              <w:top w:val="nil"/>
              <w:left w:val="nil"/>
              <w:bottom w:val="single" w:sz="8" w:space="0" w:color="BBBBBB"/>
              <w:right w:val="single" w:sz="8" w:space="0" w:color="BBBBBB"/>
            </w:tcBorders>
            <w:vAlign w:val="center"/>
            <w:hideMark/>
          </w:tcPr>
          <w:p w14:paraId="6B03BE36" w14:textId="77777777" w:rsidR="00A25086" w:rsidRPr="00A25086" w:rsidRDefault="00A25086" w:rsidP="00A25086">
            <w:pPr>
              <w:jc w:val="both"/>
              <w:rPr>
                <w:rFonts w:eastAsia="Times New Roman"/>
                <w:color w:val="000000"/>
                <w:lang w:val="en-US"/>
              </w:rPr>
            </w:pPr>
            <w:r w:rsidRPr="00A25086">
              <w:rPr>
                <w:rFonts w:eastAsia="Times New Roman"/>
                <w:color w:val="000000"/>
                <w:lang w:val="en-US"/>
              </w:rPr>
              <w:t>73%-122%</w:t>
            </w:r>
          </w:p>
        </w:tc>
        <w:tc>
          <w:tcPr>
            <w:tcW w:w="1731" w:type="dxa"/>
            <w:tcBorders>
              <w:top w:val="nil"/>
              <w:left w:val="nil"/>
              <w:bottom w:val="single" w:sz="8" w:space="0" w:color="BBBBBB"/>
              <w:right w:val="single" w:sz="8" w:space="0" w:color="BBBBBB"/>
            </w:tcBorders>
            <w:vAlign w:val="center"/>
            <w:hideMark/>
          </w:tcPr>
          <w:p w14:paraId="09A5131C" w14:textId="77777777" w:rsidR="00A25086" w:rsidRPr="00A25086" w:rsidRDefault="00A25086" w:rsidP="00A25086">
            <w:pPr>
              <w:jc w:val="both"/>
              <w:rPr>
                <w:rFonts w:eastAsia="Times New Roman"/>
                <w:color w:val="000000"/>
                <w:lang w:val="en-US"/>
              </w:rPr>
            </w:pPr>
            <w:r w:rsidRPr="00A25086">
              <w:rPr>
                <w:rFonts w:eastAsia="Times New Roman"/>
                <w:color w:val="000000"/>
              </w:rPr>
              <w:t>"-17% a 28%</w:t>
            </w:r>
          </w:p>
        </w:tc>
        <w:tc>
          <w:tcPr>
            <w:tcW w:w="1731" w:type="dxa"/>
            <w:tcBorders>
              <w:top w:val="nil"/>
              <w:left w:val="nil"/>
              <w:bottom w:val="single" w:sz="8" w:space="0" w:color="BBBBBB"/>
              <w:right w:val="single" w:sz="8" w:space="0" w:color="BBBBBB"/>
            </w:tcBorders>
            <w:vAlign w:val="center"/>
            <w:hideMark/>
          </w:tcPr>
          <w:p w14:paraId="1CDAC575" w14:textId="77777777" w:rsidR="00A25086" w:rsidRPr="00A25086" w:rsidRDefault="00A25086" w:rsidP="00A25086">
            <w:pPr>
              <w:jc w:val="both"/>
              <w:rPr>
                <w:rFonts w:eastAsia="Times New Roman"/>
                <w:color w:val="000000"/>
                <w:lang w:val="en-US"/>
              </w:rPr>
            </w:pPr>
            <w:r w:rsidRPr="00A25086">
              <w:rPr>
                <w:rFonts w:eastAsia="Times New Roman"/>
                <w:color w:val="000000"/>
              </w:rPr>
              <w:t>9.35% - 15.58%</w:t>
            </w:r>
          </w:p>
        </w:tc>
      </w:tr>
      <w:tr w:rsidR="00A25086" w:rsidRPr="00A25086" w14:paraId="00295869" w14:textId="77777777" w:rsidTr="00A25086">
        <w:trPr>
          <w:trHeight w:val="282"/>
        </w:trPr>
        <w:tc>
          <w:tcPr>
            <w:tcW w:w="3217" w:type="dxa"/>
            <w:tcBorders>
              <w:top w:val="nil"/>
              <w:left w:val="single" w:sz="8" w:space="0" w:color="BBBBBB"/>
              <w:bottom w:val="single" w:sz="8" w:space="0" w:color="BBBBBB"/>
              <w:right w:val="single" w:sz="8" w:space="0" w:color="BBBBBB"/>
            </w:tcBorders>
            <w:vAlign w:val="center"/>
            <w:hideMark/>
          </w:tcPr>
          <w:p w14:paraId="1A2813B5" w14:textId="77777777" w:rsidR="00A25086" w:rsidRPr="00A25086" w:rsidRDefault="00A25086" w:rsidP="00A25086">
            <w:pPr>
              <w:jc w:val="both"/>
              <w:rPr>
                <w:rFonts w:eastAsia="Times New Roman"/>
                <w:color w:val="000000"/>
                <w:lang w:val="en-US"/>
              </w:rPr>
            </w:pPr>
            <w:r w:rsidRPr="00A25086">
              <w:rPr>
                <w:rFonts w:eastAsia="Times New Roman"/>
                <w:color w:val="000000"/>
              </w:rPr>
              <w:t>Utilidad neta</w:t>
            </w:r>
          </w:p>
        </w:tc>
        <w:tc>
          <w:tcPr>
            <w:tcW w:w="1731" w:type="dxa"/>
            <w:tcBorders>
              <w:top w:val="nil"/>
              <w:left w:val="nil"/>
              <w:bottom w:val="single" w:sz="8" w:space="0" w:color="BBBBBB"/>
              <w:right w:val="single" w:sz="8" w:space="0" w:color="BBBBBB"/>
            </w:tcBorders>
            <w:vAlign w:val="center"/>
            <w:hideMark/>
          </w:tcPr>
          <w:p w14:paraId="0E88D761" w14:textId="77777777" w:rsidR="00A25086" w:rsidRPr="00A25086" w:rsidRDefault="00A25086" w:rsidP="00A25086">
            <w:pPr>
              <w:jc w:val="both"/>
              <w:rPr>
                <w:rFonts w:eastAsia="Times New Roman"/>
                <w:color w:val="000000"/>
                <w:lang w:val="en-US"/>
              </w:rPr>
            </w:pPr>
            <w:r w:rsidRPr="00A25086">
              <w:rPr>
                <w:rFonts w:eastAsia="Times New Roman"/>
                <w:color w:val="000000"/>
              </w:rPr>
              <w:t>40% a 60%</w:t>
            </w:r>
          </w:p>
        </w:tc>
        <w:tc>
          <w:tcPr>
            <w:tcW w:w="1731" w:type="dxa"/>
            <w:tcBorders>
              <w:top w:val="nil"/>
              <w:left w:val="nil"/>
              <w:bottom w:val="single" w:sz="8" w:space="0" w:color="BBBBBB"/>
              <w:right w:val="single" w:sz="8" w:space="0" w:color="BBBBBB"/>
            </w:tcBorders>
            <w:vAlign w:val="center"/>
            <w:hideMark/>
          </w:tcPr>
          <w:p w14:paraId="32BB68CC" w14:textId="77777777" w:rsidR="00A25086" w:rsidRPr="00A25086" w:rsidRDefault="00A25086" w:rsidP="00A25086">
            <w:pPr>
              <w:jc w:val="both"/>
              <w:rPr>
                <w:rFonts w:eastAsia="Times New Roman"/>
                <w:color w:val="000000"/>
                <w:lang w:val="en-US"/>
              </w:rPr>
            </w:pPr>
            <w:r w:rsidRPr="00A25086">
              <w:rPr>
                <w:rFonts w:eastAsia="Times New Roman"/>
                <w:color w:val="000000"/>
                <w:lang w:val="en-US"/>
              </w:rPr>
              <w:t>34% a 58%</w:t>
            </w:r>
          </w:p>
        </w:tc>
        <w:tc>
          <w:tcPr>
            <w:tcW w:w="1731" w:type="dxa"/>
            <w:tcBorders>
              <w:top w:val="nil"/>
              <w:left w:val="nil"/>
              <w:bottom w:val="single" w:sz="8" w:space="0" w:color="BBBBBB"/>
              <w:right w:val="single" w:sz="8" w:space="0" w:color="BBBBBB"/>
            </w:tcBorders>
            <w:vAlign w:val="center"/>
            <w:hideMark/>
          </w:tcPr>
          <w:p w14:paraId="5AB03BAA" w14:textId="77777777" w:rsidR="00A25086" w:rsidRPr="00A25086" w:rsidRDefault="00A25086" w:rsidP="00A25086">
            <w:pPr>
              <w:jc w:val="both"/>
              <w:rPr>
                <w:rFonts w:eastAsia="Times New Roman"/>
                <w:color w:val="000000"/>
                <w:lang w:val="en-US"/>
              </w:rPr>
            </w:pPr>
            <w:r w:rsidRPr="00A25086">
              <w:rPr>
                <w:rFonts w:eastAsia="Times New Roman"/>
                <w:color w:val="000000"/>
              </w:rPr>
              <w:t>40%-67%</w:t>
            </w:r>
          </w:p>
        </w:tc>
        <w:tc>
          <w:tcPr>
            <w:tcW w:w="1731" w:type="dxa"/>
            <w:tcBorders>
              <w:top w:val="nil"/>
              <w:left w:val="nil"/>
              <w:bottom w:val="single" w:sz="8" w:space="0" w:color="BBBBBB"/>
              <w:right w:val="single" w:sz="8" w:space="0" w:color="BBBBBB"/>
            </w:tcBorders>
            <w:vAlign w:val="center"/>
            <w:hideMark/>
          </w:tcPr>
          <w:p w14:paraId="35EDD5A1" w14:textId="77777777" w:rsidR="00A25086" w:rsidRPr="00A25086" w:rsidRDefault="00A25086" w:rsidP="00A25086">
            <w:pPr>
              <w:jc w:val="both"/>
              <w:rPr>
                <w:rFonts w:eastAsia="Times New Roman"/>
                <w:color w:val="000000"/>
                <w:lang w:val="en-US"/>
              </w:rPr>
            </w:pPr>
            <w:r w:rsidRPr="00A25086">
              <w:rPr>
                <w:rFonts w:eastAsia="Times New Roman"/>
                <w:color w:val="000000"/>
              </w:rPr>
              <w:t>32% - 54%</w:t>
            </w:r>
          </w:p>
        </w:tc>
      </w:tr>
      <w:tr w:rsidR="00A25086" w:rsidRPr="00A25086" w14:paraId="540E7E3F" w14:textId="77777777" w:rsidTr="00A25086">
        <w:trPr>
          <w:trHeight w:val="282"/>
        </w:trPr>
        <w:tc>
          <w:tcPr>
            <w:tcW w:w="3217" w:type="dxa"/>
            <w:tcBorders>
              <w:top w:val="nil"/>
              <w:left w:val="single" w:sz="8" w:space="0" w:color="BBBBBB"/>
              <w:bottom w:val="single" w:sz="8" w:space="0" w:color="BBBBBB"/>
              <w:right w:val="single" w:sz="8" w:space="0" w:color="BBBBBB"/>
            </w:tcBorders>
            <w:vAlign w:val="center"/>
            <w:hideMark/>
          </w:tcPr>
          <w:p w14:paraId="4D315C3B" w14:textId="77777777" w:rsidR="00A25086" w:rsidRPr="00A25086" w:rsidRDefault="00A25086" w:rsidP="00A25086">
            <w:pPr>
              <w:jc w:val="both"/>
              <w:rPr>
                <w:rFonts w:eastAsia="Times New Roman"/>
                <w:color w:val="000000"/>
                <w:lang w:val="en-US"/>
              </w:rPr>
            </w:pPr>
            <w:r w:rsidRPr="00A25086">
              <w:rPr>
                <w:rFonts w:eastAsia="Times New Roman"/>
                <w:color w:val="000000"/>
              </w:rPr>
              <w:t>Inventarios</w:t>
            </w:r>
          </w:p>
        </w:tc>
        <w:tc>
          <w:tcPr>
            <w:tcW w:w="1731" w:type="dxa"/>
            <w:tcBorders>
              <w:top w:val="nil"/>
              <w:left w:val="nil"/>
              <w:bottom w:val="single" w:sz="8" w:space="0" w:color="BBBBBB"/>
              <w:right w:val="single" w:sz="8" w:space="0" w:color="BBBBBB"/>
            </w:tcBorders>
            <w:vAlign w:val="center"/>
            <w:hideMark/>
          </w:tcPr>
          <w:p w14:paraId="79AC2417" w14:textId="77777777" w:rsidR="00A25086" w:rsidRPr="00A25086" w:rsidRDefault="00A25086" w:rsidP="00A25086">
            <w:pPr>
              <w:jc w:val="both"/>
              <w:rPr>
                <w:rFonts w:eastAsia="Times New Roman"/>
                <w:color w:val="000000"/>
                <w:lang w:val="en-US"/>
              </w:rPr>
            </w:pPr>
            <w:r w:rsidRPr="00A25086">
              <w:rPr>
                <w:rFonts w:eastAsia="Times New Roman"/>
                <w:color w:val="000000"/>
              </w:rPr>
              <w:t>"-5</w:t>
            </w:r>
            <w:proofErr w:type="gramStart"/>
            <w:r w:rsidRPr="00A25086">
              <w:rPr>
                <w:rFonts w:eastAsia="Times New Roman"/>
                <w:color w:val="000000"/>
              </w:rPr>
              <w:t>%  a</w:t>
            </w:r>
            <w:proofErr w:type="gramEnd"/>
            <w:r w:rsidRPr="00A25086">
              <w:rPr>
                <w:rFonts w:eastAsia="Times New Roman"/>
                <w:color w:val="000000"/>
              </w:rPr>
              <w:t xml:space="preserve"> 7%</w:t>
            </w:r>
          </w:p>
        </w:tc>
        <w:tc>
          <w:tcPr>
            <w:tcW w:w="1731" w:type="dxa"/>
            <w:tcBorders>
              <w:top w:val="nil"/>
              <w:left w:val="nil"/>
              <w:bottom w:val="single" w:sz="8" w:space="0" w:color="BBBBBB"/>
              <w:right w:val="single" w:sz="8" w:space="0" w:color="BBBBBB"/>
            </w:tcBorders>
            <w:vAlign w:val="center"/>
            <w:hideMark/>
          </w:tcPr>
          <w:p w14:paraId="5BF17AB8" w14:textId="77777777" w:rsidR="00A25086" w:rsidRPr="00A25086" w:rsidRDefault="00A25086" w:rsidP="00A25086">
            <w:pPr>
              <w:jc w:val="both"/>
              <w:rPr>
                <w:rFonts w:eastAsia="Times New Roman"/>
                <w:color w:val="000000"/>
                <w:lang w:val="en-US"/>
              </w:rPr>
            </w:pPr>
            <w:r w:rsidRPr="00A25086">
              <w:rPr>
                <w:rFonts w:eastAsia="Times New Roman"/>
                <w:color w:val="000000"/>
              </w:rPr>
              <w:t>"-5% a -9%</w:t>
            </w:r>
          </w:p>
        </w:tc>
        <w:tc>
          <w:tcPr>
            <w:tcW w:w="1731" w:type="dxa"/>
            <w:tcBorders>
              <w:top w:val="nil"/>
              <w:left w:val="nil"/>
              <w:bottom w:val="single" w:sz="8" w:space="0" w:color="BBBBBB"/>
              <w:right w:val="single" w:sz="8" w:space="0" w:color="BBBBBB"/>
            </w:tcBorders>
            <w:vAlign w:val="center"/>
            <w:hideMark/>
          </w:tcPr>
          <w:p w14:paraId="59FDC221" w14:textId="77777777" w:rsidR="00A25086" w:rsidRPr="00A25086" w:rsidRDefault="00A25086" w:rsidP="00A25086">
            <w:pPr>
              <w:jc w:val="both"/>
              <w:rPr>
                <w:rFonts w:eastAsia="Times New Roman"/>
                <w:color w:val="000000"/>
                <w:lang w:val="en-US"/>
              </w:rPr>
            </w:pPr>
            <w:r w:rsidRPr="00A25086">
              <w:rPr>
                <w:rFonts w:eastAsia="Times New Roman"/>
                <w:color w:val="000000"/>
              </w:rPr>
              <w:t>5% a 9%</w:t>
            </w:r>
          </w:p>
        </w:tc>
        <w:tc>
          <w:tcPr>
            <w:tcW w:w="1731" w:type="dxa"/>
            <w:tcBorders>
              <w:top w:val="nil"/>
              <w:left w:val="nil"/>
              <w:bottom w:val="single" w:sz="8" w:space="0" w:color="BBBBBB"/>
              <w:right w:val="single" w:sz="8" w:space="0" w:color="BBBBBB"/>
            </w:tcBorders>
            <w:vAlign w:val="center"/>
            <w:hideMark/>
          </w:tcPr>
          <w:p w14:paraId="770D4B4B" w14:textId="77777777" w:rsidR="00A25086" w:rsidRPr="00A25086" w:rsidRDefault="00A25086" w:rsidP="00A25086">
            <w:pPr>
              <w:jc w:val="both"/>
              <w:rPr>
                <w:rFonts w:eastAsia="Times New Roman"/>
                <w:color w:val="000000"/>
                <w:lang w:val="en-US"/>
              </w:rPr>
            </w:pPr>
            <w:r w:rsidRPr="00A25086">
              <w:rPr>
                <w:rFonts w:eastAsia="Times New Roman"/>
                <w:color w:val="000000"/>
              </w:rPr>
              <w:t>17% a 29%</w:t>
            </w:r>
          </w:p>
        </w:tc>
      </w:tr>
    </w:tbl>
    <w:p w14:paraId="48C629C8" w14:textId="4B0E166C" w:rsidR="00A25086" w:rsidRDefault="00A25086">
      <w:pPr>
        <w:spacing w:before="240" w:after="240"/>
        <w:jc w:val="both"/>
      </w:pPr>
      <w:r>
        <w:fldChar w:fldCharType="end"/>
      </w:r>
    </w:p>
    <w:p w14:paraId="59EF293E" w14:textId="77777777" w:rsidR="00A25086" w:rsidRDefault="00A25086">
      <w:pPr>
        <w:spacing w:before="240" w:after="240"/>
        <w:jc w:val="both"/>
      </w:pPr>
    </w:p>
    <w:p w14:paraId="0050890C" w14:textId="77777777" w:rsidR="00A25086" w:rsidRDefault="00A25086">
      <w:pPr>
        <w:spacing w:before="240" w:after="240"/>
        <w:jc w:val="both"/>
      </w:pPr>
    </w:p>
    <w:p w14:paraId="0274CE5E" w14:textId="77777777" w:rsidR="00A25086" w:rsidRDefault="00A25086">
      <w:pPr>
        <w:spacing w:before="240" w:after="240"/>
        <w:jc w:val="both"/>
      </w:pPr>
    </w:p>
    <w:p w14:paraId="0DACF3C7" w14:textId="77777777" w:rsidR="00061260" w:rsidRDefault="007A0969">
      <w:pPr>
        <w:spacing w:before="240" w:after="240"/>
        <w:jc w:val="both"/>
      </w:pPr>
      <w:r>
        <w:t xml:space="preserve">Fuente: Anexo 3 del expediente de investigación. </w:t>
      </w:r>
    </w:p>
    <w:p w14:paraId="0DACF3C8" w14:textId="61BA7F62" w:rsidR="00061260" w:rsidRDefault="007A0969">
      <w:pPr>
        <w:spacing w:before="240" w:after="240"/>
        <w:jc w:val="both"/>
      </w:pPr>
      <w:r>
        <w:rPr>
          <w:b/>
          <w:bCs/>
        </w:rPr>
        <w:lastRenderedPageBreak/>
        <w:t xml:space="preserve">• Erosión sostenida de ventas 2022–2024: </w:t>
      </w:r>
      <w:r>
        <w:t>las ventas netas cayeron -</w:t>
      </w:r>
      <w:r w:rsidR="00DF11DF">
        <w:t>13.39</w:t>
      </w:r>
      <w:r>
        <w:t>%</w:t>
      </w:r>
      <w:r w:rsidR="00AF1A0E">
        <w:rPr>
          <w:rStyle w:val="FootnoteReference"/>
        </w:rPr>
        <w:footnoteReference w:id="1"/>
      </w:r>
      <w:r>
        <w:t xml:space="preserve"> y -</w:t>
      </w:r>
      <w:r w:rsidR="00AF1A0E">
        <w:t>3.60</w:t>
      </w:r>
      <w:r>
        <w:t>%</w:t>
      </w:r>
      <w:r w:rsidR="00AF1A0E">
        <w:rPr>
          <w:rStyle w:val="FootnoteReference"/>
        </w:rPr>
        <w:footnoteReference w:id="2"/>
      </w:r>
      <w:r>
        <w:t xml:space="preserve"> en años consecutivos, reflejando la presión sobre precios y volúmenes ejercida por importaciones de otros orígenes. La recuperación de +</w:t>
      </w:r>
      <w:r w:rsidR="00AF1A0E">
        <w:t>4.75</w:t>
      </w:r>
      <w:r>
        <w:t>%</w:t>
      </w:r>
      <w:r w:rsidR="00AF1A0E">
        <w:rPr>
          <w:rStyle w:val="FootnoteReference"/>
        </w:rPr>
        <w:footnoteReference w:id="3"/>
      </w:r>
      <w:r>
        <w:t xml:space="preserve"> en 2025 es incipiente y no compensa el deterioro acumulado.</w:t>
      </w:r>
    </w:p>
    <w:p w14:paraId="0DACF3C9" w14:textId="0A129231" w:rsidR="00061260" w:rsidRDefault="007A0969">
      <w:pPr>
        <w:spacing w:before="240" w:after="240"/>
        <w:jc w:val="both"/>
      </w:pPr>
      <w:r>
        <w:rPr>
          <w:b/>
          <w:bCs/>
        </w:rPr>
        <w:t>• Aumento súbito de Gastos operativos en 2025 (+</w:t>
      </w:r>
      <w:r w:rsidR="00B32ED8">
        <w:rPr>
          <w:b/>
          <w:bCs/>
        </w:rPr>
        <w:t>75.86</w:t>
      </w:r>
      <w:r w:rsidR="00B32ED8">
        <w:rPr>
          <w:rStyle w:val="FootnoteReference"/>
          <w:b/>
          <w:bCs/>
        </w:rPr>
        <w:footnoteReference w:id="4"/>
      </w:r>
      <w:r>
        <w:rPr>
          <w:b/>
          <w:bCs/>
        </w:rPr>
        <w:t xml:space="preserve">%): </w:t>
      </w:r>
      <w:r>
        <w:t>el crecimiento de los gastos de operación casi triplica el crecimiento de las ventas (+</w:t>
      </w:r>
      <w:r w:rsidR="00B32ED8">
        <w:t>4.75</w:t>
      </w:r>
      <w:r w:rsidR="00B32ED8">
        <w:rPr>
          <w:rStyle w:val="FootnoteReference"/>
        </w:rPr>
        <w:footnoteReference w:id="5"/>
      </w:r>
      <w:r>
        <w:t>%),</w:t>
      </w:r>
      <w:r w:rsidR="00B32ED8">
        <w:rPr>
          <w:rStyle w:val="FootnoteReference"/>
        </w:rPr>
        <w:footnoteReference w:id="6"/>
      </w:r>
      <w:r>
        <w:t xml:space="preserve"> comprimiendo los márgenes y revelando la dificultad estructural de la empresa para mantener su rentabilidad.</w:t>
      </w:r>
    </w:p>
    <w:p w14:paraId="0DACF3CA" w14:textId="6761FEC6" w:rsidR="00061260" w:rsidRDefault="007A0969">
      <w:pPr>
        <w:spacing w:before="240" w:after="240"/>
        <w:jc w:val="both"/>
      </w:pPr>
      <w:r>
        <w:rPr>
          <w:b/>
          <w:bCs/>
        </w:rPr>
        <w:t>• Acumulación de inventarios en 2025 (+</w:t>
      </w:r>
      <w:r w:rsidR="0068614E">
        <w:rPr>
          <w:b/>
          <w:bCs/>
        </w:rPr>
        <w:t>31.47</w:t>
      </w:r>
      <w:r w:rsidR="0068614E">
        <w:rPr>
          <w:rStyle w:val="FootnoteReference"/>
          <w:b/>
          <w:bCs/>
        </w:rPr>
        <w:footnoteReference w:id="7"/>
      </w:r>
      <w:r>
        <w:rPr>
          <w:b/>
          <w:bCs/>
        </w:rPr>
        <w:t xml:space="preserve">%): </w:t>
      </w:r>
      <w:r>
        <w:t>el incremento significativo de inventarios es un indicador clásico de dificultad para colocar la producción a precios rentables, consistente con un mercado donde los precios de referencia son presionados a la baja por importaciones subvaloradas.</w:t>
      </w:r>
    </w:p>
    <w:p w14:paraId="0DACF3CB" w14:textId="77777777" w:rsidR="00061260" w:rsidRDefault="007A0969">
      <w:pPr>
        <w:spacing w:before="240" w:after="240"/>
        <w:jc w:val="both"/>
        <w:rPr>
          <w:b/>
          <w:bCs/>
        </w:rPr>
      </w:pPr>
      <w:r>
        <w:rPr>
          <w:b/>
          <w:bCs/>
        </w:rPr>
        <w:t>V. La medida vigente contiene la amenaza, su supresión la materializaría</w:t>
      </w:r>
    </w:p>
    <w:p w14:paraId="0DACF3CC" w14:textId="77777777" w:rsidR="00061260" w:rsidRDefault="007A0969">
      <w:pPr>
        <w:spacing w:before="240" w:after="240"/>
        <w:jc w:val="both"/>
      </w:pPr>
      <w:r>
        <w:t>La ausencia de importaciones chinas durante el período de vigencia de la medida confirma que el arancel antidumping está cumpliendo su función correctiva. No obstante, el precio chino ha descendido un 33% entre 2022 y 2025 (de USD 933 a USD 623/TM CIF con arancel), lo que significa que la brecha entre el precio chino y el precio doméstico se ha ido ampliando. Si se suprimiera la medida, China podría ingresar al mercado dominicano con una ventaja de precio que la RPN, no estaría en condiciones de contrarrestar.</w:t>
      </w:r>
    </w:p>
    <w:p w14:paraId="0DACF3CD" w14:textId="77777777" w:rsidR="00061260" w:rsidRDefault="007A0969">
      <w:pPr>
        <w:spacing w:before="240" w:after="240"/>
        <w:jc w:val="both"/>
      </w:pPr>
      <w:r>
        <w:t>En consecuencia, los factores que han afectado los indicadores de la RPN durante el período no son factores exógenos de mercado que justifiquen la terminación de la medida, sino precisamente la evidencia de que la RPN requiere de la continuación de la medida antidumping para preservar su viabilidad frente a una amenaza de daño que permanece latente y se ha intensificado.</w:t>
      </w:r>
    </w:p>
    <w:p w14:paraId="0DACF3CE" w14:textId="77777777" w:rsidR="00061260" w:rsidRDefault="007A0969">
      <w:pPr>
        <w:spacing w:before="240" w:after="240"/>
        <w:jc w:val="both"/>
      </w:pPr>
      <w:r>
        <w:t>En conclusión, no se presentaron cambios importantes en la demanda, en las preferencias de los consumidores ni en los métodos de producción que expliquen el comportamiento de la RPN. Los factores macroeconómicos afectaron al mercado en su conjunto sin poder atribuirse selectivamente al deterioro de LA RPN.</w:t>
      </w:r>
    </w:p>
    <w:p w14:paraId="0DACF3CF" w14:textId="77777777" w:rsidR="00061260" w:rsidRDefault="007A0969">
      <w:pPr>
        <w:spacing w:before="240" w:after="240"/>
        <w:jc w:val="both"/>
      </w:pPr>
      <w:r>
        <w:t xml:space="preserve"> </w:t>
      </w:r>
    </w:p>
    <w:p w14:paraId="0DACF3D0" w14:textId="77777777" w:rsidR="00061260" w:rsidRDefault="00061260">
      <w:pPr>
        <w:spacing w:before="100" w:after="200"/>
        <w:jc w:val="both"/>
        <w:rPr>
          <w:b/>
          <w:bCs/>
          <w:sz w:val="26"/>
          <w:szCs w:val="26"/>
        </w:rPr>
      </w:pPr>
    </w:p>
    <w:sectPr w:rsidR="00061260">
      <w:pgSz w:w="12240" w:h="15840"/>
      <w:pgMar w:top="1260" w:right="1260" w:bottom="126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6900A" w14:textId="77777777" w:rsidR="00C31B75" w:rsidRDefault="00C31B75" w:rsidP="00AF1A0E">
      <w:r>
        <w:separator/>
      </w:r>
    </w:p>
  </w:endnote>
  <w:endnote w:type="continuationSeparator" w:id="0">
    <w:p w14:paraId="65A9831A" w14:textId="77777777" w:rsidR="00C31B75" w:rsidRDefault="00C31B75" w:rsidP="00AF1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AD0DFB5-02E6-45A2-8C9C-918BBC650948}"/>
  </w:font>
  <w:font w:name="Calibri">
    <w:panose1 w:val="020F0502020204030204"/>
    <w:charset w:val="00"/>
    <w:family w:val="swiss"/>
    <w:pitch w:val="variable"/>
    <w:sig w:usb0="E4002EFF" w:usb1="C200247B" w:usb2="00000009" w:usb3="00000000" w:csb0="000001FF" w:csb1="00000000"/>
    <w:embedRegular r:id="rId2" w:fontKey="{15436739-661E-46AB-BFAB-3E92475610D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102FF4D0-A878-4ACB-A332-A6316A3801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87361" w14:textId="77777777" w:rsidR="00C31B75" w:rsidRDefault="00C31B75" w:rsidP="00AF1A0E">
      <w:r>
        <w:separator/>
      </w:r>
    </w:p>
  </w:footnote>
  <w:footnote w:type="continuationSeparator" w:id="0">
    <w:p w14:paraId="7ED53928" w14:textId="77777777" w:rsidR="00C31B75" w:rsidRDefault="00C31B75" w:rsidP="00AF1A0E">
      <w:r>
        <w:continuationSeparator/>
      </w:r>
    </w:p>
  </w:footnote>
  <w:footnote w:id="1">
    <w:p w14:paraId="53F38994" w14:textId="0241FB48" w:rsidR="00E947EA" w:rsidRPr="00E947EA" w:rsidRDefault="00AF1A0E" w:rsidP="00E947EA">
      <w:pPr>
        <w:rPr>
          <w:rFonts w:ascii="Calibri" w:eastAsia="Times New Roman" w:hAnsi="Calibri" w:cs="Calibri"/>
          <w:sz w:val="20"/>
          <w:szCs w:val="20"/>
        </w:rPr>
      </w:pPr>
      <w:r>
        <w:rPr>
          <w:rStyle w:val="FootnoteReference"/>
        </w:rPr>
        <w:footnoteRef/>
      </w:r>
      <w:r>
        <w:t xml:space="preserve"> </w:t>
      </w:r>
      <w:r w:rsidR="00E947EA" w:rsidRPr="00E947EA">
        <w:rPr>
          <w:rFonts w:ascii="Calibri" w:eastAsia="Times New Roman" w:hAnsi="Calibri" w:cs="Calibri"/>
          <w:sz w:val="20"/>
          <w:szCs w:val="20"/>
        </w:rPr>
        <w:t xml:space="preserve">LA INFORMACION CONTENIDA EN ESTE ARCHIVO/CUADRO ES CONSIDERADA INFORMACION CONFIDENCIAL </w:t>
      </w:r>
      <w:proofErr w:type="gramStart"/>
      <w:r w:rsidR="00E947EA" w:rsidRPr="00E947EA">
        <w:rPr>
          <w:rFonts w:ascii="Calibri" w:eastAsia="Times New Roman" w:hAnsi="Calibri" w:cs="Calibri"/>
          <w:sz w:val="20"/>
          <w:szCs w:val="20"/>
        </w:rPr>
        <w:t>DE ACUERDO AL</w:t>
      </w:r>
      <w:proofErr w:type="gramEnd"/>
      <w:r w:rsidR="00E947EA" w:rsidRPr="00E947EA">
        <w:rPr>
          <w:rFonts w:ascii="Calibri" w:eastAsia="Times New Roman" w:hAnsi="Calibri" w:cs="Calibri"/>
          <w:sz w:val="20"/>
          <w:szCs w:val="20"/>
        </w:rPr>
        <w:t xml:space="preserve"> ARTICULO 6.5 DEL ACUERDO ANTIDUMPING 12.4 DEL ACUERDO DE SUBVENCIONES Y MEDIDAS COMPENSATORIAS, DEBIDO A QUE SU DIVULGACION IMPLICARIA UNA VENTAJA SIGNIFICATIVA PARA UN COMPETIDOR, ADEMAS DE CAUSAR UN DAŇO FINANCIERO SUSTANCIAL E IRREVERSIBLE PARA NUESTRA EMPRESA. SE </w:t>
      </w:r>
      <w:r w:rsidR="00E947EA" w:rsidRPr="00E947EA">
        <w:rPr>
          <w:rFonts w:ascii="Calibri" w:eastAsia="Times New Roman" w:hAnsi="Calibri" w:cs="Calibri"/>
          <w:sz w:val="20"/>
          <w:szCs w:val="20"/>
        </w:rPr>
        <w:t>MULTIPLICADO POR UN NUMERO MENOR O IGUAL A CI</w:t>
      </w:r>
      <w:r w:rsidR="00E947EA">
        <w:rPr>
          <w:rFonts w:ascii="Calibri" w:eastAsia="Times New Roman" w:hAnsi="Calibri" w:cs="Calibri"/>
          <w:sz w:val="20"/>
          <w:szCs w:val="20"/>
        </w:rPr>
        <w:t>EN PARA FACILIDAD DE LECTURA</w:t>
      </w:r>
    </w:p>
    <w:p w14:paraId="7979C9F8" w14:textId="7F1F38A1" w:rsidR="00AF1A0E" w:rsidRPr="00E947EA" w:rsidRDefault="00AF1A0E">
      <w:pPr>
        <w:pStyle w:val="FootnoteText"/>
      </w:pPr>
    </w:p>
  </w:footnote>
  <w:footnote w:id="2">
    <w:p w14:paraId="09A9379F" w14:textId="1BAEBC7B" w:rsidR="00AF1A0E" w:rsidRPr="00E947EA" w:rsidRDefault="00AF1A0E">
      <w:pPr>
        <w:pStyle w:val="FootnoteText"/>
      </w:pPr>
      <w:r>
        <w:rPr>
          <w:rStyle w:val="FootnoteReference"/>
        </w:rPr>
        <w:footnoteRef/>
      </w:r>
      <w:r>
        <w:t xml:space="preserve"> </w:t>
      </w:r>
      <w:r w:rsidR="00E947EA">
        <w:t>Ver nota 1</w:t>
      </w:r>
    </w:p>
  </w:footnote>
  <w:footnote w:id="3">
    <w:p w14:paraId="4AB5C312" w14:textId="164C227B" w:rsidR="00AF1A0E" w:rsidRPr="00E947EA" w:rsidRDefault="00AF1A0E">
      <w:pPr>
        <w:pStyle w:val="FootnoteText"/>
      </w:pPr>
      <w:r>
        <w:rPr>
          <w:rStyle w:val="FootnoteReference"/>
        </w:rPr>
        <w:footnoteRef/>
      </w:r>
      <w:r>
        <w:t xml:space="preserve"> </w:t>
      </w:r>
      <w:r w:rsidR="00E947EA">
        <w:t>Ver nota 1</w:t>
      </w:r>
    </w:p>
  </w:footnote>
  <w:footnote w:id="4">
    <w:p w14:paraId="477069CD" w14:textId="01D3938B" w:rsidR="00B32ED8" w:rsidRPr="00E947EA" w:rsidRDefault="00B32ED8">
      <w:pPr>
        <w:pStyle w:val="FootnoteText"/>
      </w:pPr>
      <w:r>
        <w:rPr>
          <w:rStyle w:val="FootnoteReference"/>
        </w:rPr>
        <w:footnoteRef/>
      </w:r>
      <w:r>
        <w:t xml:space="preserve"> </w:t>
      </w:r>
      <w:r w:rsidR="00E947EA">
        <w:t>Ver nota 1</w:t>
      </w:r>
    </w:p>
  </w:footnote>
  <w:footnote w:id="5">
    <w:p w14:paraId="27BF37AF" w14:textId="2CCFDA38" w:rsidR="00B32ED8" w:rsidRPr="00E947EA" w:rsidRDefault="00B32ED8">
      <w:pPr>
        <w:pStyle w:val="FootnoteText"/>
      </w:pPr>
      <w:r>
        <w:rPr>
          <w:rStyle w:val="FootnoteReference"/>
        </w:rPr>
        <w:footnoteRef/>
      </w:r>
      <w:r>
        <w:t xml:space="preserve"> </w:t>
      </w:r>
      <w:r w:rsidR="00E947EA">
        <w:t>Ver nota 1</w:t>
      </w:r>
    </w:p>
  </w:footnote>
  <w:footnote w:id="6">
    <w:p w14:paraId="057F0AB7" w14:textId="3CF35BF4" w:rsidR="00B32ED8" w:rsidRPr="00E947EA" w:rsidRDefault="00B32ED8">
      <w:pPr>
        <w:pStyle w:val="FootnoteText"/>
      </w:pPr>
      <w:r>
        <w:rPr>
          <w:rStyle w:val="FootnoteReference"/>
        </w:rPr>
        <w:footnoteRef/>
      </w:r>
      <w:r>
        <w:t xml:space="preserve"> </w:t>
      </w:r>
      <w:r w:rsidR="00E947EA">
        <w:t>Ver nota 1</w:t>
      </w:r>
    </w:p>
  </w:footnote>
  <w:footnote w:id="7">
    <w:p w14:paraId="3577EB17" w14:textId="5F1B86AA" w:rsidR="0068614E" w:rsidRPr="00E947EA" w:rsidRDefault="0068614E">
      <w:pPr>
        <w:pStyle w:val="FootnoteText"/>
      </w:pPr>
      <w:r>
        <w:rPr>
          <w:rStyle w:val="FootnoteReference"/>
        </w:rPr>
        <w:footnoteRef/>
      </w:r>
      <w:r>
        <w:t xml:space="preserve"> </w:t>
      </w:r>
      <w:r w:rsidR="00E947EA">
        <w:t>Ver nota 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260"/>
    <w:rsid w:val="00061260"/>
    <w:rsid w:val="00307DDA"/>
    <w:rsid w:val="00394704"/>
    <w:rsid w:val="00425D59"/>
    <w:rsid w:val="0068614E"/>
    <w:rsid w:val="007A0969"/>
    <w:rsid w:val="00A25086"/>
    <w:rsid w:val="00AF1A0E"/>
    <w:rsid w:val="00B32ED8"/>
    <w:rsid w:val="00C31B75"/>
    <w:rsid w:val="00CB57E8"/>
    <w:rsid w:val="00D42EC7"/>
    <w:rsid w:val="00DF11DF"/>
    <w:rsid w:val="00E51E3A"/>
    <w:rsid w:val="00E94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CF387"/>
  <w15:docId w15:val="{CC5DB923-36F0-411A-B200-472EE27B5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DO"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FootnoteText">
    <w:name w:val="footnote text"/>
    <w:basedOn w:val="Normal"/>
    <w:link w:val="FootnoteTextChar"/>
    <w:uiPriority w:val="99"/>
    <w:semiHidden/>
    <w:unhideWhenUsed/>
    <w:rsid w:val="00AF1A0E"/>
    <w:rPr>
      <w:sz w:val="20"/>
      <w:szCs w:val="20"/>
    </w:rPr>
  </w:style>
  <w:style w:type="character" w:customStyle="1" w:styleId="FootnoteTextChar">
    <w:name w:val="Footnote Text Char"/>
    <w:basedOn w:val="DefaultParagraphFont"/>
    <w:link w:val="FootnoteText"/>
    <w:uiPriority w:val="99"/>
    <w:semiHidden/>
    <w:rsid w:val="00AF1A0E"/>
    <w:rPr>
      <w:sz w:val="20"/>
      <w:szCs w:val="20"/>
    </w:rPr>
  </w:style>
  <w:style w:type="character" w:styleId="FootnoteReference">
    <w:name w:val="footnote reference"/>
    <w:basedOn w:val="DefaultParagraphFont"/>
    <w:uiPriority w:val="99"/>
    <w:semiHidden/>
    <w:unhideWhenUsed/>
    <w:rsid w:val="00AF1A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umU/2T93XdFupgRjPD5i9sFKpQ==">CgMxLjA4AHIhMTZkRXpjeE9UbnUxXzl1SXRpRWQ4RERmTE1CMTZUSWVI</go:docsCustomData>
</go:gDocsCustomXmlDataStorage>
</file>

<file path=customXml/itemProps1.xml><?xml version="1.0" encoding="utf-8"?>
<ds:datastoreItem xmlns:ds="http://schemas.openxmlformats.org/officeDocument/2006/customXml" ds:itemID="{C191E66D-1471-42B2-A570-4216D871A37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1105</Words>
  <Characters>6103</Characters>
  <Application>Microsoft Office Word</Application>
  <DocSecurity>0</DocSecurity>
  <Lines>135</Lines>
  <Paragraphs>75</Paragraphs>
  <ScaleCrop>false</ScaleCrop>
  <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Lynette Batista</cp:lastModifiedBy>
  <cp:revision>2</cp:revision>
  <cp:lastPrinted>2026-04-10T16:30:00Z</cp:lastPrinted>
  <dcterms:created xsi:type="dcterms:W3CDTF">2026-04-10T16:30:00Z</dcterms:created>
  <dcterms:modified xsi:type="dcterms:W3CDTF">2026-04-10T16:30:00Z</dcterms:modified>
</cp:coreProperties>
</file>